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19C536F2" w:rsidR="00F5400D" w:rsidRDefault="00ED1FC9" w:rsidP="000761F4">
      <w:pPr>
        <w:pStyle w:val="Rubrik1"/>
      </w:pPr>
      <w:r w:rsidRPr="00ED1FC9">
        <w:t xml:space="preserve">Using </w:t>
      </w:r>
      <w:r>
        <w:t>c</w:t>
      </w:r>
      <w:r w:rsidRPr="00ED1FC9">
        <w:t xml:space="preserve">ontradictions as a </w:t>
      </w:r>
      <w:r>
        <w:t>d</w:t>
      </w:r>
      <w:r w:rsidRPr="00ED1FC9">
        <w:t xml:space="preserve">idactical </w:t>
      </w:r>
      <w:r>
        <w:t>t</w:t>
      </w:r>
      <w:r w:rsidRPr="00ED1FC9">
        <w:t xml:space="preserve">ool in </w:t>
      </w:r>
      <w:r>
        <w:t>e</w:t>
      </w:r>
      <w:r w:rsidRPr="00ED1FC9">
        <w:t xml:space="preserve">arly </w:t>
      </w:r>
      <w:r>
        <w:t>m</w:t>
      </w:r>
      <w:r w:rsidRPr="00ED1FC9">
        <w:t xml:space="preserve">athematics </w:t>
      </w:r>
      <w:r>
        <w:t>e</w:t>
      </w:r>
      <w:r w:rsidRPr="00ED1FC9">
        <w:t>ducatio</w:t>
      </w:r>
      <w:r>
        <w:t>n</w:t>
      </w:r>
    </w:p>
    <w:p w14:paraId="080E0699" w14:textId="596CFEAD" w:rsidR="00CE6A6A" w:rsidRPr="00335C15" w:rsidRDefault="006D13D8" w:rsidP="00CE6A6A">
      <w:pPr>
        <w:pStyle w:val="Rubrik8"/>
        <w:rPr>
          <w:vertAlign w:val="superscript"/>
          <w:lang w:val="sv-SE"/>
        </w:rPr>
      </w:pPr>
      <w:r w:rsidRPr="00335C15">
        <w:rPr>
          <w:lang w:val="sv-SE"/>
        </w:rPr>
        <w:t>Inger Eriksson,</w:t>
      </w:r>
      <w:r w:rsidRPr="00335C15">
        <w:rPr>
          <w:vertAlign w:val="superscript"/>
          <w:lang w:val="sv-SE"/>
        </w:rPr>
        <w:t>1</w:t>
      </w:r>
      <w:r w:rsidRPr="00335C15">
        <w:rPr>
          <w:lang w:val="sv-SE"/>
        </w:rPr>
        <w:t xml:space="preserve"> Marie Björk,</w:t>
      </w:r>
      <w:r w:rsidRPr="00335C15">
        <w:rPr>
          <w:vertAlign w:val="superscript"/>
          <w:lang w:val="sv-SE"/>
        </w:rPr>
        <w:t>2</w:t>
      </w:r>
      <w:r w:rsidRPr="00335C15">
        <w:rPr>
          <w:lang w:val="sv-SE"/>
        </w:rPr>
        <w:t xml:space="preserve"> Gunilla Pettersson Berggren</w:t>
      </w:r>
      <w:r w:rsidR="000738A1" w:rsidRPr="00335C15">
        <w:rPr>
          <w:lang w:val="sv-SE"/>
        </w:rPr>
        <w:t>,</w:t>
      </w:r>
      <w:r w:rsidRPr="00335C15">
        <w:rPr>
          <w:vertAlign w:val="superscript"/>
          <w:lang w:val="sv-SE"/>
        </w:rPr>
        <w:t>2</w:t>
      </w:r>
      <w:r w:rsidRPr="00335C15">
        <w:rPr>
          <w:lang w:val="sv-SE"/>
        </w:rPr>
        <w:t xml:space="preserve"> Sanna Wettergren</w:t>
      </w:r>
      <w:r w:rsidRPr="00335C15">
        <w:rPr>
          <w:vertAlign w:val="superscript"/>
          <w:lang w:val="sv-SE"/>
        </w:rPr>
        <w:t>1</w:t>
      </w:r>
      <w:r w:rsidR="000738A1" w:rsidRPr="00335C15">
        <w:rPr>
          <w:lang w:val="sv-SE"/>
        </w:rPr>
        <w:t xml:space="preserve"> &amp; Helena Eriksson</w:t>
      </w:r>
      <w:r w:rsidR="000738A1" w:rsidRPr="00335C15">
        <w:rPr>
          <w:vertAlign w:val="superscript"/>
          <w:lang w:val="sv-SE"/>
        </w:rPr>
        <w:t>1</w:t>
      </w:r>
    </w:p>
    <w:p w14:paraId="4B06B18E" w14:textId="34496B0C" w:rsidR="00D1675C" w:rsidRPr="006D13D8" w:rsidRDefault="006D13D8" w:rsidP="006D13D8">
      <w:pPr>
        <w:pStyle w:val="Rubrik9"/>
      </w:pPr>
      <w:r>
        <w:rPr>
          <w:vertAlign w:val="superscript"/>
        </w:rPr>
        <w:t xml:space="preserve">1 </w:t>
      </w:r>
      <w:r w:rsidRPr="006D13D8">
        <w:t>Stockholm University,</w:t>
      </w:r>
      <w:r w:rsidR="003258C0">
        <w:t xml:space="preserve"> </w:t>
      </w:r>
      <w:r>
        <w:rPr>
          <w:vertAlign w:val="superscript"/>
        </w:rPr>
        <w:t>2</w:t>
      </w:r>
      <w:r>
        <w:t xml:space="preserve">Stockholms </w:t>
      </w:r>
      <w:r w:rsidR="003258C0">
        <w:t>City</w:t>
      </w:r>
    </w:p>
    <w:p w14:paraId="1DAF32C7" w14:textId="48E7A2FF" w:rsidR="00ED1FC9" w:rsidRDefault="00D1675C" w:rsidP="00ED1FC9">
      <w:pPr>
        <w:pStyle w:val="Brdtext"/>
      </w:pPr>
      <w:r w:rsidRPr="00ED1FC9">
        <w:rPr>
          <w:rStyle w:val="Stark"/>
          <w:b w:val="0"/>
        </w:rPr>
        <w:t>This presentation</w:t>
      </w:r>
      <w:r>
        <w:t xml:space="preserve"> explores how contradictions that emerge in student </w:t>
      </w:r>
      <w:r w:rsidR="00853021">
        <w:t>collective actions</w:t>
      </w:r>
      <w:r>
        <w:t xml:space="preserve"> can be used as a didactical tool to promote theoretical thinking in early primary mathematics. Drawing on a cultural-historical activity theory (CHAT) perspective and the principles of the </w:t>
      </w:r>
      <w:proofErr w:type="spellStart"/>
      <w:r>
        <w:t>El’konin</w:t>
      </w:r>
      <w:proofErr w:type="spellEnd"/>
      <w:r>
        <w:t>–Davydov (ED) curriculum</w:t>
      </w:r>
      <w:r w:rsidR="00853021">
        <w:t xml:space="preserve"> (Davydov, 2008)</w:t>
      </w:r>
      <w:r>
        <w:t>, we present data from two research lessons where students work with tasks designed to support an understanding of the structural properties of the positional number system</w:t>
      </w:r>
      <w:r w:rsidR="0015389C">
        <w:t xml:space="preserve"> (Björk, 2023)</w:t>
      </w:r>
      <w:r>
        <w:t>.</w:t>
      </w:r>
    </w:p>
    <w:p w14:paraId="6EC1A3FE" w14:textId="07AF449B" w:rsidR="00D1675C" w:rsidRDefault="00D1675C" w:rsidP="00ED1FC9">
      <w:r>
        <w:t xml:space="preserve">From this perspective, contradictions are not treated as individual cognitive errors but as essential </w:t>
      </w:r>
      <w:r w:rsidR="00853021">
        <w:t>drive force</w:t>
      </w:r>
      <w:r>
        <w:t xml:space="preserve"> in learning activity (Davydov, </w:t>
      </w:r>
      <w:r w:rsidR="003258C0">
        <w:t>2008</w:t>
      </w:r>
      <w:r>
        <w:t xml:space="preserve">; </w:t>
      </w:r>
      <w:proofErr w:type="spellStart"/>
      <w:r>
        <w:t>Ilyenkov</w:t>
      </w:r>
      <w:proofErr w:type="spellEnd"/>
      <w:r>
        <w:t>, 2007). A contradiction arises when the students’ empirical understanding proves insufficient to resolve a conceptual demand, thereby creating the need for a new way of seeing the object of study. As Radford (20</w:t>
      </w:r>
      <w:r w:rsidR="003258C0">
        <w:t>2</w:t>
      </w:r>
      <w:r>
        <w:t>1) emphasise, contradictions surface not only at the conceptual level but also through students</w:t>
      </w:r>
      <w:r w:rsidR="00202AB6">
        <w:t>’</w:t>
      </w:r>
      <w:r>
        <w:t xml:space="preserve"> embodied and </w:t>
      </w:r>
      <w:r w:rsidR="00853021">
        <w:t>tool-mediated</w:t>
      </w:r>
      <w:r>
        <w:t xml:space="preserve"> </w:t>
      </w:r>
      <w:r w:rsidR="003258C0">
        <w:t xml:space="preserve">actions. </w:t>
      </w:r>
    </w:p>
    <w:p w14:paraId="15BD3725" w14:textId="77777777" w:rsidR="00D1675C" w:rsidRDefault="00D1675C" w:rsidP="00ED1FC9">
      <w:pPr>
        <w:pStyle w:val="Rubrik2"/>
      </w:pPr>
      <w:r>
        <w:t>Theoretical background and analytical perspective</w:t>
      </w:r>
    </w:p>
    <w:p w14:paraId="16F94143" w14:textId="4CAEE2DA" w:rsidR="00D1675C" w:rsidRDefault="00D1675C" w:rsidP="00ED1FC9">
      <w:pPr>
        <w:pStyle w:val="Brdtext"/>
      </w:pPr>
      <w:r>
        <w:t xml:space="preserve">In a learning activity, students must identify and define the problem themselves, assess their existing tools, and engage in collective theoretical exploration (Repkin, 2003; Zuckerman, 2003). Tools used as </w:t>
      </w:r>
      <w:r>
        <w:rPr>
          <w:rStyle w:val="Betoning"/>
        </w:rPr>
        <w:t>learning models</w:t>
      </w:r>
      <w:r>
        <w:t xml:space="preserve"> become central</w:t>
      </w:r>
      <w:r w:rsidR="003840CF">
        <w:t xml:space="preserve"> – </w:t>
      </w:r>
      <w:r>
        <w:t xml:space="preserve">they are not merely aids or illustrations but mediators of meaning that help make visible essential relations </w:t>
      </w:r>
      <w:r w:rsidR="00853021">
        <w:t xml:space="preserve">and structures </w:t>
      </w:r>
      <w:r>
        <w:t>within the content (</w:t>
      </w:r>
      <w:r w:rsidR="0015389C">
        <w:t>Davydov, 2008</w:t>
      </w:r>
      <w:r>
        <w:t xml:space="preserve">). </w:t>
      </w:r>
      <w:r w:rsidR="003840CF" w:rsidRPr="003840CF">
        <w:t>The teacher’s role is to design tasks and sustain conditions where contradictions can emerge and be explored</w:t>
      </w:r>
      <w:r>
        <w:t xml:space="preserve"> jointly.</w:t>
      </w:r>
    </w:p>
    <w:p w14:paraId="7349715E" w14:textId="1F93E28D" w:rsidR="00D1675C" w:rsidRDefault="00D1675C" w:rsidP="00ED1FC9">
      <w:r>
        <w:t xml:space="preserve">Contradictions, in this sense, are not methodical additions but intrinsic to a process where habitual ways of seeing are disrupted. They offer developmental potential when they emerge within a meaningful, culturally situated </w:t>
      </w:r>
      <w:r w:rsidR="00E74510">
        <w:t xml:space="preserve">collective </w:t>
      </w:r>
      <w:r>
        <w:t>activity</w:t>
      </w:r>
      <w:r w:rsidR="00E74510">
        <w:t xml:space="preserve"> – </w:t>
      </w:r>
      <w:r>
        <w:t>especially when mediated by shared tools and models (Davydov, 2008; Radford, 20</w:t>
      </w:r>
      <w:r w:rsidR="003258C0">
        <w:t>2</w:t>
      </w:r>
      <w:r>
        <w:t>1).</w:t>
      </w:r>
    </w:p>
    <w:p w14:paraId="638F0EAB" w14:textId="77777777" w:rsidR="00D1675C" w:rsidRDefault="00D1675C" w:rsidP="00ED1FC9">
      <w:pPr>
        <w:pStyle w:val="Rubrik2"/>
      </w:pPr>
      <w:r>
        <w:t>Data and methodology</w:t>
      </w:r>
    </w:p>
    <w:p w14:paraId="0232A924" w14:textId="58135752" w:rsidR="00D1675C" w:rsidRDefault="003840CF" w:rsidP="002311D2">
      <w:pPr>
        <w:pStyle w:val="Brdtext"/>
      </w:pPr>
      <w:r w:rsidRPr="003840CF">
        <w:t>The analysis draws on video recordings from two collaboratively</w:t>
      </w:r>
      <w:r w:rsidR="00E77C36">
        <w:t>, researchers and teachers,</w:t>
      </w:r>
      <w:r w:rsidRPr="003840CF">
        <w:t xml:space="preserve"> designed research lessons (25 in total) in a Swedish lower grade classroom, conducted within a larger design-based study. Each lesson was divided into 13 analytic sequences, three of which contained content-related contradictions identified through verbal and embodied indicators such as hesitation, inscription conflicts, meaning negotiations, and student utterances (Radford, 2021).</w:t>
      </w:r>
    </w:p>
    <w:p w14:paraId="6C8F7695" w14:textId="131AA6E8" w:rsidR="00D1675C" w:rsidRDefault="00D1675C" w:rsidP="00ED1FC9">
      <w:pPr>
        <w:pStyle w:val="Rubrik2"/>
      </w:pPr>
      <w:r>
        <w:lastRenderedPageBreak/>
        <w:t>Findings</w:t>
      </w:r>
    </w:p>
    <w:p w14:paraId="320A8196" w14:textId="0324EB67" w:rsidR="003840CF" w:rsidRPr="003840CF" w:rsidRDefault="00853021" w:rsidP="003840CF">
      <w:pPr>
        <w:pStyle w:val="Brdtext"/>
      </w:pPr>
      <w:r>
        <w:t>The identified</w:t>
      </w:r>
      <w:r w:rsidRPr="00853021">
        <w:t xml:space="preserve"> contradictions led to collective exploration that enabled the students to go beyond their existing knowledge and ideas about key properties of the positional system. In their efforts to resolve the contradiction</w:t>
      </w:r>
      <w:r w:rsidR="00E77C36">
        <w:t>s</w:t>
      </w:r>
      <w:r w:rsidRPr="00853021">
        <w:t>, the</w:t>
      </w:r>
      <w:r>
        <w:t>ir</w:t>
      </w:r>
      <w:r w:rsidRPr="00853021">
        <w:t xml:space="preserve"> modelling work with tools such as number lines and place value tables was of crucial importance.</w:t>
      </w:r>
      <w:r>
        <w:t xml:space="preserve"> </w:t>
      </w:r>
      <w:r w:rsidR="003840CF">
        <w:t>T</w:t>
      </w:r>
      <w:r w:rsidR="00E77C36">
        <w:t>he t</w:t>
      </w:r>
      <w:r w:rsidR="006D13D8">
        <w:t>hree content</w:t>
      </w:r>
      <w:r w:rsidR="002311D2">
        <w:t xml:space="preserve"> </w:t>
      </w:r>
      <w:r w:rsidR="006D13D8">
        <w:t xml:space="preserve">related contradictions surfaced </w:t>
      </w:r>
      <w:r w:rsidR="003840CF">
        <w:t xml:space="preserve">when the students 1) </w:t>
      </w:r>
      <w:r w:rsidR="003840CF" w:rsidRPr="00B241A3">
        <w:t>tried to understand how two symbolic tools,</w:t>
      </w:r>
      <w:r w:rsidR="003840CF">
        <w:t xml:space="preserve"> the table and the number line,</w:t>
      </w:r>
      <w:r w:rsidR="003840CF" w:rsidRPr="00B241A3">
        <w:t xml:space="preserve"> used to model the same </w:t>
      </w:r>
      <w:r w:rsidR="003840CF">
        <w:t xml:space="preserve">counting </w:t>
      </w:r>
      <w:r w:rsidR="003840CF" w:rsidRPr="00B241A3">
        <w:t>system</w:t>
      </w:r>
      <w:r w:rsidR="00EB6B4D">
        <w:t>,</w:t>
      </w:r>
      <w:r w:rsidR="003840CF">
        <w:t xml:space="preserve"> </w:t>
      </w:r>
      <w:r w:rsidR="003840CF" w:rsidRPr="00B241A3">
        <w:t>could correspond to each other, 2) were to construct successively larger number units according to a multiplicative principle, and 3) tried to understand that a number unit has a value regardless of its graphical representation</w:t>
      </w:r>
      <w:r w:rsidR="003840CF">
        <w:rPr>
          <w:rStyle w:val="Stark"/>
          <w:b w:val="0"/>
          <w:bCs w:val="0"/>
        </w:rPr>
        <w:t xml:space="preserve">. </w:t>
      </w:r>
    </w:p>
    <w:p w14:paraId="1C64B67C" w14:textId="77777777" w:rsidR="00D1675C" w:rsidRDefault="00D1675C" w:rsidP="00ED1FC9">
      <w:pPr>
        <w:pStyle w:val="Rubrik2"/>
      </w:pPr>
      <w:r>
        <w:t>Conclusion and implications</w:t>
      </w:r>
    </w:p>
    <w:p w14:paraId="5EB97F19" w14:textId="1891F885" w:rsidR="00D1675C" w:rsidRDefault="002311D2" w:rsidP="00ED1FC9">
      <w:pPr>
        <w:pStyle w:val="Brdtext"/>
      </w:pPr>
      <w:r>
        <w:t xml:space="preserve">We argue that </w:t>
      </w:r>
      <w:r w:rsidR="00D1675C">
        <w:t xml:space="preserve">contradictions </w:t>
      </w:r>
      <w:r>
        <w:t xml:space="preserve">such as these </w:t>
      </w:r>
      <w:r w:rsidR="00D1675C">
        <w:t xml:space="preserve">can support the development of theoretical thinking by creating a need to </w:t>
      </w:r>
      <w:r w:rsidR="00853021" w:rsidRPr="00853021">
        <w:t>challenge</w:t>
      </w:r>
      <w:r w:rsidR="00853021">
        <w:t xml:space="preserve"> and go beyond</w:t>
      </w:r>
      <w:r w:rsidR="00D1675C">
        <w:t xml:space="preserve"> existing knowledge</w:t>
      </w:r>
      <w:r>
        <w:t xml:space="preserve"> among the students</w:t>
      </w:r>
      <w:r w:rsidR="00D1675C">
        <w:t>. In line with Radford (20</w:t>
      </w:r>
      <w:r w:rsidR="006D13D8">
        <w:t>2</w:t>
      </w:r>
      <w:r w:rsidR="00D1675C">
        <w:t>1), contradictions become visible not only through speech but also through how students interact with tools and each other</w:t>
      </w:r>
      <w:r w:rsidR="00853021">
        <w:t xml:space="preserve">, but also by the teacher’s </w:t>
      </w:r>
      <w:r w:rsidR="00853021" w:rsidRPr="00853021">
        <w:t>sometimes provocative questions</w:t>
      </w:r>
      <w:r w:rsidR="00853021">
        <w:t xml:space="preserve"> and comments.</w:t>
      </w:r>
    </w:p>
    <w:p w14:paraId="0D4DC9F0" w14:textId="08F25FAA" w:rsidR="00D1675C" w:rsidRDefault="00D1675C" w:rsidP="00ED1FC9">
      <w:r>
        <w:t>We argue that contradictions, when recognised and maintained within the classroom activity, can function as powerful didactical tools. They help</w:t>
      </w:r>
      <w:r w:rsidR="00A73F51">
        <w:t xml:space="preserve"> to</w:t>
      </w:r>
      <w:r>
        <w:t xml:space="preserve"> shift the focus from surface features to essential relationships within the content. Designing for such contradictions, however, requires both </w:t>
      </w:r>
      <w:r w:rsidR="00853021">
        <w:t>content</w:t>
      </w:r>
      <w:r>
        <w:t xml:space="preserve"> sensitivity and pedagogical responsiveness. The teacher must be able to identify when a contradiction is about to surface and support its exploration without closing it down too quickly.</w:t>
      </w:r>
    </w:p>
    <w:p w14:paraId="480C9EFC" w14:textId="20360F5F" w:rsidR="009C103B" w:rsidRPr="00335C15" w:rsidRDefault="00CE6A6A" w:rsidP="003258C0">
      <w:pPr>
        <w:pStyle w:val="Rubrik2"/>
        <w:rPr>
          <w:lang w:val="sv-SE"/>
        </w:rPr>
      </w:pPr>
      <w:proofErr w:type="spellStart"/>
      <w:r w:rsidRPr="00335C15">
        <w:rPr>
          <w:lang w:val="sv-SE"/>
        </w:rPr>
        <w:t>References</w:t>
      </w:r>
      <w:proofErr w:type="spellEnd"/>
      <w:r w:rsidR="009C103B" w:rsidRPr="00335C15">
        <w:rPr>
          <w:lang w:val="sv-SE"/>
        </w:rPr>
        <w:t xml:space="preserve"> </w:t>
      </w:r>
    </w:p>
    <w:p w14:paraId="40593447" w14:textId="0766F4C5" w:rsidR="0015389C" w:rsidRPr="0029743C" w:rsidRDefault="0015389C" w:rsidP="00E74510">
      <w:pPr>
        <w:pStyle w:val="References"/>
        <w:rPr>
          <w:szCs w:val="24"/>
          <w:highlight w:val="white"/>
        </w:rPr>
      </w:pPr>
      <w:r w:rsidRPr="00E77C36">
        <w:rPr>
          <w:szCs w:val="24"/>
          <w:highlight w:val="white"/>
          <w:lang w:val="sv-SE"/>
        </w:rPr>
        <w:t xml:space="preserve">Björk, M. (2023). </w:t>
      </w:r>
      <w:r w:rsidRPr="009D0F65">
        <w:rPr>
          <w:i/>
          <w:szCs w:val="24"/>
          <w:highlight w:val="white"/>
          <w:lang w:val="sv-SE"/>
        </w:rPr>
        <w:t xml:space="preserve">Att främja elevers teoretiska utforskande av bassystemet – en </w:t>
      </w:r>
      <w:r w:rsidRPr="0029743C">
        <w:rPr>
          <w:i/>
          <w:szCs w:val="24"/>
          <w:highlight w:val="white"/>
          <w:lang w:val="sv-FI"/>
        </w:rPr>
        <w:t>undervisningsutvecklande</w:t>
      </w:r>
      <w:r w:rsidRPr="0029743C">
        <w:rPr>
          <w:i/>
          <w:szCs w:val="24"/>
          <w:highlight w:val="white"/>
          <w:lang w:val="sv-SE"/>
        </w:rPr>
        <w:t xml:space="preserve"> studie i matematik på mellanstadiet</w:t>
      </w:r>
      <w:r w:rsidRPr="0029743C">
        <w:rPr>
          <w:szCs w:val="24"/>
          <w:highlight w:val="white"/>
          <w:lang w:val="sv-SE"/>
        </w:rPr>
        <w:t xml:space="preserve"> [</w:t>
      </w:r>
      <w:proofErr w:type="spellStart"/>
      <w:r w:rsidRPr="0029743C">
        <w:rPr>
          <w:szCs w:val="24"/>
          <w:highlight w:val="white"/>
          <w:lang w:val="sv-SE"/>
        </w:rPr>
        <w:t>Promoting</w:t>
      </w:r>
      <w:proofErr w:type="spellEnd"/>
      <w:r w:rsidRPr="0029743C">
        <w:rPr>
          <w:szCs w:val="24"/>
          <w:highlight w:val="white"/>
          <w:lang w:val="sv-SE"/>
        </w:rPr>
        <w:t xml:space="preserve"> students’ </w:t>
      </w:r>
      <w:proofErr w:type="spellStart"/>
      <w:r w:rsidRPr="0029743C">
        <w:rPr>
          <w:szCs w:val="24"/>
          <w:highlight w:val="white"/>
          <w:lang w:val="sv-SE"/>
        </w:rPr>
        <w:t>theoretical</w:t>
      </w:r>
      <w:proofErr w:type="spellEnd"/>
      <w:r w:rsidRPr="0029743C">
        <w:rPr>
          <w:szCs w:val="24"/>
          <w:highlight w:val="white"/>
          <w:lang w:val="sv-SE"/>
        </w:rPr>
        <w:t xml:space="preserve"> </w:t>
      </w:r>
      <w:proofErr w:type="spellStart"/>
      <w:r w:rsidRPr="0029743C">
        <w:rPr>
          <w:szCs w:val="24"/>
          <w:highlight w:val="white"/>
          <w:lang w:val="sv-SE"/>
        </w:rPr>
        <w:t>exploration</w:t>
      </w:r>
      <w:proofErr w:type="spellEnd"/>
      <w:r w:rsidRPr="0029743C">
        <w:rPr>
          <w:szCs w:val="24"/>
          <w:highlight w:val="white"/>
          <w:lang w:val="sv-SE"/>
        </w:rPr>
        <w:t xml:space="preserve"> </w:t>
      </w:r>
      <w:proofErr w:type="spellStart"/>
      <w:r w:rsidRPr="0029743C">
        <w:rPr>
          <w:szCs w:val="24"/>
          <w:highlight w:val="white"/>
          <w:lang w:val="sv-SE"/>
        </w:rPr>
        <w:t>of</w:t>
      </w:r>
      <w:proofErr w:type="spellEnd"/>
      <w:r w:rsidRPr="0029743C">
        <w:rPr>
          <w:szCs w:val="24"/>
          <w:highlight w:val="white"/>
          <w:lang w:val="sv-SE"/>
        </w:rPr>
        <w:t xml:space="preserve"> the </w:t>
      </w:r>
      <w:proofErr w:type="spellStart"/>
      <w:r w:rsidRPr="0029743C">
        <w:rPr>
          <w:szCs w:val="24"/>
          <w:highlight w:val="white"/>
          <w:lang w:val="sv-SE"/>
        </w:rPr>
        <w:t>base</w:t>
      </w:r>
      <w:proofErr w:type="spellEnd"/>
      <w:r w:rsidRPr="0029743C">
        <w:rPr>
          <w:szCs w:val="24"/>
          <w:highlight w:val="white"/>
          <w:lang w:val="sv-SE"/>
        </w:rPr>
        <w:t xml:space="preserve"> system: A </w:t>
      </w:r>
      <w:proofErr w:type="spellStart"/>
      <w:r w:rsidRPr="0029743C">
        <w:rPr>
          <w:szCs w:val="24"/>
          <w:highlight w:val="white"/>
          <w:lang w:val="sv-SE"/>
        </w:rPr>
        <w:t>teaching</w:t>
      </w:r>
      <w:proofErr w:type="spellEnd"/>
      <w:r w:rsidRPr="0029743C">
        <w:rPr>
          <w:szCs w:val="24"/>
          <w:highlight w:val="white"/>
          <w:lang w:val="sv-SE"/>
        </w:rPr>
        <w:t xml:space="preserve"> </w:t>
      </w:r>
      <w:proofErr w:type="spellStart"/>
      <w:r w:rsidRPr="0029743C">
        <w:rPr>
          <w:szCs w:val="24"/>
          <w:highlight w:val="white"/>
          <w:lang w:val="sv-SE"/>
        </w:rPr>
        <w:t>developmental</w:t>
      </w:r>
      <w:proofErr w:type="spellEnd"/>
      <w:r w:rsidRPr="0029743C">
        <w:rPr>
          <w:szCs w:val="24"/>
          <w:highlight w:val="white"/>
          <w:lang w:val="sv-SE"/>
        </w:rPr>
        <w:t xml:space="preserve"> </w:t>
      </w:r>
      <w:proofErr w:type="spellStart"/>
      <w:r w:rsidRPr="0029743C">
        <w:rPr>
          <w:szCs w:val="24"/>
          <w:highlight w:val="white"/>
          <w:lang w:val="sv-SE"/>
        </w:rPr>
        <w:t>study</w:t>
      </w:r>
      <w:proofErr w:type="spellEnd"/>
      <w:r w:rsidRPr="0029743C">
        <w:rPr>
          <w:szCs w:val="24"/>
          <w:highlight w:val="white"/>
          <w:lang w:val="sv-SE"/>
        </w:rPr>
        <w:t xml:space="preserve"> in </w:t>
      </w:r>
      <w:proofErr w:type="spellStart"/>
      <w:r w:rsidRPr="0029743C">
        <w:rPr>
          <w:szCs w:val="24"/>
          <w:highlight w:val="white"/>
          <w:lang w:val="sv-SE"/>
        </w:rPr>
        <w:t>mathematics</w:t>
      </w:r>
      <w:proofErr w:type="spellEnd"/>
      <w:r w:rsidRPr="0029743C">
        <w:rPr>
          <w:szCs w:val="24"/>
          <w:highlight w:val="white"/>
          <w:lang w:val="sv-SE"/>
        </w:rPr>
        <w:t xml:space="preserve"> in </w:t>
      </w:r>
      <w:proofErr w:type="spellStart"/>
      <w:r w:rsidRPr="0029743C">
        <w:rPr>
          <w:szCs w:val="24"/>
          <w:highlight w:val="white"/>
          <w:lang w:val="sv-SE"/>
        </w:rPr>
        <w:t>grade</w:t>
      </w:r>
      <w:proofErr w:type="spellEnd"/>
      <w:r w:rsidRPr="0029743C">
        <w:rPr>
          <w:szCs w:val="24"/>
          <w:highlight w:val="white"/>
          <w:lang w:val="sv-SE"/>
        </w:rPr>
        <w:t xml:space="preserve"> </w:t>
      </w:r>
      <w:proofErr w:type="spellStart"/>
      <w:r w:rsidRPr="0029743C">
        <w:rPr>
          <w:szCs w:val="24"/>
          <w:highlight w:val="white"/>
          <w:lang w:val="sv-SE"/>
        </w:rPr>
        <w:t>four</w:t>
      </w:r>
      <w:proofErr w:type="spellEnd"/>
      <w:r w:rsidRPr="0029743C">
        <w:rPr>
          <w:szCs w:val="24"/>
          <w:highlight w:val="white"/>
          <w:lang w:val="sv-SE"/>
        </w:rPr>
        <w:t xml:space="preserve">]. </w:t>
      </w:r>
      <w:r w:rsidRPr="0029743C">
        <w:rPr>
          <w:szCs w:val="24"/>
          <w:highlight w:val="white"/>
        </w:rPr>
        <w:t xml:space="preserve">[Licentiate thesis, Stockholm University]. </w:t>
      </w:r>
    </w:p>
    <w:p w14:paraId="6677E26B" w14:textId="7D5EFE92" w:rsidR="003258C0" w:rsidRPr="0029743C" w:rsidRDefault="003258C0" w:rsidP="003258C0">
      <w:pPr>
        <w:pStyle w:val="References"/>
        <w:rPr>
          <w:szCs w:val="24"/>
        </w:rPr>
      </w:pPr>
      <w:r w:rsidRPr="0029743C">
        <w:rPr>
          <w:szCs w:val="24"/>
        </w:rPr>
        <w:t xml:space="preserve">Davydov, V. V. (2008). </w:t>
      </w:r>
      <w:r w:rsidRPr="0029743C">
        <w:rPr>
          <w:i/>
          <w:szCs w:val="24"/>
        </w:rPr>
        <w:t>Problems of developmental instruction. A theoretical and experimental psychological study.</w:t>
      </w:r>
      <w:r w:rsidRPr="0029743C">
        <w:rPr>
          <w:szCs w:val="24"/>
        </w:rPr>
        <w:t xml:space="preserve"> Nova Science Publishers. (Original work published 1986)</w:t>
      </w:r>
    </w:p>
    <w:p w14:paraId="5E5F486A" w14:textId="21814FE0" w:rsidR="003258C0" w:rsidRPr="0029743C" w:rsidRDefault="003258C0" w:rsidP="003258C0">
      <w:pPr>
        <w:pStyle w:val="References"/>
        <w:rPr>
          <w:szCs w:val="24"/>
        </w:rPr>
      </w:pPr>
      <w:r w:rsidRPr="0029743C">
        <w:rPr>
          <w:szCs w:val="24"/>
        </w:rPr>
        <w:t xml:space="preserve">Ilyenkov, E. V. (2007). Our schools must teach how to think! </w:t>
      </w:r>
      <w:r w:rsidRPr="0029743C">
        <w:rPr>
          <w:i/>
          <w:szCs w:val="24"/>
        </w:rPr>
        <w:t>Journal of Russian &amp; East European Psychology, 45</w:t>
      </w:r>
      <w:r w:rsidRPr="0029743C">
        <w:rPr>
          <w:szCs w:val="24"/>
        </w:rPr>
        <w:t>(4), 9–49. https://doi.org/10.2753/RPO1061-0405450402</w:t>
      </w:r>
    </w:p>
    <w:p w14:paraId="34DACACF" w14:textId="6B34A9B4" w:rsidR="003258C0" w:rsidRPr="0029743C" w:rsidRDefault="003258C0" w:rsidP="003258C0">
      <w:pPr>
        <w:pStyle w:val="References"/>
        <w:rPr>
          <w:szCs w:val="24"/>
        </w:rPr>
      </w:pPr>
      <w:r w:rsidRPr="0029743C">
        <w:rPr>
          <w:szCs w:val="24"/>
        </w:rPr>
        <w:t xml:space="preserve">Radford, L. (2021). </w:t>
      </w:r>
      <w:r w:rsidRPr="0029743C">
        <w:rPr>
          <w:i/>
          <w:szCs w:val="24"/>
        </w:rPr>
        <w:t>The theory of objectification. A Vygotskian perspective on knowing and becoming in mathematics teaching and learning</w:t>
      </w:r>
      <w:r w:rsidRPr="0029743C">
        <w:rPr>
          <w:szCs w:val="24"/>
        </w:rPr>
        <w:t>. Brill.</w:t>
      </w:r>
    </w:p>
    <w:p w14:paraId="22A59529" w14:textId="13B12C8C" w:rsidR="003258C0" w:rsidRPr="0029743C" w:rsidRDefault="003258C0" w:rsidP="003258C0">
      <w:pPr>
        <w:pStyle w:val="References"/>
        <w:rPr>
          <w:szCs w:val="24"/>
        </w:rPr>
      </w:pPr>
      <w:r w:rsidRPr="0029743C">
        <w:rPr>
          <w:szCs w:val="24"/>
          <w:highlight w:val="white"/>
        </w:rPr>
        <w:t xml:space="preserve">Repkin, V. (2003). Developmental teaching and learning activity. </w:t>
      </w:r>
      <w:r w:rsidRPr="0029743C">
        <w:rPr>
          <w:i/>
          <w:szCs w:val="24"/>
          <w:highlight w:val="white"/>
        </w:rPr>
        <w:t>Journal of Russian and East European Psychology, 41</w:t>
      </w:r>
      <w:r w:rsidRPr="0029743C">
        <w:rPr>
          <w:szCs w:val="24"/>
          <w:highlight w:val="white"/>
        </w:rPr>
        <w:t>(5), 10–33. https://doi.org/10.2753/RPO1061-0405410510</w:t>
      </w:r>
    </w:p>
    <w:p w14:paraId="1078BEE7" w14:textId="6B82B4EF" w:rsidR="00CE6A6A" w:rsidRPr="0029743C" w:rsidRDefault="003258C0" w:rsidP="003258C0">
      <w:pPr>
        <w:pStyle w:val="Referenslista"/>
        <w:rPr>
          <w:sz w:val="24"/>
          <w:szCs w:val="24"/>
          <w:highlight w:val="white"/>
        </w:rPr>
      </w:pPr>
      <w:r w:rsidRPr="0029743C">
        <w:rPr>
          <w:sz w:val="24"/>
          <w:szCs w:val="24"/>
          <w:highlight w:val="white"/>
          <w:lang w:val="en-US"/>
        </w:rPr>
        <w:t xml:space="preserve">Zuckerman, G. (2003). The learning activity in the first years of schooling. In A. </w:t>
      </w:r>
      <w:proofErr w:type="spellStart"/>
      <w:r w:rsidRPr="0029743C">
        <w:rPr>
          <w:sz w:val="24"/>
          <w:szCs w:val="24"/>
          <w:highlight w:val="white"/>
          <w:lang w:val="en-US"/>
        </w:rPr>
        <w:t>Kozulin</w:t>
      </w:r>
      <w:proofErr w:type="spellEnd"/>
      <w:r w:rsidRPr="0029743C">
        <w:rPr>
          <w:sz w:val="24"/>
          <w:szCs w:val="24"/>
          <w:highlight w:val="white"/>
          <w:lang w:val="en-US"/>
        </w:rPr>
        <w:t xml:space="preserve">, B. Gindis, V. S. </w:t>
      </w:r>
      <w:proofErr w:type="spellStart"/>
      <w:r w:rsidRPr="0029743C">
        <w:rPr>
          <w:sz w:val="24"/>
          <w:szCs w:val="24"/>
          <w:highlight w:val="white"/>
          <w:lang w:val="en-US"/>
        </w:rPr>
        <w:t>Ageyev</w:t>
      </w:r>
      <w:proofErr w:type="spellEnd"/>
      <w:r w:rsidRPr="0029743C">
        <w:rPr>
          <w:sz w:val="24"/>
          <w:szCs w:val="24"/>
          <w:highlight w:val="white"/>
          <w:lang w:val="en-US"/>
        </w:rPr>
        <w:t xml:space="preserve"> &amp; S. M. Miller (Eds.), </w:t>
      </w:r>
      <w:r w:rsidRPr="0029743C">
        <w:rPr>
          <w:i/>
          <w:sz w:val="24"/>
          <w:szCs w:val="24"/>
          <w:highlight w:val="white"/>
          <w:lang w:val="en-US"/>
        </w:rPr>
        <w:t xml:space="preserve">Vygotsky’s educational theory in cultural context </w:t>
      </w:r>
      <w:r w:rsidRPr="0029743C">
        <w:rPr>
          <w:sz w:val="24"/>
          <w:szCs w:val="24"/>
          <w:highlight w:val="white"/>
          <w:lang w:val="en-US"/>
        </w:rPr>
        <w:t xml:space="preserve">(pp. 177–199). </w:t>
      </w:r>
      <w:r w:rsidRPr="0029743C">
        <w:rPr>
          <w:sz w:val="24"/>
          <w:szCs w:val="24"/>
          <w:highlight w:val="white"/>
        </w:rPr>
        <w:t>Cambridge University Press. https://doi.org/10.1017/CBO9780511840975.011</w:t>
      </w:r>
    </w:p>
    <w:sectPr w:rsidR="00CE6A6A" w:rsidRPr="0029743C" w:rsidSect="000761F4">
      <w:headerReference w:type="default" r:id="rId7"/>
      <w:footerReference w:type="even" r:id="rId8"/>
      <w:footerReference w:type="default" r:id="rId9"/>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2ECA" w14:textId="77777777" w:rsidR="002D427D" w:rsidRDefault="002D427D">
      <w:pPr>
        <w:spacing w:line="240" w:lineRule="auto"/>
      </w:pPr>
      <w:r>
        <w:separator/>
      </w:r>
    </w:p>
  </w:endnote>
  <w:endnote w:type="continuationSeparator" w:id="0">
    <w:p w14:paraId="7A4DBA54" w14:textId="77777777" w:rsidR="002D427D" w:rsidRDefault="002D4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DDF1" w14:textId="77777777" w:rsidR="002D427D" w:rsidRDefault="002D427D">
      <w:pPr>
        <w:spacing w:line="240" w:lineRule="auto"/>
      </w:pPr>
      <w:r>
        <w:separator/>
      </w:r>
    </w:p>
  </w:footnote>
  <w:footnote w:type="continuationSeparator" w:id="0">
    <w:p w14:paraId="779BC47C" w14:textId="77777777" w:rsidR="002D427D" w:rsidRDefault="002D4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EEE43B1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AE8BCB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3"/>
    <w:multiLevelType w:val="singleLevel"/>
    <w:tmpl w:val="6430E68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12834D32"/>
    <w:multiLevelType w:val="hybridMultilevel"/>
    <w:tmpl w:val="80A26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7121D61"/>
    <w:multiLevelType w:val="hybridMultilevel"/>
    <w:tmpl w:val="056C3DF6"/>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B065B9"/>
    <w:multiLevelType w:val="hybridMultilevel"/>
    <w:tmpl w:val="CE0AD2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72768978">
    <w:abstractNumId w:val="0"/>
  </w:num>
  <w:num w:numId="2" w16cid:durableId="515655156">
    <w:abstractNumId w:val="5"/>
  </w:num>
  <w:num w:numId="3" w16cid:durableId="515995670">
    <w:abstractNumId w:val="6"/>
  </w:num>
  <w:num w:numId="4" w16cid:durableId="872688179">
    <w:abstractNumId w:val="2"/>
  </w:num>
  <w:num w:numId="5" w16cid:durableId="1380205870">
    <w:abstractNumId w:val="3"/>
  </w:num>
  <w:num w:numId="6" w16cid:durableId="2004241449">
    <w:abstractNumId w:val="1"/>
  </w:num>
  <w:num w:numId="7" w16cid:durableId="186247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2854"/>
    <w:rsid w:val="00053461"/>
    <w:rsid w:val="00064A57"/>
    <w:rsid w:val="000738A1"/>
    <w:rsid w:val="000744EA"/>
    <w:rsid w:val="000761F4"/>
    <w:rsid w:val="00084739"/>
    <w:rsid w:val="000D2258"/>
    <w:rsid w:val="000F7629"/>
    <w:rsid w:val="000F7BC9"/>
    <w:rsid w:val="00117643"/>
    <w:rsid w:val="00133F5F"/>
    <w:rsid w:val="0015389C"/>
    <w:rsid w:val="001E69ED"/>
    <w:rsid w:val="00202AB6"/>
    <w:rsid w:val="002311D2"/>
    <w:rsid w:val="002824CB"/>
    <w:rsid w:val="0029743C"/>
    <w:rsid w:val="002A38E1"/>
    <w:rsid w:val="002C65E6"/>
    <w:rsid w:val="002D427D"/>
    <w:rsid w:val="003258C0"/>
    <w:rsid w:val="00335C15"/>
    <w:rsid w:val="0037549B"/>
    <w:rsid w:val="003840CF"/>
    <w:rsid w:val="003B2647"/>
    <w:rsid w:val="0043415E"/>
    <w:rsid w:val="00455780"/>
    <w:rsid w:val="00461D61"/>
    <w:rsid w:val="004D0E7C"/>
    <w:rsid w:val="004E6BFD"/>
    <w:rsid w:val="00567E52"/>
    <w:rsid w:val="005710F8"/>
    <w:rsid w:val="00591483"/>
    <w:rsid w:val="0059652F"/>
    <w:rsid w:val="005A363B"/>
    <w:rsid w:val="005B481F"/>
    <w:rsid w:val="005E3911"/>
    <w:rsid w:val="006146EF"/>
    <w:rsid w:val="00672077"/>
    <w:rsid w:val="006D13D8"/>
    <w:rsid w:val="00737C28"/>
    <w:rsid w:val="0075497C"/>
    <w:rsid w:val="007628ED"/>
    <w:rsid w:val="007A1D83"/>
    <w:rsid w:val="007C7C5B"/>
    <w:rsid w:val="007F210F"/>
    <w:rsid w:val="00842F58"/>
    <w:rsid w:val="00853021"/>
    <w:rsid w:val="008C4C60"/>
    <w:rsid w:val="008D4B3D"/>
    <w:rsid w:val="0091579A"/>
    <w:rsid w:val="00926CCA"/>
    <w:rsid w:val="0093272E"/>
    <w:rsid w:val="00933A03"/>
    <w:rsid w:val="009B62E0"/>
    <w:rsid w:val="009C103B"/>
    <w:rsid w:val="009D0F65"/>
    <w:rsid w:val="00A2654B"/>
    <w:rsid w:val="00A47066"/>
    <w:rsid w:val="00A73F51"/>
    <w:rsid w:val="00A97DDD"/>
    <w:rsid w:val="00AE1944"/>
    <w:rsid w:val="00B06F92"/>
    <w:rsid w:val="00B13C57"/>
    <w:rsid w:val="00B241A3"/>
    <w:rsid w:val="00BC36AA"/>
    <w:rsid w:val="00BE7977"/>
    <w:rsid w:val="00BF7063"/>
    <w:rsid w:val="00C02220"/>
    <w:rsid w:val="00C05503"/>
    <w:rsid w:val="00C32D6E"/>
    <w:rsid w:val="00C44825"/>
    <w:rsid w:val="00CA5D64"/>
    <w:rsid w:val="00CD4CF6"/>
    <w:rsid w:val="00CE6A6A"/>
    <w:rsid w:val="00D1675C"/>
    <w:rsid w:val="00D32625"/>
    <w:rsid w:val="00D827A1"/>
    <w:rsid w:val="00DF26F2"/>
    <w:rsid w:val="00E72BE0"/>
    <w:rsid w:val="00E740F5"/>
    <w:rsid w:val="00E74510"/>
    <w:rsid w:val="00E77C36"/>
    <w:rsid w:val="00E90B43"/>
    <w:rsid w:val="00EB6B4D"/>
    <w:rsid w:val="00ED1FC9"/>
    <w:rsid w:val="00ED2199"/>
    <w:rsid w:val="00F42DFA"/>
    <w:rsid w:val="00F5400D"/>
    <w:rsid w:val="00F572B7"/>
    <w:rsid w:val="00F7473C"/>
    <w:rsid w:val="00FA4ED7"/>
    <w:rsid w:val="00FB0747"/>
    <w:rsid w:val="00FC65C5"/>
    <w:rsid w:val="00FD2CF2"/>
    <w:rsid w:val="00FE0C8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paragraph" w:styleId="Normalwebb">
    <w:name w:val="Normal (Web)"/>
    <w:basedOn w:val="Normal"/>
    <w:uiPriority w:val="99"/>
    <w:unhideWhenUsed/>
    <w:rsid w:val="00D1675C"/>
    <w:pPr>
      <w:autoSpaceDE/>
      <w:autoSpaceDN/>
      <w:spacing w:before="100" w:beforeAutospacing="1" w:after="100" w:afterAutospacing="1" w:line="240" w:lineRule="auto"/>
      <w:ind w:firstLine="0"/>
      <w:jc w:val="left"/>
    </w:pPr>
    <w:rPr>
      <w:sz w:val="24"/>
      <w:szCs w:val="24"/>
      <w:lang w:val="sv-FI" w:eastAsia="sv-SE"/>
    </w:rPr>
  </w:style>
  <w:style w:type="character" w:styleId="Stark">
    <w:name w:val="Strong"/>
    <w:basedOn w:val="Standardstycketeckensnitt"/>
    <w:uiPriority w:val="22"/>
    <w:qFormat/>
    <w:rsid w:val="00D1675C"/>
    <w:rPr>
      <w:b/>
      <w:bCs/>
    </w:rPr>
  </w:style>
  <w:style w:type="character" w:styleId="Betoning">
    <w:name w:val="Emphasis"/>
    <w:basedOn w:val="Standardstycketeckensnitt"/>
    <w:uiPriority w:val="20"/>
    <w:qFormat/>
    <w:rsid w:val="00D1675C"/>
    <w:rPr>
      <w:i/>
      <w:iCs/>
    </w:rPr>
  </w:style>
  <w:style w:type="paragraph" w:customStyle="1" w:styleId="Referenslista">
    <w:name w:val="Referenslista"/>
    <w:basedOn w:val="Normal"/>
    <w:autoRedefine/>
    <w:qFormat/>
    <w:rsid w:val="003258C0"/>
    <w:pPr>
      <w:autoSpaceDE/>
      <w:autoSpaceDN/>
      <w:spacing w:after="100" w:afterAutospacing="1" w:line="276" w:lineRule="auto"/>
      <w:ind w:left="284" w:hanging="284"/>
      <w:contextualSpacing/>
      <w:jc w:val="left"/>
    </w:pPr>
    <w:rPr>
      <w:rFonts w:cstheme="majorHAnsi"/>
      <w:iCs/>
      <w:sz w:val="22"/>
      <w:szCs w:val="22"/>
      <w:lang w:val="sv-SE" w:eastAsia="sv-SE"/>
    </w:rPr>
  </w:style>
  <w:style w:type="character" w:styleId="Hyperlnk">
    <w:name w:val="Hyperlink"/>
    <w:basedOn w:val="Standardstycketeckensnitt"/>
    <w:unhideWhenUsed/>
    <w:rsid w:val="003258C0"/>
    <w:rPr>
      <w:color w:val="0000FF" w:themeColor="hyperlink"/>
      <w:u w:val="single"/>
    </w:rPr>
  </w:style>
  <w:style w:type="character" w:styleId="Olstomnmnande">
    <w:name w:val="Unresolved Mention"/>
    <w:basedOn w:val="Standardstycketeckensnitt"/>
    <w:uiPriority w:val="99"/>
    <w:semiHidden/>
    <w:unhideWhenUsed/>
    <w:rsid w:val="003258C0"/>
    <w:rPr>
      <w:color w:val="605E5C"/>
      <w:shd w:val="clear" w:color="auto" w:fill="E1DFDD"/>
    </w:rPr>
  </w:style>
  <w:style w:type="character" w:styleId="AnvndHyperlnk">
    <w:name w:val="FollowedHyperlink"/>
    <w:basedOn w:val="Standardstycketeckensnitt"/>
    <w:semiHidden/>
    <w:unhideWhenUsed/>
    <w:rsid w:val="0015389C"/>
    <w:rPr>
      <w:color w:val="800080" w:themeColor="followedHyperlink"/>
      <w:u w:val="single"/>
    </w:rPr>
  </w:style>
  <w:style w:type="character" w:styleId="Kommentarsreferens">
    <w:name w:val="annotation reference"/>
    <w:basedOn w:val="Standardstycketeckensnitt"/>
    <w:semiHidden/>
    <w:unhideWhenUsed/>
    <w:rsid w:val="00335C15"/>
    <w:rPr>
      <w:sz w:val="16"/>
      <w:szCs w:val="16"/>
    </w:rPr>
  </w:style>
  <w:style w:type="paragraph" w:styleId="Kommentarer">
    <w:name w:val="annotation text"/>
    <w:basedOn w:val="Normal"/>
    <w:link w:val="KommentarerChar"/>
    <w:semiHidden/>
    <w:unhideWhenUsed/>
    <w:rsid w:val="00335C15"/>
    <w:pPr>
      <w:spacing w:line="240" w:lineRule="auto"/>
    </w:pPr>
    <w:rPr>
      <w:sz w:val="20"/>
      <w:szCs w:val="20"/>
    </w:rPr>
  </w:style>
  <w:style w:type="character" w:customStyle="1" w:styleId="KommentarerChar">
    <w:name w:val="Kommentarer Char"/>
    <w:basedOn w:val="Standardstycketeckensnitt"/>
    <w:link w:val="Kommentarer"/>
    <w:semiHidden/>
    <w:rsid w:val="00335C15"/>
    <w:rPr>
      <w:lang w:val="en-GB" w:eastAsia="en-US"/>
    </w:rPr>
  </w:style>
  <w:style w:type="paragraph" w:styleId="Kommentarsmne">
    <w:name w:val="annotation subject"/>
    <w:basedOn w:val="Kommentarer"/>
    <w:next w:val="Kommentarer"/>
    <w:link w:val="KommentarsmneChar"/>
    <w:semiHidden/>
    <w:unhideWhenUsed/>
    <w:rsid w:val="00335C15"/>
    <w:rPr>
      <w:b/>
      <w:bCs/>
    </w:rPr>
  </w:style>
  <w:style w:type="character" w:customStyle="1" w:styleId="KommentarsmneChar">
    <w:name w:val="Kommentarsämne Char"/>
    <w:basedOn w:val="KommentarerChar"/>
    <w:link w:val="Kommentarsmne"/>
    <w:semiHidden/>
    <w:rsid w:val="00335C15"/>
    <w:rPr>
      <w:b/>
      <w:bCs/>
      <w:lang w:val="en-GB" w:eastAsia="en-US"/>
    </w:rPr>
  </w:style>
  <w:style w:type="paragraph" w:styleId="Ballongtext">
    <w:name w:val="Balloon Text"/>
    <w:basedOn w:val="Normal"/>
    <w:link w:val="BallongtextChar"/>
    <w:semiHidden/>
    <w:unhideWhenUsed/>
    <w:rsid w:val="00E74510"/>
    <w:pPr>
      <w:spacing w:line="240" w:lineRule="auto"/>
    </w:pPr>
    <w:rPr>
      <w:sz w:val="18"/>
      <w:szCs w:val="18"/>
    </w:rPr>
  </w:style>
  <w:style w:type="character" w:customStyle="1" w:styleId="BallongtextChar">
    <w:name w:val="Ballongtext Char"/>
    <w:basedOn w:val="Standardstycketeckensnitt"/>
    <w:link w:val="Ballongtext"/>
    <w:semiHidden/>
    <w:rsid w:val="00E74510"/>
    <w:rPr>
      <w:sz w:val="18"/>
      <w:szCs w:val="18"/>
      <w:lang w:val="en-GB" w:eastAsia="en-US"/>
    </w:rPr>
  </w:style>
  <w:style w:type="paragraph" w:styleId="Liststycke">
    <w:name w:val="List Paragraph"/>
    <w:basedOn w:val="Normal"/>
    <w:autoRedefine/>
    <w:uiPriority w:val="34"/>
    <w:qFormat/>
    <w:rsid w:val="0093272E"/>
    <w:pPr>
      <w:autoSpaceDE/>
      <w:autoSpaceDN/>
      <w:spacing w:after="120" w:line="276" w:lineRule="auto"/>
      <w:ind w:left="720" w:firstLine="0"/>
      <w:contextualSpacing/>
      <w:jc w:val="left"/>
    </w:pPr>
    <w:rPr>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6788">
      <w:bodyDiv w:val="1"/>
      <w:marLeft w:val="0"/>
      <w:marRight w:val="0"/>
      <w:marTop w:val="0"/>
      <w:marBottom w:val="0"/>
      <w:divBdr>
        <w:top w:val="none" w:sz="0" w:space="0" w:color="auto"/>
        <w:left w:val="none" w:sz="0" w:space="0" w:color="auto"/>
        <w:bottom w:val="none" w:sz="0" w:space="0" w:color="auto"/>
        <w:right w:val="none" w:sz="0" w:space="0" w:color="auto"/>
      </w:divBdr>
      <w:divsChild>
        <w:div w:id="156429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9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745676">
      <w:bodyDiv w:val="1"/>
      <w:marLeft w:val="0"/>
      <w:marRight w:val="0"/>
      <w:marTop w:val="0"/>
      <w:marBottom w:val="0"/>
      <w:divBdr>
        <w:top w:val="none" w:sz="0" w:space="0" w:color="auto"/>
        <w:left w:val="none" w:sz="0" w:space="0" w:color="auto"/>
        <w:bottom w:val="none" w:sz="0" w:space="0" w:color="auto"/>
        <w:right w:val="none" w:sz="0" w:space="0" w:color="auto"/>
      </w:divBdr>
    </w:div>
    <w:div w:id="2006123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4780</Characters>
  <Application>Microsoft Office Word</Application>
  <DocSecurity>0</DocSecurity>
  <Lines>39</Lines>
  <Paragraphs>11</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2025-11-05T15:16:00Z</dcterms:created>
  <dcterms:modified xsi:type="dcterms:W3CDTF">2025-11-10T15:02:00Z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e51f9335-38ee-49f9-9fbf-f3fe05412006</vt:lpwstr>
  </property>
</Properties>
</file>