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69E2A" w14:textId="77777777" w:rsidR="00084739" w:rsidRPr="00084739" w:rsidRDefault="00084739" w:rsidP="00084739">
      <w:pPr>
        <w:pStyle w:val="Brdtext"/>
      </w:pPr>
    </w:p>
    <w:p w14:paraId="3D087219" w14:textId="7E3C7581" w:rsidR="00F5400D" w:rsidRDefault="00AE0BD9" w:rsidP="000761F4">
      <w:pPr>
        <w:pStyle w:val="Rubrik1"/>
      </w:pPr>
      <w:r w:rsidRPr="00AE0BD9">
        <w:t xml:space="preserve">Two teachers’ experiences of a large-scale scripted mathematics teaching program </w:t>
      </w:r>
      <w:r w:rsidR="00AE48CE">
        <w:t>intervention</w:t>
      </w:r>
    </w:p>
    <w:p w14:paraId="1895681C" w14:textId="41BE23F4" w:rsidR="00461A64" w:rsidRPr="00451D12" w:rsidRDefault="00461A64" w:rsidP="00461A64">
      <w:pPr>
        <w:pStyle w:val="Rubrik8"/>
        <w:rPr>
          <w:lang w:val="sv-SE"/>
        </w:rPr>
      </w:pPr>
      <w:r w:rsidRPr="00451D12">
        <w:rPr>
          <w:lang w:val="sv-SE"/>
        </w:rPr>
        <w:t>Petra Svensson Källberg</w:t>
      </w:r>
      <w:r>
        <w:rPr>
          <w:lang w:val="sv-SE"/>
        </w:rPr>
        <w:t xml:space="preserve">, </w:t>
      </w:r>
      <w:r w:rsidRPr="00451D12">
        <w:rPr>
          <w:lang w:val="sv-SE"/>
        </w:rPr>
        <w:t xml:space="preserve">Ulrika </w:t>
      </w:r>
      <w:r w:rsidR="00B66880" w:rsidRPr="00451D12">
        <w:rPr>
          <w:lang w:val="sv-SE"/>
        </w:rPr>
        <w:t>Ryan</w:t>
      </w:r>
      <w:r w:rsidR="00B66880">
        <w:rPr>
          <w:lang w:val="sv-SE"/>
        </w:rPr>
        <w:t xml:space="preserve">, </w:t>
      </w:r>
      <w:r w:rsidR="00B66880" w:rsidRPr="00451D12">
        <w:rPr>
          <w:lang w:val="sv-SE"/>
        </w:rPr>
        <w:t>&amp;</w:t>
      </w:r>
      <w:r>
        <w:rPr>
          <w:lang w:val="sv-SE"/>
        </w:rPr>
        <w:t xml:space="preserve"> Charlotte Lagerholm</w:t>
      </w:r>
    </w:p>
    <w:p w14:paraId="7F7E52E4" w14:textId="694178FC" w:rsidR="00EE6EDE" w:rsidRPr="00EE6EDE" w:rsidRDefault="00461A64" w:rsidP="00461A64">
      <w:pPr>
        <w:pStyle w:val="Rubrik9"/>
      </w:pPr>
      <w:r w:rsidRPr="004F68F9">
        <w:t xml:space="preserve">Malmö university </w:t>
      </w:r>
    </w:p>
    <w:p w14:paraId="2CC85D9F" w14:textId="18A6EFDF" w:rsidR="005A6DCB" w:rsidRPr="00021591" w:rsidRDefault="00021591" w:rsidP="005A6DCB">
      <w:pPr>
        <w:pStyle w:val="Abstract"/>
      </w:pPr>
      <w:r w:rsidRPr="00021591">
        <w:t>Through phenomenological analysis, th</w:t>
      </w:r>
      <w:r w:rsidR="00BE579E">
        <w:t>is extreme case</w:t>
      </w:r>
      <w:r w:rsidRPr="00021591">
        <w:t xml:space="preserve"> study </w:t>
      </w:r>
      <w:r w:rsidR="00811773">
        <w:t>identifies</w:t>
      </w:r>
      <w:r w:rsidRPr="00021591">
        <w:t xml:space="preserve"> conflicts</w:t>
      </w:r>
      <w:r w:rsidR="00907875">
        <w:t xml:space="preserve"> as key phenomena</w:t>
      </w:r>
      <w:r w:rsidRPr="00021591">
        <w:t xml:space="preserve"> </w:t>
      </w:r>
      <w:r w:rsidR="00907875">
        <w:t>when two</w:t>
      </w:r>
      <w:r w:rsidRPr="00021591">
        <w:t xml:space="preserve"> teachers engage </w:t>
      </w:r>
      <w:r w:rsidR="00907875">
        <w:t>in</w:t>
      </w:r>
      <w:r w:rsidRPr="00021591">
        <w:t xml:space="preserve"> </w:t>
      </w:r>
      <w:r w:rsidR="007668D4" w:rsidRPr="00021591">
        <w:t>a large-scale, scripted mathematics teaching program</w:t>
      </w:r>
      <w:r w:rsidR="00F332B4">
        <w:t>. The conflicts</w:t>
      </w:r>
      <w:r w:rsidR="00811773">
        <w:t xml:space="preserve"> relate</w:t>
      </w:r>
      <w:r w:rsidRPr="00021591">
        <w:t xml:space="preserve"> to the</w:t>
      </w:r>
      <w:r w:rsidR="00F332B4">
        <w:t xml:space="preserve"> teachers’</w:t>
      </w:r>
      <w:r w:rsidRPr="00021591">
        <w:t xml:space="preserve"> professional expertise, societal and policy expectations and demands, and didactical considerations. </w:t>
      </w:r>
      <w:r w:rsidR="005A6DCB" w:rsidRPr="00021591">
        <w:t>We conclude that scaling should not only be understood as scaling up, but rather as scaling down</w:t>
      </w:r>
      <w:r w:rsidR="00BE579E">
        <w:t xml:space="preserve"> - </w:t>
      </w:r>
      <w:r w:rsidR="005A6DCB" w:rsidRPr="00021591">
        <w:t>adapting programs to specific local contexts</w:t>
      </w:r>
      <w:r w:rsidR="00F332B4">
        <w:t>,</w:t>
      </w:r>
      <w:r w:rsidR="005A6DCB" w:rsidRPr="00021591">
        <w:t xml:space="preserve"> </w:t>
      </w:r>
      <w:r w:rsidR="00C963C6">
        <w:t xml:space="preserve">and </w:t>
      </w:r>
      <w:r w:rsidR="00FC798E">
        <w:t>that i</w:t>
      </w:r>
      <w:r w:rsidR="00FC798E" w:rsidRPr="00FC798E">
        <w:t>mplementation of scaled research findings ought to consider teachers’ professionalism as a matter of ethics.</w:t>
      </w:r>
    </w:p>
    <w:p w14:paraId="5EC7536E" w14:textId="77777777" w:rsidR="002370A8" w:rsidRPr="004F68F9" w:rsidRDefault="002370A8" w:rsidP="00AE0BD9"/>
    <w:p w14:paraId="7A8FD04B" w14:textId="74A39BED" w:rsidR="00774B3C" w:rsidRDefault="000F175D" w:rsidP="000F175D">
      <w:pPr>
        <w:ind w:firstLine="0"/>
      </w:pPr>
      <w:r>
        <w:t xml:space="preserve">The issue of bringing research evidence into teachers’ practices has been long debated. Already in 1975 </w:t>
      </w:r>
      <w:r w:rsidRPr="00656547">
        <w:t>Stenhouse</w:t>
      </w:r>
      <w:r>
        <w:t xml:space="preserve"> suggested that researchers and teachers work closely together to successfully connect research findings and teaching practice (Elliot, 2024). </w:t>
      </w:r>
      <w:r w:rsidRPr="00E960C9">
        <w:t>Stenhouse’s suggestion for implementation of research is small-scale, highly contextualised, and require teachers’ conceptual engagement with research findings.</w:t>
      </w:r>
      <w:r>
        <w:t xml:space="preserve"> In contrast, instrumental use of research findings </w:t>
      </w:r>
      <w:r w:rsidR="00B8638C">
        <w:t>leaves</w:t>
      </w:r>
      <w:r>
        <w:t xml:space="preserve"> teachers to implement a particular teaching model in their classroom without any deeper conceptual engagement with the research findings that support the model (Sjölund et al., 2022). An extreme version of instrumental implementation of research findings is so-called scripted teaching programs</w:t>
      </w:r>
      <w:r w:rsidR="00B8638C">
        <w:t xml:space="preserve"> </w:t>
      </w:r>
      <w:r w:rsidR="00B8638C" w:rsidRPr="00C66F3A">
        <w:t>(Ede, 2006)</w:t>
      </w:r>
      <w:r>
        <w:t xml:space="preserve"> which recently has gained popularity in Sweden particularly for mathematics education in the early schoolyears. Several municipalities have enforced sweeping implementation of scripted teaching mathematics curriculum reforms targeting thousands of teachers and their students (see</w:t>
      </w:r>
      <w:r w:rsidR="00E63532">
        <w:t xml:space="preserve"> </w:t>
      </w:r>
      <w:r w:rsidRPr="00C54920">
        <w:t>Helenius, 2022</w:t>
      </w:r>
      <w:r>
        <w:t>) hoping to improve students’ mathematics learning. Scripted teaching programs leave little or no room for teachers to adjust the curriculum to their own teaching practice and context (</w:t>
      </w:r>
      <w:r w:rsidRPr="00C54920">
        <w:t>Ede, 2006; Zhang &amp; Sweller, 2023</w:t>
      </w:r>
      <w:r>
        <w:t xml:space="preserve">). In other words, research findings have been implemented at scale with no possibilities for adjustments to local context or personal teaching practices. This is in stark contrast to Swedish educational culture where, traditionally, a policy of empowerment that gives teachers a great deal of autonomy in their teaching has been prevailing (Ryve &amp; Hemmi, 2019). This raises questions about the effects of </w:t>
      </w:r>
      <w:r w:rsidRPr="00F24D19">
        <w:t>enforced sweeping implementation of scripted teaching mathematics curriculum reforms</w:t>
      </w:r>
      <w:r>
        <w:t xml:space="preserve"> not only in terms of its potential efficiency, but also about teachers’ lived experiences with the program which is the focus of the present study.</w:t>
      </w:r>
    </w:p>
    <w:p w14:paraId="4048CFD8" w14:textId="28566D57" w:rsidR="0D32AAE3" w:rsidRDefault="000F175D" w:rsidP="00C66F3A">
      <w:r>
        <w:t>Hence, the present case study investigates two teachers’ experiences of participation in a large-scale scripted mathematics teaching program in Sweden</w:t>
      </w:r>
      <w:r w:rsidR="00B8638C">
        <w:t xml:space="preserve"> concerning</w:t>
      </w:r>
      <w:r>
        <w:t xml:space="preserve"> the </w:t>
      </w:r>
      <w:r>
        <w:lastRenderedPageBreak/>
        <w:t xml:space="preserve">implementation process, the content, the teaching methods, and outcomes. </w:t>
      </w:r>
      <w:r w:rsidR="00B67CFF">
        <w:t xml:space="preserve">This aligns with Ahl et al.’s (2022) conclusion that small-scale studies are needed </w:t>
      </w:r>
      <w:r w:rsidR="00F1727A">
        <w:t>to</w:t>
      </w:r>
      <w:r w:rsidR="00B67CFF">
        <w:t xml:space="preserve"> complement large-scale </w:t>
      </w:r>
      <w:r w:rsidR="00F1727A">
        <w:t>evaluations,</w:t>
      </w:r>
      <w:r w:rsidR="00B67CFF">
        <w:t xml:space="preserve"> </w:t>
      </w:r>
      <w:r w:rsidR="00F1727A">
        <w:t xml:space="preserve">as </w:t>
      </w:r>
      <w:r w:rsidR="00B67CFF">
        <w:t xml:space="preserve">they are essential for </w:t>
      </w:r>
      <w:r w:rsidR="00F1727A">
        <w:t>gaining an</w:t>
      </w:r>
      <w:r w:rsidR="00B67CFF">
        <w:t xml:space="preserve"> </w:t>
      </w:r>
      <w:r w:rsidR="00F1727A">
        <w:t>in-</w:t>
      </w:r>
      <w:r w:rsidR="00B67CFF">
        <w:t xml:space="preserve">depth understanding of what works and why. </w:t>
      </w:r>
      <w:r>
        <w:t>This study adopts a phenomenological approach</w:t>
      </w:r>
      <w:r w:rsidR="00B8638C">
        <w:t xml:space="preserve"> (Sohn et al., 2017)</w:t>
      </w:r>
      <w:r>
        <w:t xml:space="preserve"> </w:t>
      </w:r>
      <w:r w:rsidR="00B8638C">
        <w:t>b</w:t>
      </w:r>
      <w:r>
        <w:t xml:space="preserve">y focusing on the meanings that two teachers, Anna and Hanna </w:t>
      </w:r>
      <w:r w:rsidRPr="00513F87">
        <w:t>(pseudonyms)</w:t>
      </w:r>
      <w:r>
        <w:t>, ascribe to the</w:t>
      </w:r>
      <w:r w:rsidR="00B8638C">
        <w:t>ir</w:t>
      </w:r>
      <w:r>
        <w:t xml:space="preserve"> experiences</w:t>
      </w:r>
      <w:r w:rsidR="0027767A">
        <w:t>.</w:t>
      </w:r>
      <w:r>
        <w:t xml:space="preserve"> </w:t>
      </w:r>
      <w:r w:rsidR="0027767A">
        <w:t>T</w:t>
      </w:r>
      <w:r>
        <w:t>he study provides empirical insights about the implementation of a scripted teaching program at “grassroot level”. The guiding questions are: How do teachers experience a scripted teaching program? What phenomena emerge from the teachers’ experiences?</w:t>
      </w:r>
    </w:p>
    <w:p w14:paraId="1E6CB4E2" w14:textId="25A7294F" w:rsidR="00AE0BD9" w:rsidRPr="00AE0BD9" w:rsidRDefault="0801B77F" w:rsidP="00AE0BD9">
      <w:pPr>
        <w:pStyle w:val="Rubrik2"/>
        <w:rPr>
          <w:lang w:val="en-US"/>
        </w:rPr>
      </w:pPr>
      <w:r w:rsidRPr="0801B77F">
        <w:rPr>
          <w:lang w:val="en-US"/>
        </w:rPr>
        <w:t>Background</w:t>
      </w:r>
    </w:p>
    <w:p w14:paraId="5887F77B" w14:textId="21311283" w:rsidR="00AE0BD9" w:rsidRDefault="5D9FD058" w:rsidP="00AB3C6E">
      <w:pPr>
        <w:pStyle w:val="Brdtext"/>
      </w:pPr>
      <w:r>
        <w:t xml:space="preserve">Scripted teaching programs prescribe, in detail, instructions for how the teaching shall unfold in the classroom. This may include what the teacher must say, how to treat expected student responses, what activities to perform for how long and so forth. The idea of prescriptive teaching is to strongly regulate teachers’ actions to secure that all students receive the same quality of teaching (Ede, 2006; Zhang &amp; Sweller, 2023). The intension of scripted teaching is to target inequity in instruction quality and achievements of underperforming students. There is uncertainty about scripted programs’ efficiency. For example, in the US, where scripted teaching programs were launched broadly at the beginning of the millennium, inequity in students’ performance maintains (Vaughn et al., 2022). </w:t>
      </w:r>
      <w:r w:rsidR="00AE0BD9" w:rsidRPr="00AB3C6E">
        <w:t>Scripted teaching offers a fixed program with little or no possibilities to make pedagogical adaptations. This means for example that considerations based on the didactic triad of teacher, students and content, becomes a matter for the designer of the script rather than for the teacher to consider</w:t>
      </w:r>
      <w:r w:rsidR="002F24CC" w:rsidRPr="00AB3C6E">
        <w:t xml:space="preserve"> </w:t>
      </w:r>
      <w:r w:rsidR="00AE0BD9" w:rsidRPr="00AB3C6E">
        <w:t xml:space="preserve">when planning, conducting, and reflecting on their teaching. </w:t>
      </w:r>
    </w:p>
    <w:p w14:paraId="59F7C34A" w14:textId="5A75CC66" w:rsidR="00A525B6" w:rsidRDefault="00A525B6" w:rsidP="003A30AC">
      <w:r w:rsidRPr="0D32AAE3">
        <w:rPr>
          <w:color w:val="000000" w:themeColor="text1"/>
          <w:szCs w:val="26"/>
        </w:rPr>
        <w:t xml:space="preserve">In the context of scaling up, Palmér et al. (2025) discuss the tension between maintaining fidelity and allowing adaptation during a large-scale implementation of a preschool mathematics innovation in Sweden. Their findings indicate that when teachers adhered strictly to the scripted teaching their teaching became artificial and disconnected from children’s experiences, needs, and interests. In contrast, productive adaptations were associated with greater spread, sustainability, and teacher ownership, hence key indicators of successful implementation. </w:t>
      </w:r>
      <w:r w:rsidR="00D74D6F">
        <w:rPr>
          <w:color w:val="000000" w:themeColor="text1"/>
          <w:szCs w:val="26"/>
        </w:rPr>
        <w:t>Ryve and Hemmi (2019)</w:t>
      </w:r>
      <w:r w:rsidR="00D74D6F" w:rsidRPr="00D74D6F">
        <w:t xml:space="preserve"> </w:t>
      </w:r>
      <w:r w:rsidR="00A94980">
        <w:t>drew similar conclusions in their study on the role of implicit contextual factors</w:t>
      </w:r>
      <w:r w:rsidR="003A30AC">
        <w:t xml:space="preserve"> such as positionings of teachers in the classroom and in the educational system, and visible and invisible pedagogical traditions, </w:t>
      </w:r>
      <w:r w:rsidR="00A94980">
        <w:t xml:space="preserve">for implementing large-scale projects in Sweden. They </w:t>
      </w:r>
      <w:r w:rsidR="003A30AC">
        <w:t>emphasised the importance of</w:t>
      </w:r>
      <w:r w:rsidR="00A94980">
        <w:t xml:space="preserve"> </w:t>
      </w:r>
      <w:r w:rsidR="00ED0E28">
        <w:t>address</w:t>
      </w:r>
      <w:r w:rsidR="003A30AC">
        <w:t>ing</w:t>
      </w:r>
      <w:r w:rsidR="00ED0E28">
        <w:t xml:space="preserve"> implicit contextual factors when </w:t>
      </w:r>
      <w:r w:rsidR="003A30AC">
        <w:t>scaling-up</w:t>
      </w:r>
      <w:r w:rsidR="00ED0E28">
        <w:t>.</w:t>
      </w:r>
      <w:r w:rsidR="007B25DF">
        <w:t xml:space="preserve"> </w:t>
      </w:r>
    </w:p>
    <w:p w14:paraId="4FA61480" w14:textId="5A85050E" w:rsidR="00EE6B96" w:rsidRPr="003A30AC" w:rsidRDefault="2CBA6E5D" w:rsidP="003A30AC">
      <w:r>
        <w:t xml:space="preserve">The scripted teaching program that the two teachers participated in targets half of the mathematics lessons in each school year from </w:t>
      </w:r>
      <w:r w:rsidR="002F24CC">
        <w:t>Grade</w:t>
      </w:r>
      <w:r>
        <w:t xml:space="preserve"> 1 to 3. The program has been scaled pedagogically to cover three years of mathematics education based on findings from a 12 </w:t>
      </w:r>
      <w:r w:rsidR="00F973F1">
        <w:t>weeklong</w:t>
      </w:r>
      <w:r>
        <w:t xml:space="preserve"> randomized control experiment with 62 pre-school class-students in the experiment group, and 62 in the control group (Sterner et al., 2020). Further, the program has been scaled to cover an intervention comprising at least 14 municipalities </w:t>
      </w:r>
      <w:r>
        <w:lastRenderedPageBreak/>
        <w:t>and over 1000 teachers and their students (Ahl et al., 2022).</w:t>
      </w:r>
      <w:r w:rsidR="003A30AC">
        <w:t xml:space="preserve"> </w:t>
      </w:r>
      <w:r w:rsidR="00AE0BD9">
        <w:t xml:space="preserve">To support implementation of the presumed highly complex scripted teaching program, an advanced implementation model that comprised stakeholders at different levels was used (Helenius, 2022). The model included </w:t>
      </w:r>
      <w:r w:rsidR="002370A8">
        <w:t xml:space="preserve">among other things </w:t>
      </w:r>
      <w:r w:rsidR="00AE0BD9">
        <w:t xml:space="preserve">the design of a stakeholder group of teachers, so called process leaders. </w:t>
      </w:r>
      <w:r w:rsidR="00A525B6">
        <w:t>While implementation strategies and teachers’ fidelity to the scripted teaching program (Ahl et al., 2022) have been investigated, less is known about teachers’ experiences of participating in the program.</w:t>
      </w:r>
    </w:p>
    <w:p w14:paraId="74C50F92" w14:textId="2D1C78F6" w:rsidR="00BD6E6B" w:rsidRDefault="6ECA6904" w:rsidP="00BD6E6B">
      <w:pPr>
        <w:pStyle w:val="Rubrik2"/>
      </w:pPr>
      <w:r>
        <w:t>Theory – a phenomenological approach</w:t>
      </w:r>
    </w:p>
    <w:p w14:paraId="15940F20" w14:textId="3095C476" w:rsidR="000F175D" w:rsidRPr="00806F59" w:rsidRDefault="000F175D" w:rsidP="003A30AC">
      <w:pPr>
        <w:pStyle w:val="Brdtext"/>
      </w:pPr>
      <w:r>
        <w:t xml:space="preserve">We use </w:t>
      </w:r>
      <w:r w:rsidRPr="00930053">
        <w:t xml:space="preserve">hermeneutic phenomenology, drawing primarily on </w:t>
      </w:r>
      <w:r>
        <w:t>Sohn et al.’s (2017) interpretation of</w:t>
      </w:r>
      <w:r w:rsidRPr="00930053">
        <w:t xml:space="preserve"> Merleau-Ponty’s philosophy of perception and meaning</w:t>
      </w:r>
      <w:r>
        <w:t xml:space="preserve"> to focus on Anna and Hanna’s lived experiences of the scripted teaching program. Lived experiences refer to how people perceive and make sense of their experiences with an emphasis on the subjective and interpretive dimension of human consciousness. </w:t>
      </w:r>
      <w:r w:rsidR="00AF287A">
        <w:t>H</w:t>
      </w:r>
      <w:r>
        <w:t xml:space="preserve">umans are not passive we take intentional stances towards things and occurrences. </w:t>
      </w:r>
      <w:r w:rsidR="00AF287A">
        <w:t>Hence</w:t>
      </w:r>
      <w:r>
        <w:t>, p</w:t>
      </w:r>
      <w:r w:rsidRPr="008E0D19">
        <w:t>henomena appear as meaningful wholes against a contextual ground.</w:t>
      </w:r>
      <w:r>
        <w:t xml:space="preserve"> </w:t>
      </w:r>
      <w:r w:rsidR="00AF287A">
        <w:t>L</w:t>
      </w:r>
      <w:r>
        <w:t xml:space="preserve">ived experiences include subjective perceptions, emotions, and social interactions (Sohn et al., 2017). The aim of phenomenological analysis is to identify core meanings of the phenomenon that reveal itself through analysis of lived experiences (Sohn et al., 2017). </w:t>
      </w:r>
    </w:p>
    <w:p w14:paraId="7C30CEC0" w14:textId="77765AA0" w:rsidR="000F175D" w:rsidRDefault="000F175D" w:rsidP="000B7FAF">
      <w:pPr>
        <w:ind w:firstLine="0"/>
      </w:pPr>
      <w:r>
        <w:t>In phenomenological analysis, bracketing or epoché is required</w:t>
      </w:r>
      <w:r w:rsidR="00AF287A">
        <w:t>,</w:t>
      </w:r>
      <w:r>
        <w:t xml:space="preserve"> meaning that researchers set aside preconceived understandings and biases to understand the phenomena at stake (Sohn et al., 2017). Skovsmose (2014) argued that epoché requires researchers’ “pure” and transparent noticing which is not possible since our conscious can be “be dubious, distorted, mischievous, or simply wrong” (p. 44). </w:t>
      </w:r>
      <w:r w:rsidR="000B7FAF">
        <w:t xml:space="preserve">Relatedly, </w:t>
      </w:r>
      <w:r>
        <w:t>Sohn et al. (2017) suggested that researchers use a bracketing procedure t</w:t>
      </w:r>
      <w:r w:rsidRPr="00A27B84">
        <w:t>o heighten self-awareness of pre-understandings that could influence data collection and interpretation.</w:t>
      </w:r>
      <w:r w:rsidR="00062F43">
        <w:t xml:space="preserve"> </w:t>
      </w:r>
      <w:r>
        <w:t xml:space="preserve">We recognise that, opaqueness influenced what the teachers said during the interviews and what we noticed </w:t>
      </w:r>
      <w:r w:rsidR="00A5122D">
        <w:t xml:space="preserve">in the </w:t>
      </w:r>
      <w:r w:rsidR="00A5122D" w:rsidRPr="00BC6B9F">
        <w:t>analysis</w:t>
      </w:r>
      <w:r w:rsidRPr="00BC6B9F">
        <w:t xml:space="preserve"> </w:t>
      </w:r>
      <w:r w:rsidRPr="00021BD2">
        <w:t>which has implications for the findings of this study.</w:t>
      </w:r>
      <w:r>
        <w:t xml:space="preserve"> </w:t>
      </w:r>
    </w:p>
    <w:p w14:paraId="2E63EE95" w14:textId="01B44245" w:rsidR="006733D7" w:rsidRPr="006733D7" w:rsidRDefault="00EE6B96" w:rsidP="006733D7">
      <w:pPr>
        <w:pStyle w:val="Rubrik2"/>
      </w:pPr>
      <w:r>
        <w:t>Methodology</w:t>
      </w:r>
      <w:r w:rsidR="00AB6AD3">
        <w:t xml:space="preserve"> – researching teacher experiences</w:t>
      </w:r>
    </w:p>
    <w:p w14:paraId="78442AEF" w14:textId="16D07102" w:rsidR="00062F43" w:rsidRPr="00062F43" w:rsidRDefault="000F175D" w:rsidP="00AB3C6E">
      <w:pPr>
        <w:ind w:firstLine="0"/>
      </w:pPr>
      <w:r>
        <w:t xml:space="preserve">To gain understanding of teachers’ experiences of a scripted teaching program we focused on the meaning they ascribed to those experiences. Hence, a case study (Flyvbjerg, 2006) with a phenomenological approach was conducted. Data was generated through individual semi-structured in-depth interviews with two teachers working in schools located in a municipality characterized by (extremely) high socioeconomic status. This qualifies as an extreme case (Flyvbjerg, 2006) as the study is situated in an unusual Swedish context marked by notably high student performance in mathematics and a large proportion of parents with academic backgrounds. The teachers were selected for participation due to their lived experiences with participating in and working with the program and willingness to participate. Informed consent for participation was obtained according to The Swedish Research Council’s guidelines (2017). Hanna and Anna have great experiences of working with elementary school </w:t>
      </w:r>
      <w:r>
        <w:lastRenderedPageBreak/>
        <w:t>mathematics. Hanna has worked as a teacher for a decade and a half and Anna for three decades. They have extensive experiences of professional development and leadership. Anna has been involved in the two national professional development initiatives:</w:t>
      </w:r>
      <w:r w:rsidR="00CA2E2C">
        <w:t xml:space="preserve"> </w:t>
      </w:r>
      <w:r w:rsidRPr="0801B77F">
        <w:rPr>
          <w:i/>
          <w:iCs/>
        </w:rPr>
        <w:t>Matematikutvecklare</w:t>
      </w:r>
      <w:r w:rsidR="00CA2E2C">
        <w:t xml:space="preserve"> </w:t>
      </w:r>
      <w:r>
        <w:t>and</w:t>
      </w:r>
      <w:r w:rsidR="00CA2E2C">
        <w:t xml:space="preserve"> </w:t>
      </w:r>
      <w:r w:rsidR="00641B77">
        <w:rPr>
          <w:i/>
          <w:iCs/>
        </w:rPr>
        <w:t>Matematiklyftet</w:t>
      </w:r>
      <w:r>
        <w:t xml:space="preserve">. In these initiatives, her role was to lead professional development processes for colleagues. Hanna was appointed process leader by the municipality and had the role of leading a professional development group of colleagues in the process of implementing the scripted teaching program. Hence, Hanna has experiences of both supporting her colleagues’ work with implementing the program and of her own implementation in a second-grade elementary mathematics classroom. At the time of the implementation Anna taught mathematics to first-grade elementary students. The program is designed to target all kinds of teachers and students in all kinds of contexts, including “extreme” contexts like the one in this study where mathematics teaching generates high student performance compared to the national average. </w:t>
      </w:r>
      <w:r w:rsidRPr="00BA6C37">
        <w:t xml:space="preserve">This suggests that the teachers </w:t>
      </w:r>
      <w:r>
        <w:t xml:space="preserve">have </w:t>
      </w:r>
      <w:r w:rsidRPr="00BA6C37">
        <w:t xml:space="preserve">experiences of successful teaching practices established before the program’s implementation, </w:t>
      </w:r>
      <w:r>
        <w:t>which they can</w:t>
      </w:r>
      <w:r w:rsidRPr="00BA6C37">
        <w:t xml:space="preserve"> relate to their experiences with the program.</w:t>
      </w:r>
      <w:r>
        <w:t xml:space="preserve"> </w:t>
      </w:r>
      <w:r w:rsidRPr="00BA6C37">
        <w:t>With externally recogni</w:t>
      </w:r>
      <w:r>
        <w:t>s</w:t>
      </w:r>
      <w:r w:rsidRPr="00BA6C37">
        <w:t>ed expertise and a proven record of producing high-achieving students, they were assumed to be more confident in sharing nuanced perspectives on the program.</w:t>
      </w:r>
      <w:r>
        <w:t xml:space="preserve"> Hence, contributing with important knowledge from a professional “expert” perspective </w:t>
      </w:r>
      <w:r w:rsidR="00641B77">
        <w:t xml:space="preserve">at grassroot level </w:t>
      </w:r>
      <w:r>
        <w:t>that may not be possible to receive from cases in “regular” contexts.</w:t>
      </w:r>
    </w:p>
    <w:p w14:paraId="1F950037" w14:textId="340F47E0" w:rsidR="000F175D" w:rsidRPr="000317A0" w:rsidRDefault="000F175D" w:rsidP="00641B77">
      <w:r w:rsidRPr="00246EF3">
        <w:t xml:space="preserve">The interview guide comprised the following themes: </w:t>
      </w:r>
      <w:r>
        <w:t>Teachers’ b</w:t>
      </w:r>
      <w:r w:rsidRPr="00246EF3">
        <w:t xml:space="preserve">ackgrounds, </w:t>
      </w:r>
      <w:r>
        <w:t>P</w:t>
      </w:r>
      <w:r w:rsidRPr="00884355">
        <w:t>rogram</w:t>
      </w:r>
      <w:r>
        <w:t xml:space="preserve"> impact, </w:t>
      </w:r>
      <w:r w:rsidRPr="00884355">
        <w:t>Experiences of implementation, mathematical content and progression, pedagogical design,</w:t>
      </w:r>
      <w:r>
        <w:t xml:space="preserve"> </w:t>
      </w:r>
      <w:r w:rsidRPr="00884355">
        <w:t>influence</w:t>
      </w:r>
      <w:r>
        <w:t xml:space="preserve"> on</w:t>
      </w:r>
      <w:r w:rsidRPr="00884355">
        <w:t xml:space="preserve"> student mathematics outcomes, </w:t>
      </w:r>
      <w:r>
        <w:t>and parents’ and colleagues’ perceptions of</w:t>
      </w:r>
      <w:r w:rsidRPr="00884355">
        <w:t xml:space="preserve"> the program</w:t>
      </w:r>
      <w:r>
        <w:t xml:space="preserve">. Interview questions were asked in terms of “What are your experiences of….?”, “How did you experience….?” or “Could you describe….?” as suggested by Sohn et al. (2017). Follow up questions were sometimes used for clarification purposes. </w:t>
      </w:r>
      <w:r w:rsidRPr="000317A0">
        <w:t>Both interviews lasted about one hour and was audio-recorded and transcribed verbatim.</w:t>
      </w:r>
    </w:p>
    <w:p w14:paraId="3235F461" w14:textId="77777777" w:rsidR="000F175D" w:rsidRDefault="000F175D" w:rsidP="000F175D">
      <w:pPr>
        <w:pStyle w:val="Rubrik3"/>
      </w:pPr>
      <w:r>
        <w:t>Data processing and analysis</w:t>
      </w:r>
    </w:p>
    <w:p w14:paraId="5AED0221" w14:textId="7B86D72B" w:rsidR="000F175D" w:rsidRDefault="000F175D" w:rsidP="00021BD2">
      <w:pPr>
        <w:pStyle w:val="Brdtext"/>
      </w:pPr>
      <w:r>
        <w:t xml:space="preserve">The analysis was conducted in four steps that were inspired by, but did not fully follow, the suggestions for phenomenological analysis by Sohn et al. (2017). </w:t>
      </w:r>
      <w:r w:rsidRPr="00641B77">
        <w:rPr>
          <w:i/>
          <w:iCs/>
        </w:rPr>
        <w:t>First</w:t>
      </w:r>
      <w:r>
        <w:t xml:space="preserve">, we processed the data by </w:t>
      </w:r>
      <w:r w:rsidRPr="00291F99">
        <w:t>reading the interview transcripts several times</w:t>
      </w:r>
      <w:r>
        <w:t xml:space="preserve"> individually paying attention to and marking small units of meaning. </w:t>
      </w:r>
      <w:r w:rsidRPr="00641B77">
        <w:rPr>
          <w:i/>
          <w:iCs/>
        </w:rPr>
        <w:t>Second</w:t>
      </w:r>
      <w:r>
        <w:t xml:space="preserve">, jointly we discussed our readings and coded data by being mindful of reoccurring patterns (see Sohn et al., 2017) resulting in the following codes: uncertainty, resistance, loyalty, student performance, and the teacher role. When there were overlaps between codes, meaning that an excerpt could be categorised as belonging to two codes, it was most often categorised as belonging to both codes. </w:t>
      </w:r>
      <w:r w:rsidRPr="00641B77">
        <w:rPr>
          <w:i/>
          <w:iCs/>
        </w:rPr>
        <w:t>Third</w:t>
      </w:r>
      <w:r>
        <w:t>,</w:t>
      </w:r>
      <w:r w:rsidRPr="0085007C">
        <w:t xml:space="preserve"> </w:t>
      </w:r>
      <w:r>
        <w:t>since p</w:t>
      </w:r>
      <w:r w:rsidRPr="008E0D19">
        <w:t xml:space="preserve">henomena appear as meaningful wholes against a contextual </w:t>
      </w:r>
      <w:r w:rsidR="00E65B2B" w:rsidRPr="008E0D19">
        <w:t>ground,</w:t>
      </w:r>
      <w:r>
        <w:t xml:space="preserve"> </w:t>
      </w:r>
      <w:r w:rsidRPr="0085007C">
        <w:t>we sought to identify</w:t>
      </w:r>
      <w:r>
        <w:t xml:space="preserve"> </w:t>
      </w:r>
      <w:r w:rsidRPr="0085007C">
        <w:t>shared phenomena as they</w:t>
      </w:r>
      <w:r>
        <w:t xml:space="preserve"> </w:t>
      </w:r>
      <w:r w:rsidRPr="0085007C">
        <w:t>emerged through the teachers’ lived experiences</w:t>
      </w:r>
      <w:r>
        <w:t>. We</w:t>
      </w:r>
      <w:r w:rsidR="00CA2E2C">
        <w:t xml:space="preserve"> </w:t>
      </w:r>
      <w:r>
        <w:t xml:space="preserve">identified </w:t>
      </w:r>
      <w:r w:rsidRPr="009E3010">
        <w:rPr>
          <w:i/>
          <w:iCs/>
        </w:rPr>
        <w:t>conflicts</w:t>
      </w:r>
      <w:r>
        <w:t xml:space="preserve"> as a shared phenomenon, more specifically conflicts that the teachers needed to handle when participating in the program. </w:t>
      </w:r>
      <w:r w:rsidRPr="00641B77">
        <w:rPr>
          <w:i/>
          <w:iCs/>
        </w:rPr>
        <w:t>Fourth</w:t>
      </w:r>
      <w:r>
        <w:t xml:space="preserve">, we </w:t>
      </w:r>
      <w:r w:rsidR="00F973F1">
        <w:t>thematised the</w:t>
      </w:r>
      <w:r>
        <w:t xml:space="preserve"> coded turns as meaningful wholes in terms of conflicts. We jointly </w:t>
      </w:r>
      <w:r>
        <w:lastRenderedPageBreak/>
        <w:t>discussed the themati</w:t>
      </w:r>
      <w:r w:rsidR="00E65B2B">
        <w:t>s</w:t>
      </w:r>
      <w:r>
        <w:t xml:space="preserve">ation of conflicts. It resulted in conflicts related to a) teachers’ professional expertise, b) societal and policy expectations and demands, and c) didactical considerations. The excerpts included and explored in the findings below are selected to illustrate variation within the themes. </w:t>
      </w:r>
    </w:p>
    <w:p w14:paraId="2D90911E" w14:textId="00007604" w:rsidR="00270DC4" w:rsidRDefault="00BB367C" w:rsidP="00BB367C">
      <w:pPr>
        <w:pStyle w:val="Rubrik2"/>
      </w:pPr>
      <w:r>
        <w:t>Findings</w:t>
      </w:r>
    </w:p>
    <w:p w14:paraId="3A88B214" w14:textId="7D107D98" w:rsidR="00BA1036" w:rsidRPr="00E849BB" w:rsidRDefault="0D32AAE3">
      <w:pPr>
        <w:pStyle w:val="Brdtext"/>
      </w:pPr>
      <w:r>
        <w:t xml:space="preserve">Anna and Hanna initially had a positive approach towards the implementation of the program. </w:t>
      </w:r>
      <w:r w:rsidR="003B22DD">
        <w:t>But</w:t>
      </w:r>
      <w:r>
        <w:t xml:space="preserve"> gradually their approach changed. Anna, in agreement with her headmaster began to leave the program during the first year and left completely during the second year, “</w:t>
      </w:r>
      <w:r w:rsidRPr="0D32AAE3">
        <w:rPr>
          <w:lang w:val="en-US"/>
        </w:rPr>
        <w:t xml:space="preserve">I followed the program less and less and in grade 2 I did what I wanted because I felt that my students did not learn what my professional judgment says that students in Grade 1 need to know”. </w:t>
      </w:r>
      <w:r>
        <w:t>Hanna in her role as process leader felt obligated to support the implementation but, she left after two years:</w:t>
      </w:r>
      <w:r w:rsidRPr="0D32AAE3">
        <w:rPr>
          <w:lang w:val="en-US"/>
        </w:rPr>
        <w:t xml:space="preserve"> </w:t>
      </w:r>
    </w:p>
    <w:p w14:paraId="29248EDF" w14:textId="00876D9A" w:rsidR="00BA1036" w:rsidRPr="00FC0F79" w:rsidRDefault="07CA19D0" w:rsidP="00BA1036">
      <w:pPr>
        <w:pStyle w:val="Transcript"/>
        <w:rPr>
          <w:lang w:val="en-US"/>
        </w:rPr>
      </w:pPr>
      <w:r w:rsidRPr="07CA19D0">
        <w:rPr>
          <w:lang w:val="en-US"/>
        </w:rPr>
        <w:t xml:space="preserve">Hanna: </w:t>
      </w:r>
      <w:r w:rsidR="00BA1036">
        <w:tab/>
      </w:r>
      <w:r w:rsidRPr="07CA19D0">
        <w:rPr>
          <w:lang w:val="en-US"/>
        </w:rPr>
        <w:t xml:space="preserve">I told those who made the decision to implement the program that I will not jeopardize my students’ </w:t>
      </w:r>
      <w:r w:rsidR="003B22DD">
        <w:rPr>
          <w:lang w:val="en-US"/>
        </w:rPr>
        <w:t xml:space="preserve">mathematics </w:t>
      </w:r>
      <w:r w:rsidRPr="07CA19D0">
        <w:rPr>
          <w:lang w:val="en-US"/>
        </w:rPr>
        <w:t>development for the sake of following the program. If I feel that I lose my students, I will leave the program and so I did. I could not be the teacher that I kind of stand for.</w:t>
      </w:r>
    </w:p>
    <w:p w14:paraId="7A89C02C" w14:textId="34A1DC74" w:rsidR="00BA1036" w:rsidRPr="003D7E02" w:rsidRDefault="00BA1036" w:rsidP="00BA1036">
      <w:pPr>
        <w:rPr>
          <w:lang w:val="en-US"/>
        </w:rPr>
      </w:pPr>
      <w:r>
        <w:rPr>
          <w:lang w:val="en-US"/>
        </w:rPr>
        <w:t>Evidently, both Anna and Hanna experienced conflicts with implementing the program. Below we unpack their experiences of conflicts in three over-arching themes.</w:t>
      </w:r>
    </w:p>
    <w:p w14:paraId="119E5CE9" w14:textId="77777777" w:rsidR="00BA1036" w:rsidRDefault="0801B77F" w:rsidP="00BA1036">
      <w:pPr>
        <w:pStyle w:val="Rubrik3"/>
      </w:pPr>
      <w:r>
        <w:t>Conflicts related to teachers’ professional expertise</w:t>
      </w:r>
    </w:p>
    <w:p w14:paraId="716749AC" w14:textId="0B966251" w:rsidR="00BA1036" w:rsidRPr="00E849BB" w:rsidRDefault="2E8E2D04" w:rsidP="00411D41">
      <w:pPr>
        <w:pStyle w:val="Brdtext"/>
        <w:rPr>
          <w:lang w:val="en-US"/>
        </w:rPr>
      </w:pPr>
      <w:r>
        <w:t xml:space="preserve"> </w:t>
      </w:r>
      <w:r w:rsidRPr="2E8E2D04">
        <w:rPr>
          <w:lang w:val="en-US"/>
        </w:rPr>
        <w:t xml:space="preserve">Anna and Hanna </w:t>
      </w:r>
      <w:r>
        <w:t xml:space="preserve">wanted to fulfil the program, but the implementation caused conflicts with their professional teaching expertise. </w:t>
      </w:r>
      <w:r w:rsidRPr="2E8E2D04">
        <w:rPr>
          <w:color w:val="000000" w:themeColor="text1"/>
          <w:szCs w:val="26"/>
          <w:lang w:val="en-US"/>
        </w:rPr>
        <w:t xml:space="preserve">Hanna considered herself </w:t>
      </w:r>
      <w:r w:rsidRPr="2E8E2D04">
        <w:rPr>
          <w:lang w:val="en-US"/>
        </w:rPr>
        <w:t xml:space="preserve">competent in pedagogy and didactics, but when following the program, she said she had to relearn which made her feel less competent, </w:t>
      </w:r>
      <w:r>
        <w:t>particularly in mathematics. This caused a conflict or “a clash with my professional teacher self” as Hanna said. Anna, who said that “</w:t>
      </w:r>
      <w:r w:rsidRPr="2E8E2D04">
        <w:rPr>
          <w:lang w:val="en-US"/>
        </w:rPr>
        <w:t>the biggest mistake was to remove the teachers’ professionalism and personalities”</w:t>
      </w:r>
      <w:r>
        <w:t xml:space="preserve"> had similar experiences:</w:t>
      </w:r>
    </w:p>
    <w:p w14:paraId="22823150" w14:textId="163D835C" w:rsidR="00BA1036" w:rsidRDefault="2E8E2D04" w:rsidP="00BA1036">
      <w:pPr>
        <w:pStyle w:val="Transcript"/>
      </w:pPr>
      <w:r w:rsidRPr="2E8E2D04">
        <w:rPr>
          <w:lang w:val="en-US"/>
        </w:rPr>
        <w:t xml:space="preserve">Anna: </w:t>
      </w:r>
      <w:r w:rsidR="00BA1036">
        <w:tab/>
      </w:r>
      <w:r w:rsidRPr="2E8E2D04">
        <w:rPr>
          <w:lang w:val="en-US"/>
        </w:rPr>
        <w:t>But why should someone else design lessons for me? There are many good things in the program if I can use them in my way because I am a professional. But there was a manuscript to follow. I was stressed about my students not learning what I expected them to learn. This despite that it was a good group of students who were very willing to learn.</w:t>
      </w:r>
    </w:p>
    <w:p w14:paraId="77AA9E34" w14:textId="457E07EA" w:rsidR="00BA1036" w:rsidRPr="0024434F" w:rsidRDefault="2E8E2D04" w:rsidP="2E8E2D04">
      <w:r w:rsidRPr="00BE447B">
        <w:rPr>
          <w:rFonts w:eastAsia="-webkit-standard"/>
          <w:color w:val="000000" w:themeColor="text1"/>
          <w:szCs w:val="26"/>
        </w:rPr>
        <w:t>Anna said the program made teaching mathematics less enjoyable</w:t>
      </w:r>
      <w:r w:rsidRPr="00BE447B">
        <w:rPr>
          <w:lang w:val="en-US"/>
        </w:rPr>
        <w:t>:</w:t>
      </w:r>
      <w:r w:rsidRPr="2E8E2D04">
        <w:rPr>
          <w:lang w:val="en-US"/>
        </w:rPr>
        <w:t xml:space="preserve"> “It was not so much fun to teach mathematics. I did not lose my interest in mathematics, but I was less engaged and felt frustrated”. Hanna shared that following the </w:t>
      </w:r>
      <w:r>
        <w:t xml:space="preserve">lesson manuscript word for word made the teaching impersonal and rigid, making it difficult to engage the students in the tasks and foster a sense of joy and excitement in learning mathematics, something she considered an essential part of being a good teacher. </w:t>
      </w:r>
    </w:p>
    <w:p w14:paraId="5542588E" w14:textId="1B9FF755" w:rsidR="00BA1036" w:rsidRPr="00B3288A" w:rsidRDefault="2E8E2D04" w:rsidP="00BA1036">
      <w:r>
        <w:t xml:space="preserve">Hanna also seemed to experience a conflict between her professional teaching expertise and the research findings that the program draws on. She acknowledged the scientific expertise of the program’s designers and their competence in mathematics and </w:t>
      </w:r>
      <w:r>
        <w:lastRenderedPageBreak/>
        <w:t>wanted to trust their competence; however, based on her own professional experience, she could not see how the program could be successfully implemented in her classroom:</w:t>
      </w:r>
    </w:p>
    <w:p w14:paraId="6D4C17B3" w14:textId="182447C3" w:rsidR="00BA1036" w:rsidRPr="00B06B88" w:rsidRDefault="2E8E2D04">
      <w:pPr>
        <w:pStyle w:val="Transcript"/>
        <w:rPr>
          <w:lang w:val="en-US"/>
        </w:rPr>
      </w:pPr>
      <w:r w:rsidRPr="2E8E2D04">
        <w:rPr>
          <w:lang w:val="en-US"/>
        </w:rPr>
        <w:t>Hanna:</w:t>
      </w:r>
      <w:r w:rsidR="07CA19D0">
        <w:tab/>
      </w:r>
      <w:r w:rsidRPr="2E8E2D04">
        <w:rPr>
          <w:lang w:val="en-US"/>
        </w:rPr>
        <w:t xml:space="preserve">They [the program designers] say that it </w:t>
      </w:r>
      <w:r w:rsidR="009E3FA0" w:rsidRPr="2E8E2D04">
        <w:rPr>
          <w:lang w:val="en-US"/>
        </w:rPr>
        <w:t>does</w:t>
      </w:r>
      <w:r w:rsidR="009E3FA0">
        <w:rPr>
          <w:lang w:val="en-US"/>
        </w:rPr>
        <w:t>n’t</w:t>
      </w:r>
      <w:r w:rsidRPr="2E8E2D04">
        <w:rPr>
          <w:lang w:val="en-US"/>
        </w:rPr>
        <w:t xml:space="preserve"> matter if the students do not understand. “It is ok. The</w:t>
      </w:r>
      <w:r w:rsidR="009E3FA0">
        <w:rPr>
          <w:lang w:val="en-US"/>
        </w:rPr>
        <w:t>y</w:t>
      </w:r>
      <w:r w:rsidRPr="2E8E2D04">
        <w:rPr>
          <w:lang w:val="en-US"/>
        </w:rPr>
        <w:t xml:space="preserve"> will understand. Have patience. It is like this”. I have understood it as they rely on their solid research findings and are way more competent in mathematics than me. I am sure that is true. I am humble towards that I am a professional in my classroom with my students, but I am absolutely not a professional of mathematics at the same level as th</w:t>
      </w:r>
      <w:r w:rsidR="009E3FA0">
        <w:rPr>
          <w:lang w:val="en-US"/>
        </w:rPr>
        <w:t>e designers</w:t>
      </w:r>
      <w:r w:rsidRPr="2E8E2D04">
        <w:rPr>
          <w:lang w:val="en-US"/>
        </w:rPr>
        <w:t xml:space="preserve">. So, during the whole period I was humble towards that someone else knows better than I. </w:t>
      </w:r>
    </w:p>
    <w:p w14:paraId="1B361F3F" w14:textId="480605EA" w:rsidR="00BA1036" w:rsidRDefault="2E8E2D04" w:rsidP="00BA1036">
      <w:pPr>
        <w:rPr>
          <w:lang w:val="en-US"/>
        </w:rPr>
      </w:pPr>
      <w:r w:rsidRPr="2E8E2D04">
        <w:rPr>
          <w:lang w:val="en-US"/>
        </w:rPr>
        <w:t xml:space="preserve">Anna seemed to experience a conflict between professional development that recognises her professional teaching expertise and knowledge about her students and the implementation and collegial work of the program: </w:t>
      </w:r>
    </w:p>
    <w:p w14:paraId="31858DF0" w14:textId="4523BD44" w:rsidR="00BA1036" w:rsidRPr="00C76CA6" w:rsidRDefault="00BA1036" w:rsidP="0045180C">
      <w:pPr>
        <w:pStyle w:val="Transcript"/>
        <w:rPr>
          <w:lang w:val="en-US"/>
        </w:rPr>
      </w:pPr>
      <w:r w:rsidRPr="00F03FCC">
        <w:rPr>
          <w:lang w:val="en-US"/>
        </w:rPr>
        <w:t xml:space="preserve">Anna: </w:t>
      </w:r>
      <w:r w:rsidRPr="00F03FCC">
        <w:rPr>
          <w:lang w:val="en-US"/>
        </w:rPr>
        <w:tab/>
        <w:t xml:space="preserve">It was a big difference from </w:t>
      </w:r>
      <w:r w:rsidR="0045180C">
        <w:rPr>
          <w:lang w:val="en-US"/>
        </w:rPr>
        <w:t>Matematiklyftet</w:t>
      </w:r>
      <w:r w:rsidRPr="00F03FCC">
        <w:rPr>
          <w:lang w:val="en-US"/>
        </w:rPr>
        <w:t xml:space="preserve"> which was very good because there you could adapt the tasks to your own context. </w:t>
      </w:r>
      <w:r w:rsidR="009E3FA0">
        <w:rPr>
          <w:lang w:val="en-US"/>
        </w:rPr>
        <w:t>It</w:t>
      </w:r>
      <w:r w:rsidR="009E3FA0" w:rsidRPr="00F03FCC">
        <w:rPr>
          <w:lang w:val="en-US"/>
        </w:rPr>
        <w:t xml:space="preserve"> </w:t>
      </w:r>
      <w:r w:rsidRPr="00F03FCC">
        <w:rPr>
          <w:lang w:val="en-US"/>
        </w:rPr>
        <w:t xml:space="preserve">was not possible </w:t>
      </w:r>
      <w:r w:rsidR="009E3FA0">
        <w:rPr>
          <w:lang w:val="en-US"/>
        </w:rPr>
        <w:t>in</w:t>
      </w:r>
      <w:r w:rsidR="009E3FA0" w:rsidRPr="00F03FCC">
        <w:rPr>
          <w:lang w:val="en-US"/>
        </w:rPr>
        <w:t xml:space="preserve"> </w:t>
      </w:r>
      <w:r w:rsidRPr="00F03FCC">
        <w:rPr>
          <w:lang w:val="en-US"/>
        </w:rPr>
        <w:t xml:space="preserve">this program so there was not much collegial learning. It was more about practical stuff like “How long will it take to make paper copies for next week?”. As teachers we must critically scrutinize and think critically all the time about what we do. We cannot just “buy” things simply because somebody else </w:t>
      </w:r>
      <w:r w:rsidR="009E3FA0" w:rsidRPr="00F03FCC">
        <w:rPr>
          <w:lang w:val="en-US"/>
        </w:rPr>
        <w:t>decided</w:t>
      </w:r>
      <w:r w:rsidRPr="00F03FCC">
        <w:rPr>
          <w:lang w:val="en-US"/>
        </w:rPr>
        <w:t xml:space="preserve">. Usually, you have the freedom to adapt stuff to your own context and to your professional teacher self. With this program, that was not possible. I felt like my professional </w:t>
      </w:r>
      <w:r w:rsidR="007E5957" w:rsidRPr="00F03FCC">
        <w:rPr>
          <w:lang w:val="en-US"/>
        </w:rPr>
        <w:t>teacher</w:t>
      </w:r>
      <w:r w:rsidR="00CA2E2C">
        <w:rPr>
          <w:lang w:val="en-US"/>
        </w:rPr>
        <w:t xml:space="preserve"> </w:t>
      </w:r>
      <w:r w:rsidR="007E5957" w:rsidRPr="00F03FCC">
        <w:rPr>
          <w:lang w:val="en-US"/>
        </w:rPr>
        <w:t>self</w:t>
      </w:r>
      <w:r w:rsidRPr="00F03FCC">
        <w:rPr>
          <w:lang w:val="en-US"/>
        </w:rPr>
        <w:t xml:space="preserve"> disappeared.</w:t>
      </w:r>
    </w:p>
    <w:p w14:paraId="6BA2FC16" w14:textId="77777777" w:rsidR="00BA1036" w:rsidRDefault="00BA1036" w:rsidP="00BA1036">
      <w:pPr>
        <w:pStyle w:val="Rubrik3"/>
      </w:pPr>
      <w:r>
        <w:t>Conflicts related to societal and policy expectations and demands</w:t>
      </w:r>
    </w:p>
    <w:p w14:paraId="66ADD844" w14:textId="0B66D4CF" w:rsidR="00BA1036" w:rsidRDefault="2E8E2D04" w:rsidP="00411D41">
      <w:pPr>
        <w:pStyle w:val="Brdtext"/>
      </w:pPr>
      <w:r>
        <w:t xml:space="preserve">The teachers seemed to experience </w:t>
      </w:r>
      <w:r w:rsidR="000C2855">
        <w:t>conflicts that</w:t>
      </w:r>
      <w:r>
        <w:t xml:space="preserve"> refer to obligations and perceived expectations that the society, </w:t>
      </w:r>
      <w:r w:rsidR="000C2855">
        <w:t xml:space="preserve">and </w:t>
      </w:r>
      <w:r>
        <w:t xml:space="preserve">policy, may put on teachers. On the one hand they wanted to comply with the municipality’s decision that all teachers should follow the program without making any adjustments. On the other hand, they wanted to fulfil the expectations of delivering students that demonstrate high levels of mathematics performance and have a profound interest in mathematics. </w:t>
      </w:r>
    </w:p>
    <w:p w14:paraId="364EA7B5" w14:textId="279B051E" w:rsidR="00BA1036" w:rsidRDefault="2E8E2D04" w:rsidP="00BA1036">
      <w:pPr>
        <w:rPr>
          <w:lang w:val="en-US"/>
        </w:rPr>
      </w:pPr>
      <w:r w:rsidRPr="2E8E2D04">
        <w:rPr>
          <w:lang w:val="en-US"/>
        </w:rPr>
        <w:t>Anna seemed unsure why the specific program would be more efficient than some other mathematics teaching approaches:</w:t>
      </w:r>
    </w:p>
    <w:p w14:paraId="0284A007" w14:textId="1340505C" w:rsidR="00BA1036" w:rsidRDefault="00BA1036" w:rsidP="00BA1036">
      <w:pPr>
        <w:pStyle w:val="Transcript"/>
        <w:rPr>
          <w:lang w:val="en-US"/>
        </w:rPr>
      </w:pPr>
      <w:r>
        <w:rPr>
          <w:lang w:val="en-US"/>
        </w:rPr>
        <w:t xml:space="preserve">Anna: </w:t>
      </w:r>
      <w:r>
        <w:rPr>
          <w:lang w:val="en-US"/>
        </w:rPr>
        <w:tab/>
        <w:t xml:space="preserve">I did not get a background to why this should be implemented. “Why should this way be so much better than some other way [of teaching mathematics]?” The background was that this would increase the students’ interest and </w:t>
      </w:r>
      <w:r w:rsidR="000C2855">
        <w:rPr>
          <w:lang w:val="en-US"/>
        </w:rPr>
        <w:t xml:space="preserve">results </w:t>
      </w:r>
      <w:r>
        <w:rPr>
          <w:lang w:val="en-US"/>
        </w:rPr>
        <w:t xml:space="preserve">in mathematics. </w:t>
      </w:r>
      <w:r w:rsidR="000C2855">
        <w:rPr>
          <w:lang w:val="en-US"/>
        </w:rPr>
        <w:t>T</w:t>
      </w:r>
      <w:r>
        <w:rPr>
          <w:lang w:val="en-US"/>
        </w:rPr>
        <w:t>his would be a very good way. I don</w:t>
      </w:r>
      <w:r w:rsidR="0045180C">
        <w:rPr>
          <w:lang w:val="en-US"/>
        </w:rPr>
        <w:t>’</w:t>
      </w:r>
      <w:r>
        <w:rPr>
          <w:lang w:val="en-US"/>
        </w:rPr>
        <w:t>t know who made the decision at municipality level.</w:t>
      </w:r>
    </w:p>
    <w:p w14:paraId="55B1C684" w14:textId="6C57E23B" w:rsidR="00BA1036" w:rsidRDefault="2E8E2D04" w:rsidP="2E8E2D04">
      <w:pPr>
        <w:rPr>
          <w:b/>
          <w:bCs/>
          <w:szCs w:val="26"/>
          <w:lang w:val="en-US"/>
        </w:rPr>
      </w:pPr>
      <w:r w:rsidRPr="2E8E2D04">
        <w:rPr>
          <w:lang w:val="en-US"/>
        </w:rPr>
        <w:t xml:space="preserve">Hanna shared experiences of uncertainty that referred to students’ achievements in relation to the purpose of implementing the program: “From what I understand it was about that we saw decreasing results in Grade 9, but we did not have decreasing results in Grade 3”. Hanna’s experiences refer to conflicting issues about progression of learning and policy requirements. Hanna experienced that Grade 1 to 3 teachers in her </w:t>
      </w:r>
      <w:r w:rsidRPr="2E8E2D04">
        <w:rPr>
          <w:lang w:val="en-US"/>
        </w:rPr>
        <w:lastRenderedPageBreak/>
        <w:t>municipality delivered according to policy requirements and thus fulfilled their teacher obligations. Conflicts at this level also include concerns about students’ achievements and teachers’ loyalty to the program versus to the national mathematics syllabi for grade 1 to 3. For instance, Anna said that the program</w:t>
      </w:r>
      <w:r w:rsidRPr="00BE447B">
        <w:rPr>
          <w:szCs w:val="26"/>
          <w:lang w:val="en-US"/>
        </w:rPr>
        <w:t xml:space="preserve"> failed to meet </w:t>
      </w:r>
      <w:r w:rsidRPr="2E8E2D04">
        <w:rPr>
          <w:szCs w:val="26"/>
          <w:lang w:val="en-US"/>
        </w:rPr>
        <w:t xml:space="preserve">the </w:t>
      </w:r>
      <w:r w:rsidRPr="00BE447B">
        <w:rPr>
          <w:szCs w:val="26"/>
          <w:lang w:val="en-US"/>
        </w:rPr>
        <w:t>syllabus requirements and learning objectives, and that it caused stress for her and many colleagues.</w:t>
      </w:r>
    </w:p>
    <w:p w14:paraId="106B00DE" w14:textId="0861D625" w:rsidR="00BA1036" w:rsidRDefault="2E8E2D04" w:rsidP="00BA1036">
      <w:pPr>
        <w:rPr>
          <w:lang w:val="en-US"/>
        </w:rPr>
      </w:pPr>
      <w:r w:rsidRPr="2E8E2D04">
        <w:rPr>
          <w:lang w:val="en-US"/>
        </w:rPr>
        <w:t>The conflict that Anna perceived between being loyal to the program and that the program did not provide conditions for Anna’s students to meet the learning objectives was so strong that Anna decided to stay loyal to the national policy requirements rather than to the program. Hanna shared that Anna’s students scored highest in the municipality at the national test in Grade 3. Anna said that teachers at her school who had been more loyal to the program in Grade 1 and 2 struggled in Grade 3 to cover content that were not part of the program but required to pass the national tests.</w:t>
      </w:r>
    </w:p>
    <w:p w14:paraId="31C2A7D9" w14:textId="77777777" w:rsidR="00BA1036" w:rsidRPr="00B24874" w:rsidRDefault="00BA1036" w:rsidP="00BA1036">
      <w:pPr>
        <w:pStyle w:val="Rubrik3"/>
      </w:pPr>
      <w:r w:rsidRPr="00B24874">
        <w:t>Conflicts related to didactical considerations</w:t>
      </w:r>
    </w:p>
    <w:p w14:paraId="13AE02A1" w14:textId="14E900A7" w:rsidR="00BA1036" w:rsidRDefault="07CA19D0" w:rsidP="00411D41">
      <w:pPr>
        <w:pStyle w:val="Brdtext"/>
      </w:pPr>
      <w:r>
        <w:t xml:space="preserve">The didactical conflicts that the teachers seemed to experience refer to issues that relates to didactical questions such as What? How? For whom? When? and Why?. </w:t>
      </w:r>
    </w:p>
    <w:p w14:paraId="15A7A951" w14:textId="2DE22C09" w:rsidR="00BA1036" w:rsidRPr="004A7CCE" w:rsidRDefault="2E8E2D04" w:rsidP="00BA1036">
      <w:r>
        <w:t>Anna and Hanna emphasised the need for varied instruction tailored to students’ diverse needs,</w:t>
      </w:r>
      <w:r w:rsidR="00BE447B">
        <w:t xml:space="preserve"> </w:t>
      </w:r>
      <w:r>
        <w:t>something the program did not allow. This and the lack of variation in teaching instructions created a conflict with the didactical structure of the program:</w:t>
      </w:r>
    </w:p>
    <w:p w14:paraId="5C173F32" w14:textId="3A0AF422" w:rsidR="00BA1036" w:rsidRDefault="2E8E2D04" w:rsidP="00BA1036">
      <w:pPr>
        <w:pStyle w:val="Transcript"/>
        <w:rPr>
          <w:lang w:val="en-US"/>
        </w:rPr>
      </w:pPr>
      <w:r w:rsidRPr="2E8E2D04">
        <w:rPr>
          <w:lang w:val="en-US"/>
        </w:rPr>
        <w:t>Anna:</w:t>
      </w:r>
      <w:r w:rsidR="00BA1036">
        <w:tab/>
      </w:r>
      <w:r w:rsidRPr="2E8E2D04">
        <w:rPr>
          <w:lang w:val="en-US"/>
        </w:rPr>
        <w:t xml:space="preserve">It was </w:t>
      </w:r>
      <w:r w:rsidR="002F4291" w:rsidRPr="2E8E2D04">
        <w:rPr>
          <w:lang w:val="en-US"/>
        </w:rPr>
        <w:t>repetitive</w:t>
      </w:r>
      <w:r w:rsidRPr="2E8E2D04">
        <w:rPr>
          <w:lang w:val="en-US"/>
        </w:rPr>
        <w:t xml:space="preserve"> to work only with the number line or with patterns for four weeks. I thought that it was quite boring, and the children did not find it fun either. They also wanted some variation, and they need to learn in many different ways. Many years ago, I completed a Montessori pedagogy course. This program is similar to that in the sense that there is only one way which is the right way. That makes things very black or white and that is not how it works in reality.</w:t>
      </w:r>
    </w:p>
    <w:p w14:paraId="02E058E7" w14:textId="44642FB2" w:rsidR="00BA1036" w:rsidRDefault="72DC125D" w:rsidP="00127B0D">
      <w:pPr>
        <w:rPr>
          <w:lang w:val="en-US"/>
        </w:rPr>
      </w:pPr>
      <w:r w:rsidRPr="72DC125D">
        <w:rPr>
          <w:lang w:val="en-US"/>
        </w:rPr>
        <w:t>According to Anna “Most often the program suited middle level students. You totally loose the weak students and the strong students often lost interest since they solved the tasks straight away”. Hanna shared the same experience which seemed to cause a conflict because all students did not have the equal opportunities to learn the intended when teaching according to the didactical structure of the program:</w:t>
      </w:r>
    </w:p>
    <w:p w14:paraId="73BF536E" w14:textId="433B8E1F" w:rsidR="00BA1036" w:rsidRDefault="00BA1036" w:rsidP="00BA1036">
      <w:pPr>
        <w:pStyle w:val="Transcript"/>
        <w:rPr>
          <w:lang w:val="en-US"/>
        </w:rPr>
      </w:pPr>
      <w:r w:rsidRPr="00A32877">
        <w:rPr>
          <w:lang w:val="en-US"/>
        </w:rPr>
        <w:t xml:space="preserve">Hanna: </w:t>
      </w:r>
      <w:r>
        <w:rPr>
          <w:lang w:val="en-US"/>
        </w:rPr>
        <w:tab/>
      </w:r>
      <w:r w:rsidRPr="00A32877">
        <w:rPr>
          <w:lang w:val="en-US"/>
        </w:rPr>
        <w:t>Those who are very strong and very weak kind of fell between the chai</w:t>
      </w:r>
      <w:r>
        <w:rPr>
          <w:lang w:val="en-US"/>
        </w:rPr>
        <w:t xml:space="preserve">rs. The weak ones just copied from their peer and could not move on by themselves. Not all in Grade 1 can easily express their thinking verbally. It is first in Grade 2 and 3 that all students manage to do that. Since all students cannot express themselves mathematically, the conversations did not turn out in the way that I think was the intention of the program. Also, the strong students loose on this program. They finish the tasks superfast. It was stressful to keep them challenged so that they would develop their mathematical thinking too because there were no appropriate tasks for </w:t>
      </w:r>
      <w:r w:rsidR="00A93652">
        <w:rPr>
          <w:lang w:val="en-US"/>
        </w:rPr>
        <w:t>these</w:t>
      </w:r>
      <w:r>
        <w:rPr>
          <w:lang w:val="en-US"/>
        </w:rPr>
        <w:t xml:space="preserve"> students in the program.</w:t>
      </w:r>
    </w:p>
    <w:p w14:paraId="0DF0A80A" w14:textId="7214D81C" w:rsidR="00BA1036" w:rsidRDefault="07CA19D0" w:rsidP="00BA1036">
      <w:pPr>
        <w:rPr>
          <w:lang w:val="en-US"/>
        </w:rPr>
      </w:pPr>
      <w:r w:rsidRPr="07CA19D0">
        <w:rPr>
          <w:lang w:val="en-US"/>
        </w:rPr>
        <w:t xml:space="preserve">Another didactical conflict concerns the very long introduction phases that the program required that made students lose focus on the mathematics tasks:  </w:t>
      </w:r>
    </w:p>
    <w:p w14:paraId="646B4273" w14:textId="134F76F2" w:rsidR="00BA1036" w:rsidRDefault="07CA19D0" w:rsidP="006F2D63">
      <w:pPr>
        <w:pStyle w:val="Transcript"/>
        <w:ind w:hanging="1417"/>
        <w:rPr>
          <w:lang w:val="en-US"/>
        </w:rPr>
      </w:pPr>
      <w:r w:rsidRPr="07CA19D0">
        <w:rPr>
          <w:lang w:val="en-US"/>
        </w:rPr>
        <w:lastRenderedPageBreak/>
        <w:t>Hanna:</w:t>
      </w:r>
      <w:r w:rsidR="00BA1036">
        <w:tab/>
      </w:r>
      <w:r w:rsidRPr="07CA19D0">
        <w:rPr>
          <w:lang w:val="en-US"/>
        </w:rPr>
        <w:t xml:space="preserve">Not all students manage that. Other teachers reacted strongly to the long introductions. The students completely zoomed out. They focused on everything except for mathematics. Usually, I have a </w:t>
      </w:r>
      <w:proofErr w:type="gramStart"/>
      <w:r w:rsidRPr="07CA19D0">
        <w:rPr>
          <w:lang w:val="en-US"/>
        </w:rPr>
        <w:t>pretty fast</w:t>
      </w:r>
      <w:proofErr w:type="gramEnd"/>
      <w:r w:rsidRPr="07CA19D0">
        <w:rPr>
          <w:lang w:val="en-US"/>
        </w:rPr>
        <w:t xml:space="preserve"> introduction and then the students work in teams. </w:t>
      </w:r>
      <w:r w:rsidR="002F4291">
        <w:rPr>
          <w:lang w:val="en-US"/>
        </w:rPr>
        <w:t xml:space="preserve">It </w:t>
      </w:r>
      <w:r w:rsidRPr="07CA19D0">
        <w:rPr>
          <w:lang w:val="en-US"/>
        </w:rPr>
        <w:t>depends on what kind of students I have. I need to know my students and know what they know before I can start this kind of teaching, so I know how to place them in teams.</w:t>
      </w:r>
    </w:p>
    <w:p w14:paraId="01E1262D" w14:textId="21F2A09A" w:rsidR="00BA1036" w:rsidRDefault="00BA1036" w:rsidP="00BA1036">
      <w:pPr>
        <w:rPr>
          <w:lang w:val="en-US"/>
        </w:rPr>
      </w:pPr>
      <w:r>
        <w:rPr>
          <w:lang w:val="en-US"/>
        </w:rPr>
        <w:t xml:space="preserve">Hanna stresses the importance to know the students’ prerequisites. Similarly, Anna said that she could never take her specific group into account when teaching according to the program, which she experienced as impeding. </w:t>
      </w:r>
    </w:p>
    <w:p w14:paraId="46F7912C" w14:textId="1AF11808" w:rsidR="00DF54E9" w:rsidRPr="00DF54E9" w:rsidRDefault="2E8E2D04" w:rsidP="00DF54E9">
      <w:pPr>
        <w:rPr>
          <w:lang w:val="en-US"/>
        </w:rPr>
      </w:pPr>
      <w:r w:rsidRPr="2E8E2D04">
        <w:rPr>
          <w:lang w:val="en-US"/>
        </w:rPr>
        <w:t>Both teachers experienced didactical conflicts when they had to progress according to the manuscript even if the students had not learned the intended</w:t>
      </w:r>
      <w:r w:rsidR="00DF54E9">
        <w:rPr>
          <w:lang w:val="en-US"/>
        </w:rPr>
        <w:t xml:space="preserve">. Anna said that “the </w:t>
      </w:r>
      <w:r w:rsidR="00DF54E9" w:rsidRPr="00DF54E9">
        <w:rPr>
          <w:lang w:val="en-US"/>
        </w:rPr>
        <w:t xml:space="preserve">students did not have time to consolidate stuff you just had to move on to new stuff and that made many stressed. The answer you got from the program leaders was “Do not worry that they have not understood. This content will also appear in Grade 2 and 3”. </w:t>
      </w:r>
    </w:p>
    <w:p w14:paraId="5BBA5DB8" w14:textId="2E5894D3" w:rsidR="00BA1036" w:rsidRPr="00286778" w:rsidRDefault="00BA1036" w:rsidP="000C62A2">
      <w:pPr>
        <w:rPr>
          <w:lang w:val="en-US"/>
        </w:rPr>
      </w:pPr>
      <w:r w:rsidRPr="00286778">
        <w:rPr>
          <w:lang w:val="en-US"/>
        </w:rPr>
        <w:t xml:space="preserve">Further, Anna felt frustrated because the didactical structure of the program did not allow her to </w:t>
      </w:r>
      <w:r>
        <w:rPr>
          <w:lang w:val="en-US"/>
        </w:rPr>
        <w:t>adapt and help the</w:t>
      </w:r>
      <w:r w:rsidRPr="00286778">
        <w:rPr>
          <w:lang w:val="en-US"/>
        </w:rPr>
        <w:t xml:space="preserve"> </w:t>
      </w:r>
      <w:r w:rsidR="00127B0D" w:rsidRPr="00286778">
        <w:rPr>
          <w:lang w:val="en-US"/>
        </w:rPr>
        <w:t>students,</w:t>
      </w:r>
      <w:r w:rsidRPr="00286778">
        <w:rPr>
          <w:lang w:val="en-US"/>
        </w:rPr>
        <w:t xml:space="preserve"> </w:t>
      </w:r>
      <w:r>
        <w:rPr>
          <w:lang w:val="en-US"/>
        </w:rPr>
        <w:t>which caused a conflict with her social obligations towards her students:</w:t>
      </w:r>
    </w:p>
    <w:p w14:paraId="6ED691AA" w14:textId="66A4044C" w:rsidR="00BA1036" w:rsidRPr="00BA1036" w:rsidRDefault="00BA1036" w:rsidP="00BA1036">
      <w:pPr>
        <w:pStyle w:val="Transcript"/>
        <w:rPr>
          <w:lang w:val="en-US"/>
        </w:rPr>
      </w:pPr>
      <w:r w:rsidRPr="00286778">
        <w:rPr>
          <w:lang w:val="en-US"/>
        </w:rPr>
        <w:t xml:space="preserve">Anna: </w:t>
      </w:r>
      <w:r w:rsidRPr="00286778">
        <w:rPr>
          <w:lang w:val="en-US"/>
        </w:rPr>
        <w:tab/>
        <w:t>For example, the empty number line with the instruction to mark all the numbers that they knew. The students asked questions about what to do and the only answer that I was allowed to give was that they had to decide for themselves. But they are small children. You need to show them different models and strategies so that they can learn to think mathematically on their own. This was very frustrating</w:t>
      </w:r>
      <w:r w:rsidR="00A34772">
        <w:rPr>
          <w:lang w:val="en-US"/>
        </w:rPr>
        <w:t>.</w:t>
      </w:r>
      <w:r w:rsidRPr="00286778">
        <w:rPr>
          <w:lang w:val="en-US"/>
        </w:rPr>
        <w:t xml:space="preserve"> </w:t>
      </w:r>
      <w:r w:rsidR="00A34772">
        <w:rPr>
          <w:lang w:val="en-US"/>
        </w:rPr>
        <w:t>W</w:t>
      </w:r>
      <w:r w:rsidRPr="00286778">
        <w:rPr>
          <w:lang w:val="en-US"/>
        </w:rPr>
        <w:t xml:space="preserve">hen I brought </w:t>
      </w:r>
      <w:r w:rsidR="00A34772">
        <w:rPr>
          <w:lang w:val="en-US"/>
        </w:rPr>
        <w:t>it</w:t>
      </w:r>
      <w:r w:rsidR="00A34772" w:rsidRPr="00286778">
        <w:rPr>
          <w:lang w:val="en-US"/>
        </w:rPr>
        <w:t xml:space="preserve"> </w:t>
      </w:r>
      <w:r w:rsidRPr="00286778">
        <w:rPr>
          <w:lang w:val="en-US"/>
        </w:rPr>
        <w:t xml:space="preserve">up at the meetings, I again got </w:t>
      </w:r>
      <w:r w:rsidR="00152977">
        <w:rPr>
          <w:lang w:val="en-US"/>
        </w:rPr>
        <w:t>the</w:t>
      </w:r>
      <w:r w:rsidR="00152977" w:rsidRPr="00286778">
        <w:rPr>
          <w:lang w:val="en-US"/>
        </w:rPr>
        <w:t xml:space="preserve"> </w:t>
      </w:r>
      <w:r w:rsidRPr="00286778">
        <w:rPr>
          <w:lang w:val="en-US"/>
        </w:rPr>
        <w:t xml:space="preserve">answer that it is ok that they do not know, they will understand later, this will be good for them when they do lower secondary school mathematics. But there is a </w:t>
      </w:r>
      <w:r w:rsidR="000C62A2" w:rsidRPr="00286778">
        <w:rPr>
          <w:lang w:val="en-US"/>
        </w:rPr>
        <w:t>long</w:t>
      </w:r>
      <w:r w:rsidRPr="00286778">
        <w:rPr>
          <w:lang w:val="en-US"/>
        </w:rPr>
        <w:t xml:space="preserve"> time before lower secondary school, we cannot lose them or their interest in mathematics already in elementary school</w:t>
      </w:r>
      <w:r w:rsidR="003D5E99">
        <w:rPr>
          <w:lang w:val="en-US"/>
        </w:rPr>
        <w:t>.</w:t>
      </w:r>
    </w:p>
    <w:p w14:paraId="1C553D09" w14:textId="69B1624A" w:rsidR="009328F6" w:rsidRPr="009328F6" w:rsidRDefault="00BB7C17" w:rsidP="00021BD2">
      <w:pPr>
        <w:pStyle w:val="Rubrik2"/>
      </w:pPr>
      <w:r>
        <w:t>C</w:t>
      </w:r>
      <w:r w:rsidR="00556D33">
        <w:t>oncluding remarks</w:t>
      </w:r>
    </w:p>
    <w:p w14:paraId="7631ED80" w14:textId="6568013E" w:rsidR="6ECA6904" w:rsidRDefault="2E8E2D04" w:rsidP="00411D41">
      <w:pPr>
        <w:pStyle w:val="Brdtext"/>
      </w:pPr>
      <w:r>
        <w:t>The conclusions</w:t>
      </w:r>
      <w:r w:rsidR="002A7B4D">
        <w:t>,</w:t>
      </w:r>
      <w:r>
        <w:t xml:space="preserve"> based on this </w:t>
      </w:r>
      <w:r w:rsidR="009328F6">
        <w:t>small</w:t>
      </w:r>
      <w:r>
        <w:t xml:space="preserve"> study</w:t>
      </w:r>
      <w:r w:rsidR="002A7B4D">
        <w:t>,</w:t>
      </w:r>
      <w:r>
        <w:t xml:space="preserve"> </w:t>
      </w:r>
      <w:r w:rsidR="00AC6764">
        <w:t>contribute with understandings of ho</w:t>
      </w:r>
      <w:r w:rsidR="0046621C">
        <w:t>w</w:t>
      </w:r>
      <w:r>
        <w:t xml:space="preserve"> research findings</w:t>
      </w:r>
      <w:r w:rsidR="00AC6764">
        <w:t xml:space="preserve"> are transferred and scaled</w:t>
      </w:r>
      <w:r>
        <w:t xml:space="preserve"> from one site to another</w:t>
      </w:r>
      <w:r w:rsidR="00965FEB">
        <w:t xml:space="preserve"> which has been discussed previously (e.g., </w:t>
      </w:r>
      <w:r w:rsidR="00AC6764">
        <w:t xml:space="preserve">Ahl et al., 2022; </w:t>
      </w:r>
      <w:proofErr w:type="spellStart"/>
      <w:r w:rsidR="00AC6764">
        <w:t>Palmér</w:t>
      </w:r>
      <w:proofErr w:type="spellEnd"/>
      <w:r w:rsidR="00AC6764">
        <w:t xml:space="preserve"> </w:t>
      </w:r>
      <w:proofErr w:type="spellStart"/>
      <w:r w:rsidR="00AC6764">
        <w:t>el</w:t>
      </w:r>
      <w:proofErr w:type="spellEnd"/>
      <w:r w:rsidR="00AC6764">
        <w:t xml:space="preserve"> al., 2025; Ryve &amp; Hemmi, 2019)</w:t>
      </w:r>
      <w:r>
        <w:t xml:space="preserve">. </w:t>
      </w:r>
      <w:r w:rsidR="0046621C">
        <w:t xml:space="preserve">Given the fact that teacher autonomy is part of Swedish educational culture (Ryve &amp; Hemmi, 2019) the </w:t>
      </w:r>
      <w:r>
        <w:t xml:space="preserve">conflicts that Anna, Hanna, and their colleagues experienced when they </w:t>
      </w:r>
      <w:r w:rsidR="00BC6B9F">
        <w:t>implemented</w:t>
      </w:r>
      <w:r>
        <w:t xml:space="preserve"> the scripted teaching program</w:t>
      </w:r>
      <w:r w:rsidR="0046621C">
        <w:t xml:space="preserve"> may be expected</w:t>
      </w:r>
      <w:r>
        <w:t xml:space="preserve">. </w:t>
      </w:r>
      <w:r w:rsidR="0046621C">
        <w:t>T</w:t>
      </w:r>
      <w:r>
        <w:t xml:space="preserve">he conflicts that the teachers’ experienced appeared to be multidimensional comprising conflicts at professional, societal and policy, and didactical levels. </w:t>
      </w:r>
      <w:r w:rsidR="0046621C">
        <w:t>Nevertheless, the conflicts</w:t>
      </w:r>
      <w:r>
        <w:t xml:space="preserve"> </w:t>
      </w:r>
      <w:r w:rsidR="00CA2E2C">
        <w:t>raise</w:t>
      </w:r>
      <w:r>
        <w:t xml:space="preserve"> questions about how to handle results from successful small-scale intervention studies. This particular program seems to have been scaled based on results from a small-scale intervention study in at least two different ways. First, it was scaled didactically. The original intervention study, which the scripted program in this study is based on, was </w:t>
      </w:r>
      <w:r>
        <w:lastRenderedPageBreak/>
        <w:t xml:space="preserve">conducted in preschool classrooms for 12 weeks (Sterner et al., 2020). In the scripted teaching program, the findings were scaled to cover arithmetic and algebra content for Grade 1 to 3 of the compulsory school. This raises questions about scaling small-scale research findings across grades. </w:t>
      </w:r>
      <w:r w:rsidR="00AC6764" w:rsidRPr="00AC6764">
        <w:t>Can we infer what works for 10-year-olds from what works for 6-year-olds?</w:t>
      </w:r>
    </w:p>
    <w:p w14:paraId="6EC1804B" w14:textId="3BF07AA9" w:rsidR="6ECA6904" w:rsidRDefault="6ECA6904" w:rsidP="00AC6764">
      <w:r>
        <w:t>Second, the small-scale findings were scaled to include 1000 teachers and their approximately 20 000 students. This means that the small-scale findings were scaled across different contexts. The present study is an extreme case study</w:t>
      </w:r>
      <w:r w:rsidR="00BC6B9F">
        <w:t xml:space="preserve"> (Flyvbjerg, 2006)</w:t>
      </w:r>
      <w:r>
        <w:t xml:space="preserve"> because the interviewees were very experienced teachers teaching in a municipality that is extreme in terms of </w:t>
      </w:r>
      <w:r w:rsidR="007E1315">
        <w:t xml:space="preserve">students’ </w:t>
      </w:r>
      <w:r>
        <w:t xml:space="preserve">high </w:t>
      </w:r>
      <w:r w:rsidR="007E1315">
        <w:t xml:space="preserve">mathematics performance, high </w:t>
      </w:r>
      <w:r>
        <w:t xml:space="preserve">socio-economic standards and high levels of education among residents. It is possible to imagine other (extreme) cases too. For instance, the opposite of the context of the present study. Anna pointed out that the scripted teaching program may work well for unexperienced teachers which may very well be the case. That is not our point. Our point is that </w:t>
      </w:r>
      <w:r w:rsidR="00AC6764">
        <w:t>s</w:t>
      </w:r>
      <w:r w:rsidR="00AC6764" w:rsidRPr="00AC6764">
        <w:t>uccessful small-scale interventions must clearly document the context and conditions of their success to enable scalability.</w:t>
      </w:r>
    </w:p>
    <w:p w14:paraId="0167FFA3" w14:textId="26502F17" w:rsidR="6ECA6904" w:rsidRDefault="2E8E2D04" w:rsidP="00F16FAF">
      <w:r>
        <w:t>Based on the two mentioned points above</w:t>
      </w:r>
      <w:r w:rsidR="00434FC5">
        <w:t>, and by drawing on the findings of Palmér et al.’s (2025) and Ryve and Hemmi’s (2019) studies that emphasise the need for contextual adaptions to the implementation when scaling up research findings, we</w:t>
      </w:r>
      <w:r>
        <w:t xml:space="preserve"> conclude</w:t>
      </w:r>
      <w:r w:rsidR="00434FC5">
        <w:t xml:space="preserve"> </w:t>
      </w:r>
      <w:r>
        <w:t>that scaling may not be a matter of scaling up but of scaling down</w:t>
      </w:r>
      <w:r w:rsidR="00434FC5">
        <w:t xml:space="preserve">. </w:t>
      </w:r>
      <w:r>
        <w:t xml:space="preserve">By scaling down we refer to making adaptions, to specific contexts so that findings of small-scale studies can be meaningful and useful in different contexts. </w:t>
      </w:r>
    </w:p>
    <w:p w14:paraId="09CC749B" w14:textId="57B7266B" w:rsidR="6ECA6904" w:rsidRDefault="6ECA6904" w:rsidP="006736F3">
      <w:r>
        <w:t>Anna and Hanna seemed to experience conflicts between the program’s demand for not helping students out and seeing their students losing interest in mathematics without having the opportunity to fulfil their social obligation towards their students. Nor were they allowed to “justify themselves” for having given a problem that was too difficult and make adaptations of the program tasks that better suited their students. The social obligations that teachers have towards students raises</w:t>
      </w:r>
      <w:r w:rsidR="00AC6764">
        <w:t xml:space="preserve"> ethical</w:t>
      </w:r>
      <w:r>
        <w:t xml:space="preserve"> questions </w:t>
      </w:r>
      <w:r w:rsidR="00BB7C17">
        <w:t xml:space="preserve">about </w:t>
      </w:r>
      <w:r>
        <w:t xml:space="preserve">professional teacher responsibility – the same professional responsibility that Anna and Hanna experienced being stripped of when they followed the program. </w:t>
      </w:r>
      <w:r w:rsidR="00BB7C17">
        <w:t>In addition to issues about conceptual and/or instrumental use of research findings (Sjölund et al., 2022) or tensions between fidelity and adaptation (Palmér et al., 2025) this study</w:t>
      </w:r>
      <w:r>
        <w:t xml:space="preserve"> </w:t>
      </w:r>
      <w:r w:rsidR="00AC6764">
        <w:t>points towards</w:t>
      </w:r>
      <w:r>
        <w:t xml:space="preserve"> ethical </w:t>
      </w:r>
      <w:r w:rsidR="00AC6764">
        <w:t>dimensions</w:t>
      </w:r>
      <w:r>
        <w:t xml:space="preserve"> </w:t>
      </w:r>
      <w:r w:rsidR="00AC6764">
        <w:t>in relation to</w:t>
      </w:r>
      <w:r>
        <w:t xml:space="preserve"> teaching programs with no room for adaptations that </w:t>
      </w:r>
      <w:r w:rsidR="006736F3">
        <w:t>needs to be considered</w:t>
      </w:r>
      <w:r>
        <w:t xml:space="preserve"> when scaling findings. </w:t>
      </w:r>
      <w:r w:rsidR="00BB7C17">
        <w:t>Hence, i</w:t>
      </w:r>
      <w:r>
        <w:t>mplementation of scaled research findings ought to consider teachers’ professionalism as a matter of ethics.</w:t>
      </w:r>
    </w:p>
    <w:p w14:paraId="3207A281" w14:textId="758B9239" w:rsidR="0046621C" w:rsidRDefault="0046621C" w:rsidP="00BA1036">
      <w:r>
        <w:t xml:space="preserve">This is a small-scale extreme case (Flyvbjerg, 2006) interpretative study (Sohn et al., 2017). Our </w:t>
      </w:r>
      <w:r w:rsidR="00BC6B9F">
        <w:t>pre-understandings</w:t>
      </w:r>
      <w:r>
        <w:t xml:space="preserve"> of teacher autonomy and vast experiences as mathematics teachers ha</w:t>
      </w:r>
      <w:r w:rsidR="006736F3">
        <w:t>ve</w:t>
      </w:r>
      <w:r>
        <w:t xml:space="preserve"> influenced our analysis. </w:t>
      </w:r>
      <w:r w:rsidR="00BC6B9F">
        <w:t>To enhance trustworthiness</w:t>
      </w:r>
      <w:r w:rsidR="006736F3">
        <w:t>,</w:t>
      </w:r>
      <w:r w:rsidR="00BC6B9F">
        <w:t xml:space="preserve"> we decided to share several of Anna’s and Hanna’s quote in this study. </w:t>
      </w:r>
    </w:p>
    <w:p w14:paraId="7431E627" w14:textId="21EB9350" w:rsidR="00BB7C17" w:rsidRDefault="00BB7C17" w:rsidP="00BA1036"/>
    <w:p w14:paraId="2419E66A" w14:textId="6204A3AE" w:rsidR="00556D33" w:rsidRDefault="00556D33" w:rsidP="00556D33">
      <w:pPr>
        <w:pStyle w:val="Rubrik2"/>
      </w:pPr>
      <w:r>
        <w:lastRenderedPageBreak/>
        <w:t>References</w:t>
      </w:r>
    </w:p>
    <w:p w14:paraId="632A59AC" w14:textId="63EFA59F" w:rsidR="004019BC" w:rsidRDefault="00B440A5" w:rsidP="004019BC">
      <w:pPr>
        <w:pStyle w:val="References"/>
      </w:pPr>
      <w:r w:rsidRPr="006F2D63">
        <w:rPr>
          <w:lang w:val="sv-SE"/>
        </w:rPr>
        <w:t xml:space="preserve">Ahl, L. M., Helenius, O., &amp; Koljonen, T. (2022). </w:t>
      </w:r>
      <w:r w:rsidRPr="00F16FAF">
        <w:t>Gauging fidelity to an implemented teaching model through the lens of the documentational approach to didactics.</w:t>
      </w:r>
      <w:r w:rsidR="00CA2E2C">
        <w:t xml:space="preserve"> </w:t>
      </w:r>
      <w:r w:rsidRPr="00F16FAF">
        <w:rPr>
          <w:i/>
          <w:iCs/>
        </w:rPr>
        <w:t xml:space="preserve">Implementation and </w:t>
      </w:r>
      <w:r w:rsidR="00BC1DE0">
        <w:rPr>
          <w:i/>
          <w:iCs/>
        </w:rPr>
        <w:t>R</w:t>
      </w:r>
      <w:r w:rsidRPr="00F16FAF">
        <w:rPr>
          <w:i/>
          <w:iCs/>
        </w:rPr>
        <w:t xml:space="preserve">eplication </w:t>
      </w:r>
      <w:r w:rsidR="00BC1DE0">
        <w:rPr>
          <w:i/>
          <w:iCs/>
        </w:rPr>
        <w:t>S</w:t>
      </w:r>
      <w:r w:rsidRPr="00F16FAF">
        <w:rPr>
          <w:i/>
          <w:iCs/>
        </w:rPr>
        <w:t xml:space="preserve">tudies in </w:t>
      </w:r>
      <w:r w:rsidR="00BC1DE0">
        <w:rPr>
          <w:i/>
          <w:iCs/>
        </w:rPr>
        <w:t>M</w:t>
      </w:r>
      <w:r w:rsidRPr="00F16FAF">
        <w:rPr>
          <w:i/>
          <w:iCs/>
        </w:rPr>
        <w:t xml:space="preserve">athematics </w:t>
      </w:r>
      <w:r w:rsidR="00BC1DE0">
        <w:rPr>
          <w:i/>
          <w:iCs/>
        </w:rPr>
        <w:t>E</w:t>
      </w:r>
      <w:r w:rsidRPr="00F16FAF">
        <w:rPr>
          <w:i/>
          <w:iCs/>
        </w:rPr>
        <w:t>ducation</w:t>
      </w:r>
      <w:r w:rsidRPr="00F16FAF">
        <w:t>,</w:t>
      </w:r>
      <w:r w:rsidR="00CA2E2C">
        <w:t xml:space="preserve"> </w:t>
      </w:r>
      <w:r w:rsidRPr="00F16FAF">
        <w:rPr>
          <w:i/>
          <w:iCs/>
        </w:rPr>
        <w:t>2</w:t>
      </w:r>
      <w:r w:rsidRPr="00F16FAF">
        <w:t xml:space="preserve">(1), 45-75. </w:t>
      </w:r>
      <w:hyperlink r:id="rId8" w:tgtFrame="_blank" w:history="1">
        <w:r w:rsidRPr="006F2D63">
          <w:rPr>
            <w:rStyle w:val="Hyperlnk"/>
            <w:color w:val="auto"/>
            <w:u w:val="none"/>
          </w:rPr>
          <w:t>https://doi.org/10.1163/26670127-bja10003</w:t>
        </w:r>
      </w:hyperlink>
    </w:p>
    <w:p w14:paraId="7CB72A12" w14:textId="323ECEEA" w:rsidR="00C44206" w:rsidRPr="00166452" w:rsidRDefault="00C44206" w:rsidP="004019BC">
      <w:pPr>
        <w:pStyle w:val="References"/>
      </w:pPr>
      <w:r>
        <w:t>Ahl, L. M., Helenius, O., Aguilar, M. S., Jankvist, U. T., Misfeldt, M.,</w:t>
      </w:r>
      <w:r w:rsidR="00166452">
        <w:t xml:space="preserve"> &amp;</w:t>
      </w:r>
      <w:r>
        <w:t xml:space="preserve"> Prytz, J.</w:t>
      </w:r>
      <w:r w:rsidR="00166452">
        <w:t xml:space="preserve"> (2023). Implementati</w:t>
      </w:r>
      <w:r w:rsidR="00565143">
        <w:t>o</w:t>
      </w:r>
      <w:r w:rsidR="00166452">
        <w:t>n research in mathematics education: A systematic mapping review.</w:t>
      </w:r>
      <w:r w:rsidR="00166452">
        <w:rPr>
          <w:i/>
          <w:iCs/>
        </w:rPr>
        <w:t xml:space="preserve"> Implementation and Replication Studies in Mathematics Education, 3</w:t>
      </w:r>
      <w:r w:rsidR="00166452">
        <w:t xml:space="preserve">(2), </w:t>
      </w:r>
      <w:r w:rsidR="00420A1D">
        <w:t>135-199. https://doi.org/10.1163/266</w:t>
      </w:r>
      <w:r w:rsidR="00BC1DE0">
        <w:t>70127-bja10015</w:t>
      </w:r>
    </w:p>
    <w:p w14:paraId="2F21AD8E" w14:textId="3EF79756" w:rsidR="00B440A5" w:rsidRDefault="00B440A5" w:rsidP="00B440A5">
      <w:pPr>
        <w:pStyle w:val="References"/>
      </w:pPr>
      <w:r w:rsidRPr="00F16FAF">
        <w:t xml:space="preserve">Ede, A. (2006). Scripted Curriculum: Is it a Prescription for Success?. </w:t>
      </w:r>
      <w:r w:rsidRPr="00F16FAF">
        <w:rPr>
          <w:i/>
          <w:iCs/>
        </w:rPr>
        <w:t>Childhood Education, 83</w:t>
      </w:r>
      <w:r w:rsidRPr="00F16FAF">
        <w:t>:1, 29-32</w:t>
      </w:r>
      <w:r w:rsidR="002D7663">
        <w:t xml:space="preserve">. </w:t>
      </w:r>
      <w:hyperlink r:id="rId9" w:history="1">
        <w:r w:rsidR="002D7663" w:rsidRPr="006F2D63">
          <w:rPr>
            <w:rStyle w:val="Hyperlnk"/>
            <w:color w:val="000000" w:themeColor="text1"/>
            <w:u w:val="none"/>
          </w:rPr>
          <w:t>https://doi.org/10.1080/00094056.2006.10522871</w:t>
        </w:r>
      </w:hyperlink>
      <w:r w:rsidR="002D7663" w:rsidRPr="006F2D63">
        <w:rPr>
          <w:color w:val="000000" w:themeColor="text1"/>
        </w:rPr>
        <w:t xml:space="preserve"> </w:t>
      </w:r>
    </w:p>
    <w:p w14:paraId="1E3593D6" w14:textId="3B758ABF" w:rsidR="006451B3" w:rsidRPr="00F16FAF" w:rsidRDefault="006451B3" w:rsidP="00B440A5">
      <w:pPr>
        <w:pStyle w:val="References"/>
      </w:pPr>
      <w:r w:rsidRPr="006F2D63">
        <w:rPr>
          <w:lang w:val="en-US"/>
        </w:rPr>
        <w:t>Elliott, J. (2024). The Stenhouse legacy and the development of an applied research in education tradition. </w:t>
      </w:r>
      <w:r w:rsidRPr="006451B3">
        <w:rPr>
          <w:i/>
          <w:iCs/>
          <w:lang w:val="sv-SE"/>
        </w:rPr>
        <w:t>The Curriculum Journal</w:t>
      </w:r>
      <w:r w:rsidRPr="006451B3">
        <w:rPr>
          <w:lang w:val="sv-SE"/>
        </w:rPr>
        <w:t>, </w:t>
      </w:r>
      <w:r w:rsidRPr="006451B3">
        <w:rPr>
          <w:i/>
          <w:iCs/>
          <w:lang w:val="sv-SE"/>
        </w:rPr>
        <w:t>35</w:t>
      </w:r>
      <w:r w:rsidRPr="006451B3">
        <w:rPr>
          <w:lang w:val="sv-SE"/>
        </w:rPr>
        <w:t xml:space="preserve">(4), </w:t>
      </w:r>
      <w:r w:rsidR="00786D12" w:rsidRPr="006451B3">
        <w:rPr>
          <w:lang w:val="sv-SE"/>
        </w:rPr>
        <w:t>706–72</w:t>
      </w:r>
      <w:r w:rsidR="00786D12">
        <w:rPr>
          <w:lang w:val="sv-SE"/>
        </w:rPr>
        <w:t>1</w:t>
      </w:r>
      <w:r>
        <w:rPr>
          <w:lang w:val="sv-SE"/>
        </w:rPr>
        <w:t xml:space="preserve">. </w:t>
      </w:r>
      <w:r w:rsidRPr="006451B3">
        <w:rPr>
          <w:lang w:val="sv-SE"/>
        </w:rPr>
        <w:t>https://doi.org/10.1002/curj.291</w:t>
      </w:r>
    </w:p>
    <w:p w14:paraId="7E6983FE" w14:textId="6F751E72" w:rsidR="00912FCE" w:rsidRPr="00F16FAF" w:rsidRDefault="00556D33" w:rsidP="004019BC">
      <w:pPr>
        <w:pStyle w:val="References"/>
      </w:pPr>
      <w:r w:rsidRPr="00F16FAF">
        <w:t>Flyvbjerg, B. (2006). Five Misunderstandings About Case-Study Research. </w:t>
      </w:r>
      <w:r w:rsidRPr="00F16FAF">
        <w:rPr>
          <w:i/>
          <w:iCs/>
        </w:rPr>
        <w:t>Qualitative Inquiry</w:t>
      </w:r>
      <w:r w:rsidRPr="00F16FAF">
        <w:t>,</w:t>
      </w:r>
      <w:r w:rsidR="00CA2E2C">
        <w:t xml:space="preserve"> </w:t>
      </w:r>
      <w:r w:rsidRPr="00F16FAF">
        <w:rPr>
          <w:i/>
          <w:iCs/>
        </w:rPr>
        <w:t>12</w:t>
      </w:r>
      <w:r w:rsidRPr="00F16FAF">
        <w:t>(2), 219-245.</w:t>
      </w:r>
      <w:r w:rsidR="00CA2E2C">
        <w:t xml:space="preserve"> </w:t>
      </w:r>
      <w:hyperlink r:id="rId10" w:history="1">
        <w:r w:rsidR="00CA2E2C" w:rsidRPr="00813841">
          <w:rPr>
            <w:rStyle w:val="Hyperlnk"/>
          </w:rPr>
          <w:t>https://doi.org/10.1177/1077800405284363</w:t>
        </w:r>
      </w:hyperlink>
    </w:p>
    <w:p w14:paraId="446712C6" w14:textId="5070F412" w:rsidR="00E63532" w:rsidRDefault="00912FCE" w:rsidP="004B7669">
      <w:pPr>
        <w:pStyle w:val="References"/>
      </w:pPr>
      <w:r w:rsidRPr="00F16FAF">
        <w:t xml:space="preserve">Helenius, </w:t>
      </w:r>
      <w:r w:rsidR="002140E8" w:rsidRPr="00F16FAF">
        <w:t>O. (</w:t>
      </w:r>
      <w:r w:rsidRPr="00F16FAF">
        <w:t>2022</w:t>
      </w:r>
      <w:r w:rsidR="002140E8" w:rsidRPr="00F16FAF">
        <w:t xml:space="preserve">). Designing stakeholder scaffolding for implementing a teaching model at scale. </w:t>
      </w:r>
      <w:r w:rsidR="0025391B">
        <w:t xml:space="preserve">In </w:t>
      </w:r>
      <w:r w:rsidR="0025391B">
        <w:rPr>
          <w:i/>
          <w:iCs/>
        </w:rPr>
        <w:t xml:space="preserve">Proceedings of the </w:t>
      </w:r>
      <w:r w:rsidR="002140E8" w:rsidRPr="00F16FAF">
        <w:rPr>
          <w:i/>
          <w:iCs/>
        </w:rPr>
        <w:t>Twelfth Congress of the European Society for Research in Mathematics Education</w:t>
      </w:r>
      <w:r w:rsidR="002140E8" w:rsidRPr="00F16FAF">
        <w:t xml:space="preserve"> (CERME12), Feb 2022, Bozen-Bolzano, Italy. hal-03765106</w:t>
      </w:r>
      <w:r w:rsidR="004B7669" w:rsidRPr="00F16FAF">
        <w:t>.</w:t>
      </w:r>
    </w:p>
    <w:p w14:paraId="27C2D029" w14:textId="0B4C0C8C" w:rsidR="00E63532" w:rsidRPr="00BE447B" w:rsidRDefault="00BE447B" w:rsidP="004B7669">
      <w:pPr>
        <w:pStyle w:val="References"/>
      </w:pPr>
      <w:r w:rsidRPr="006F2D63">
        <w:rPr>
          <w:lang w:val="sv-SE"/>
        </w:rPr>
        <w:t xml:space="preserve">Palmér, H., Elofsson, J., &amp; Björklund, C. (2025). </w:t>
      </w:r>
      <w:r>
        <w:t xml:space="preserve">Success in implementation in early mathematics education- Fidelity and/or adaptation?. In </w:t>
      </w:r>
      <w:r>
        <w:rPr>
          <w:i/>
          <w:iCs/>
        </w:rPr>
        <w:t xml:space="preserve">Proceedings of the </w:t>
      </w:r>
      <w:r w:rsidR="0025391B">
        <w:rPr>
          <w:i/>
          <w:iCs/>
        </w:rPr>
        <w:t>F</w:t>
      </w:r>
      <w:r>
        <w:rPr>
          <w:i/>
          <w:iCs/>
        </w:rPr>
        <w:t xml:space="preserve">ourteenth Congress of the European Society for Research in Mathematics Education </w:t>
      </w:r>
      <w:r w:rsidRPr="006F2D63">
        <w:t>(CERME 14)</w:t>
      </w:r>
      <w:r w:rsidR="0025391B">
        <w:t>, Feb 2025,</w:t>
      </w:r>
      <w:r>
        <w:t xml:space="preserve"> Free University of Bozen-Bolzano</w:t>
      </w:r>
      <w:r w:rsidR="0025391B">
        <w:t>, Italy. Hal-05300180.</w:t>
      </w:r>
    </w:p>
    <w:p w14:paraId="22A90F04" w14:textId="20AA75A5" w:rsidR="009955C6" w:rsidRDefault="009955C6" w:rsidP="004B7669">
      <w:pPr>
        <w:pStyle w:val="References"/>
      </w:pPr>
      <w:r w:rsidRPr="006F2D63">
        <w:rPr>
          <w:lang w:val="en-US"/>
        </w:rPr>
        <w:t xml:space="preserve">Ryve, A., </w:t>
      </w:r>
      <w:r w:rsidR="00CA2E2C">
        <w:rPr>
          <w:lang w:val="en-US"/>
        </w:rPr>
        <w:t xml:space="preserve">&amp; </w:t>
      </w:r>
      <w:r w:rsidRPr="006F2D63">
        <w:rPr>
          <w:lang w:val="en-US"/>
        </w:rPr>
        <w:t>Hemmi, K. (2019). Educational policy to improve mathematics instruction at scale: conceptualizing contextual factors.</w:t>
      </w:r>
      <w:r w:rsidR="00CA2E2C">
        <w:rPr>
          <w:lang w:val="en-US"/>
        </w:rPr>
        <w:t xml:space="preserve"> </w:t>
      </w:r>
      <w:r w:rsidRPr="006F2D63">
        <w:rPr>
          <w:i/>
          <w:iCs/>
          <w:lang w:val="en-US"/>
        </w:rPr>
        <w:t>Educ</w:t>
      </w:r>
      <w:r w:rsidR="00CA2E2C">
        <w:rPr>
          <w:i/>
          <w:iCs/>
          <w:lang w:val="en-US"/>
        </w:rPr>
        <w:t>ational</w:t>
      </w:r>
      <w:r w:rsidRPr="006F2D63">
        <w:rPr>
          <w:i/>
          <w:iCs/>
          <w:lang w:val="en-US"/>
        </w:rPr>
        <w:t xml:space="preserve"> Stud</w:t>
      </w:r>
      <w:r w:rsidR="00CA2E2C">
        <w:rPr>
          <w:i/>
          <w:iCs/>
          <w:lang w:val="en-US"/>
        </w:rPr>
        <w:t>ied</w:t>
      </w:r>
      <w:r w:rsidRPr="006F2D63">
        <w:rPr>
          <w:i/>
          <w:iCs/>
          <w:lang w:val="en-US"/>
        </w:rPr>
        <w:t xml:space="preserve"> </w:t>
      </w:r>
      <w:r w:rsidR="00CA2E2C">
        <w:rPr>
          <w:i/>
          <w:iCs/>
          <w:lang w:val="en-US"/>
        </w:rPr>
        <w:t xml:space="preserve">in </w:t>
      </w:r>
      <w:r w:rsidRPr="006F2D63">
        <w:rPr>
          <w:i/>
          <w:iCs/>
          <w:lang w:val="en-US"/>
        </w:rPr>
        <w:t>Mat</w:t>
      </w:r>
      <w:r w:rsidR="00CA2E2C">
        <w:rPr>
          <w:i/>
          <w:iCs/>
          <w:lang w:val="en-US"/>
        </w:rPr>
        <w:t>hematics,</w:t>
      </w:r>
      <w:r w:rsidR="00CA2E2C">
        <w:rPr>
          <w:lang w:val="en-US"/>
        </w:rPr>
        <w:t xml:space="preserve"> </w:t>
      </w:r>
      <w:r w:rsidRPr="00CA2E2C">
        <w:rPr>
          <w:i/>
          <w:iCs/>
          <w:lang w:val="en-US"/>
        </w:rPr>
        <w:t>102,</w:t>
      </w:r>
      <w:r w:rsidRPr="006F2D63">
        <w:rPr>
          <w:lang w:val="en-US"/>
        </w:rPr>
        <w:t xml:space="preserve"> 379–394. </w:t>
      </w:r>
      <w:hyperlink r:id="rId11" w:history="1">
        <w:r w:rsidRPr="006F2D63">
          <w:rPr>
            <w:rStyle w:val="Hyperlnk"/>
            <w:color w:val="000000" w:themeColor="text1"/>
            <w:u w:val="none"/>
            <w:lang w:val="en-US"/>
          </w:rPr>
          <w:t>https://doi.org/10.1007/s10649-019-09887-6</w:t>
        </w:r>
      </w:hyperlink>
    </w:p>
    <w:p w14:paraId="7A79DF4E" w14:textId="2DA1DA8B" w:rsidR="00E960C9" w:rsidRPr="00F16FAF" w:rsidRDefault="00E960C9" w:rsidP="004B7669">
      <w:pPr>
        <w:pStyle w:val="References"/>
      </w:pPr>
      <w:r w:rsidRPr="006F2D63">
        <w:rPr>
          <w:lang w:val="en-US"/>
        </w:rPr>
        <w:t>Sjölund,</w:t>
      </w:r>
      <w:r w:rsidR="00CA2E2C">
        <w:rPr>
          <w:lang w:val="en-US"/>
        </w:rPr>
        <w:t xml:space="preserve"> </w:t>
      </w:r>
      <w:r w:rsidRPr="006F2D63">
        <w:rPr>
          <w:lang w:val="en-US"/>
        </w:rPr>
        <w:t>S.,</w:t>
      </w:r>
      <w:r w:rsidR="00CA2E2C">
        <w:rPr>
          <w:lang w:val="en-US"/>
        </w:rPr>
        <w:t xml:space="preserve"> </w:t>
      </w:r>
      <w:r w:rsidRPr="006F2D63">
        <w:rPr>
          <w:lang w:val="en-US"/>
        </w:rPr>
        <w:t>Lindvall,</w:t>
      </w:r>
      <w:r w:rsidR="00CA2E2C">
        <w:rPr>
          <w:lang w:val="en-US"/>
        </w:rPr>
        <w:t xml:space="preserve"> </w:t>
      </w:r>
      <w:r w:rsidRPr="006F2D63">
        <w:rPr>
          <w:lang w:val="en-US"/>
        </w:rPr>
        <w:t>J.,</w:t>
      </w:r>
      <w:r w:rsidR="00CA2E2C">
        <w:rPr>
          <w:lang w:val="en-US"/>
        </w:rPr>
        <w:t xml:space="preserve"> </w:t>
      </w:r>
      <w:r w:rsidRPr="006F2D63">
        <w:rPr>
          <w:lang w:val="en-US"/>
        </w:rPr>
        <w:t>Larsson,</w:t>
      </w:r>
      <w:r w:rsidR="00CA2E2C">
        <w:rPr>
          <w:lang w:val="en-US"/>
        </w:rPr>
        <w:t xml:space="preserve"> </w:t>
      </w:r>
      <w:r w:rsidRPr="006F2D63">
        <w:rPr>
          <w:lang w:val="en-US"/>
        </w:rPr>
        <w:t>M., &amp;</w:t>
      </w:r>
      <w:r w:rsidR="00CA2E2C">
        <w:rPr>
          <w:lang w:val="en-US"/>
        </w:rPr>
        <w:t xml:space="preserve"> </w:t>
      </w:r>
      <w:r w:rsidRPr="006F2D63">
        <w:rPr>
          <w:lang w:val="en-US"/>
        </w:rPr>
        <w:t>Ryve,</w:t>
      </w:r>
      <w:r w:rsidR="00CA2E2C">
        <w:rPr>
          <w:lang w:val="en-US"/>
        </w:rPr>
        <w:t xml:space="preserve"> </w:t>
      </w:r>
      <w:r w:rsidRPr="006F2D63">
        <w:rPr>
          <w:lang w:val="en-US"/>
        </w:rPr>
        <w:t>A.</w:t>
      </w:r>
      <w:r w:rsidR="00CA2E2C">
        <w:rPr>
          <w:lang w:val="en-US"/>
        </w:rPr>
        <w:t xml:space="preserve"> </w:t>
      </w:r>
      <w:r w:rsidRPr="006F2D63">
        <w:rPr>
          <w:lang w:val="en-US"/>
        </w:rPr>
        <w:t>(2022).</w:t>
      </w:r>
      <w:r w:rsidR="00CA2E2C">
        <w:rPr>
          <w:lang w:val="en-US"/>
        </w:rPr>
        <w:t xml:space="preserve"> </w:t>
      </w:r>
      <w:r w:rsidRPr="006F2D63">
        <w:rPr>
          <w:lang w:val="en-US"/>
        </w:rPr>
        <w:t>Using research to inform practice through research-practice partnerships: A systematic literature review.</w:t>
      </w:r>
      <w:r w:rsidR="00CA2E2C">
        <w:rPr>
          <w:lang w:val="en-US"/>
        </w:rPr>
        <w:t xml:space="preserve"> </w:t>
      </w:r>
      <w:r w:rsidRPr="006F2D63">
        <w:rPr>
          <w:i/>
          <w:iCs/>
          <w:lang w:val="en-US"/>
        </w:rPr>
        <w:t>Review of Education</w:t>
      </w:r>
      <w:r w:rsidRPr="006F2D63">
        <w:rPr>
          <w:lang w:val="en-US"/>
        </w:rPr>
        <w:t>,</w:t>
      </w:r>
      <w:r w:rsidR="00CA2E2C">
        <w:rPr>
          <w:lang w:val="en-US"/>
        </w:rPr>
        <w:t xml:space="preserve"> </w:t>
      </w:r>
      <w:r w:rsidRPr="006F2D63">
        <w:rPr>
          <w:lang w:val="en-US"/>
        </w:rPr>
        <w:t>10, e3337.</w:t>
      </w:r>
      <w:r w:rsidR="00CA2E2C">
        <w:rPr>
          <w:color w:val="000000" w:themeColor="text1"/>
          <w:lang w:val="en-US"/>
        </w:rPr>
        <w:t xml:space="preserve"> </w:t>
      </w:r>
      <w:hyperlink r:id="rId12" w:history="1">
        <w:r w:rsidR="00CA2E2C" w:rsidRPr="00813841">
          <w:rPr>
            <w:rStyle w:val="Hyperlnk"/>
            <w:lang w:val="en-US"/>
          </w:rPr>
          <w:t>https://doi-org.proxy.mau.se/10.1002/rev3.3337</w:t>
        </w:r>
      </w:hyperlink>
    </w:p>
    <w:p w14:paraId="365D0890" w14:textId="35C01560" w:rsidR="00912FCE" w:rsidRPr="00F16FAF" w:rsidRDefault="00912FCE" w:rsidP="000E1E2A">
      <w:pPr>
        <w:pStyle w:val="References"/>
        <w:rPr>
          <w:i/>
          <w:iCs/>
        </w:rPr>
      </w:pPr>
      <w:r w:rsidRPr="00F16FAF">
        <w:t>Skovsmose</w:t>
      </w:r>
      <w:r w:rsidR="000E1E2A" w:rsidRPr="00F16FAF">
        <w:t>, O.</w:t>
      </w:r>
      <w:r w:rsidRPr="00F16FAF">
        <w:t xml:space="preserve"> (2014)</w:t>
      </w:r>
      <w:r w:rsidR="000E1E2A" w:rsidRPr="00F16FAF">
        <w:t xml:space="preserve">. </w:t>
      </w:r>
      <w:r w:rsidR="00F16FAF" w:rsidRPr="00F16FAF">
        <w:rPr>
          <w:i/>
          <w:iCs/>
        </w:rPr>
        <w:t>Foregrounds:</w:t>
      </w:r>
      <w:r w:rsidR="00CA2E2C">
        <w:rPr>
          <w:i/>
          <w:iCs/>
        </w:rPr>
        <w:t xml:space="preserve"> </w:t>
      </w:r>
      <w:r w:rsidR="00F16FAF" w:rsidRPr="00F16FAF">
        <w:rPr>
          <w:i/>
          <w:iCs/>
        </w:rPr>
        <w:t>Opaque stories</w:t>
      </w:r>
      <w:r w:rsidR="00CA2E2C">
        <w:rPr>
          <w:i/>
          <w:iCs/>
        </w:rPr>
        <w:t xml:space="preserve"> </w:t>
      </w:r>
      <w:r w:rsidR="00F16FAF" w:rsidRPr="00F16FAF">
        <w:rPr>
          <w:i/>
          <w:iCs/>
        </w:rPr>
        <w:t>about learning</w:t>
      </w:r>
      <w:r w:rsidR="000E1E2A" w:rsidRPr="00F16FAF">
        <w:rPr>
          <w:i/>
          <w:iCs/>
        </w:rPr>
        <w:t xml:space="preserve">. </w:t>
      </w:r>
      <w:r w:rsidR="000E1E2A" w:rsidRPr="00F16FAF">
        <w:t>Springer.</w:t>
      </w:r>
    </w:p>
    <w:p w14:paraId="67A9CD79" w14:textId="2B2FDF35" w:rsidR="00912FCE" w:rsidRPr="00F16FAF" w:rsidRDefault="000E1E2A" w:rsidP="004019BC">
      <w:pPr>
        <w:pStyle w:val="References"/>
      </w:pPr>
      <w:r w:rsidRPr="00F16FAF">
        <w:t>Sohn, B. K., Thomas, S. P., Greenberg, K. H., &amp; Pollio, H. R. (2017). Hearing the voices of students and teachers: A phenomenological approach to educational research. </w:t>
      </w:r>
      <w:r w:rsidRPr="00F16FAF">
        <w:rPr>
          <w:i/>
          <w:iCs/>
        </w:rPr>
        <w:t>Qualitative Research in Education</w:t>
      </w:r>
      <w:r w:rsidRPr="00F16FAF">
        <w:t>,</w:t>
      </w:r>
      <w:r w:rsidR="00CA2E2C">
        <w:t xml:space="preserve"> </w:t>
      </w:r>
      <w:r w:rsidRPr="00F16FAF">
        <w:rPr>
          <w:i/>
          <w:iCs/>
        </w:rPr>
        <w:t>6</w:t>
      </w:r>
      <w:r w:rsidRPr="00F16FAF">
        <w:t xml:space="preserve">(2), 121-148. </w:t>
      </w:r>
      <w:r w:rsidR="00786D12" w:rsidRPr="006F2D63">
        <w:t>https://doi.org/10.17583.</w:t>
      </w:r>
      <w:r w:rsidR="00786D12" w:rsidRPr="001D7D25">
        <w:t>/qre.2017.2374</w:t>
      </w:r>
      <w:r w:rsidR="00786D12" w:rsidRPr="00F16FAF">
        <w:t xml:space="preserve"> </w:t>
      </w:r>
    </w:p>
    <w:p w14:paraId="659635DD" w14:textId="5110FED3" w:rsidR="00F16FAF" w:rsidRPr="00F16FAF" w:rsidRDefault="008F37C4" w:rsidP="004019BC">
      <w:pPr>
        <w:pStyle w:val="References"/>
      </w:pPr>
      <w:r w:rsidRPr="006F2D63">
        <w:rPr>
          <w:lang w:val="da-DK"/>
        </w:rPr>
        <w:t xml:space="preserve">Sterner, G., Wolff, U., &amp; Helenius, O. (2020). </w:t>
      </w:r>
      <w:r w:rsidRPr="00F16FAF">
        <w:t>Reasoning about representations: Effects of an early math intervention.</w:t>
      </w:r>
      <w:r w:rsidR="00CA2E2C">
        <w:t xml:space="preserve"> </w:t>
      </w:r>
      <w:r w:rsidRPr="00F16FAF">
        <w:rPr>
          <w:i/>
          <w:iCs/>
        </w:rPr>
        <w:t>Scandinavian Journal of Educational Research</w:t>
      </w:r>
      <w:r w:rsidRPr="00F16FAF">
        <w:t>,</w:t>
      </w:r>
      <w:r w:rsidR="00CA2E2C">
        <w:t xml:space="preserve"> </w:t>
      </w:r>
      <w:r w:rsidRPr="00F16FAF">
        <w:rPr>
          <w:i/>
          <w:iCs/>
        </w:rPr>
        <w:t>64</w:t>
      </w:r>
      <w:r w:rsidRPr="00F16FAF">
        <w:t xml:space="preserve">(5), 782-800. </w:t>
      </w:r>
      <w:hyperlink r:id="rId13" w:history="1">
        <w:r w:rsidR="00786D12" w:rsidRPr="006F2D63">
          <w:rPr>
            <w:rStyle w:val="Hyperlnk"/>
            <w:color w:val="000000" w:themeColor="text1"/>
            <w:u w:val="none"/>
          </w:rPr>
          <w:t>https://doi.org/10.1080/00313831.2019.1600579</w:t>
        </w:r>
      </w:hyperlink>
    </w:p>
    <w:p w14:paraId="10A9233D" w14:textId="09A4D9F4" w:rsidR="00556D33" w:rsidRPr="00F16FAF" w:rsidRDefault="00F16FAF" w:rsidP="00F16FAF">
      <w:pPr>
        <w:pStyle w:val="References"/>
      </w:pPr>
      <w:r w:rsidRPr="00F16FAF">
        <w:t>Swedish Research Council’s guidelines. (2017). Good research practice. https://www.vr.se/download/18.5639980c162791bbfe697882/1555334908942/GoodResearchPractice_VR_2017.pdf.</w:t>
      </w:r>
    </w:p>
    <w:p w14:paraId="0808BB88" w14:textId="4499AE9B" w:rsidR="004019BC" w:rsidRPr="00F16FAF" w:rsidRDefault="00B440A5" w:rsidP="004019BC">
      <w:pPr>
        <w:pStyle w:val="References"/>
      </w:pPr>
      <w:r w:rsidRPr="00F16FAF">
        <w:t>Vaughn, M., Parsons, S. A., &amp; Gallagher, M. A. (2022). Challenging scripted curricula with adaptive teaching.</w:t>
      </w:r>
      <w:r w:rsidR="00CA2E2C">
        <w:t xml:space="preserve"> </w:t>
      </w:r>
      <w:r w:rsidRPr="00F16FAF">
        <w:rPr>
          <w:i/>
          <w:iCs/>
        </w:rPr>
        <w:t>Educational Researcher</w:t>
      </w:r>
      <w:r w:rsidRPr="00F16FAF">
        <w:t>,</w:t>
      </w:r>
      <w:r w:rsidR="00CA2E2C">
        <w:t xml:space="preserve"> </w:t>
      </w:r>
      <w:r w:rsidRPr="00F16FAF">
        <w:rPr>
          <w:i/>
          <w:iCs/>
        </w:rPr>
        <w:t>51</w:t>
      </w:r>
      <w:r w:rsidRPr="00F16FAF">
        <w:t xml:space="preserve">(3), 186-196. </w:t>
      </w:r>
      <w:hyperlink r:id="rId14" w:history="1">
        <w:r w:rsidRPr="006F2D63">
          <w:rPr>
            <w:rStyle w:val="Hyperlnk"/>
            <w:color w:val="auto"/>
            <w:u w:val="none"/>
          </w:rPr>
          <w:t>https://doi.org/10.3102/0013189X211065752</w:t>
        </w:r>
      </w:hyperlink>
    </w:p>
    <w:p w14:paraId="1078BEE7" w14:textId="19F3CFD2" w:rsidR="00CE6A6A" w:rsidRPr="00F16FAF" w:rsidRDefault="000E1E2A" w:rsidP="000E1E2A">
      <w:pPr>
        <w:pStyle w:val="References"/>
      </w:pPr>
      <w:r w:rsidRPr="00F16FAF">
        <w:t>Zhang, L., &amp; Sweller, J. (2024). Instructional sequences in science teaching: Considering element interactivity when sequencing inquiry-based investigation activities and explicit instruction.</w:t>
      </w:r>
      <w:r w:rsidR="00CA2E2C">
        <w:t xml:space="preserve"> </w:t>
      </w:r>
      <w:r w:rsidRPr="00F16FAF">
        <w:rPr>
          <w:i/>
          <w:iCs/>
        </w:rPr>
        <w:t>European Journal of Psychology of Education</w:t>
      </w:r>
      <w:r w:rsidRPr="00F16FAF">
        <w:t>,</w:t>
      </w:r>
      <w:r w:rsidR="00CA2E2C">
        <w:t xml:space="preserve"> </w:t>
      </w:r>
      <w:r w:rsidRPr="00F16FAF">
        <w:rPr>
          <w:i/>
          <w:iCs/>
        </w:rPr>
        <w:t>39</w:t>
      </w:r>
      <w:r w:rsidRPr="00F16FAF">
        <w:t>(4), 3791-3801. https://doi.org/10.1007/s10212-024-00799-5</w:t>
      </w:r>
      <w:r w:rsidRPr="00F16FAF" w:rsidDel="000E1E2A">
        <w:t xml:space="preserve"> </w:t>
      </w:r>
    </w:p>
    <w:sectPr w:rsidR="00CE6A6A" w:rsidRPr="00F16FAF" w:rsidSect="000761F4">
      <w:headerReference w:type="default" r:id="rId15"/>
      <w:footerReference w:type="even" r:id="rId16"/>
      <w:footerReference w:type="default" r:id="rId17"/>
      <w:pgSz w:w="11906" w:h="16838" w:code="9"/>
      <w:pgMar w:top="1701" w:right="1418" w:bottom="1418"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2FB7E" w14:textId="77777777" w:rsidR="00F12E45" w:rsidRDefault="00F12E45">
      <w:pPr>
        <w:spacing w:line="240" w:lineRule="auto"/>
      </w:pPr>
      <w:r>
        <w:separator/>
      </w:r>
    </w:p>
  </w:endnote>
  <w:endnote w:type="continuationSeparator" w:id="0">
    <w:p w14:paraId="554FC265" w14:textId="77777777" w:rsidR="00F12E45" w:rsidRDefault="00F12E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webkit-standard">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B116C" w14:textId="77777777" w:rsidR="0075497C" w:rsidRDefault="0075497C" w:rsidP="00465CF1">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end"/>
    </w:r>
  </w:p>
  <w:p w14:paraId="593848F4" w14:textId="77777777" w:rsidR="0075497C" w:rsidRDefault="0075497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3251D" w14:textId="77777777" w:rsidR="0075497C" w:rsidRDefault="0075497C" w:rsidP="00465CF1">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separate"/>
    </w:r>
    <w:r w:rsidR="00ED2199">
      <w:rPr>
        <w:rStyle w:val="Sidnummer"/>
        <w:noProof/>
      </w:rPr>
      <w:t>1</w:t>
    </w:r>
    <w:r>
      <w:rPr>
        <w:rStyle w:val="Sidnummer"/>
      </w:rPr>
      <w:fldChar w:fldCharType="end"/>
    </w:r>
  </w:p>
  <w:p w14:paraId="21937EF6" w14:textId="77777777" w:rsidR="0075497C" w:rsidRDefault="007549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93881" w14:textId="77777777" w:rsidR="00F12E45" w:rsidRDefault="00F12E45">
      <w:pPr>
        <w:spacing w:line="240" w:lineRule="auto"/>
      </w:pPr>
      <w:r>
        <w:separator/>
      </w:r>
    </w:p>
  </w:footnote>
  <w:footnote w:type="continuationSeparator" w:id="0">
    <w:p w14:paraId="3C7A7A19" w14:textId="77777777" w:rsidR="00F12E45" w:rsidRDefault="00F12E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864A" w14:textId="77777777" w:rsidR="00CE6A6A" w:rsidRDefault="00CE6A6A">
    <w:pPr>
      <w:framePr w:wrap="auto" w:vAnchor="text" w:hAnchor="margin" w:xAlign="right" w:y="1"/>
    </w:pPr>
  </w:p>
  <w:p w14:paraId="4AC39D26" w14:textId="77777777" w:rsidR="00CE6A6A" w:rsidRDefault="00CE6A6A">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2DE97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F6B5519"/>
    <w:multiLevelType w:val="hybridMultilevel"/>
    <w:tmpl w:val="302A0F3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11501581">
    <w:abstractNumId w:val="0"/>
  </w:num>
  <w:num w:numId="2" w16cid:durableId="2114128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embedSystemFont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57"/>
    <w:rsid w:val="00021591"/>
    <w:rsid w:val="00021BD2"/>
    <w:rsid w:val="000317A0"/>
    <w:rsid w:val="000479D9"/>
    <w:rsid w:val="00053461"/>
    <w:rsid w:val="00053497"/>
    <w:rsid w:val="00062F43"/>
    <w:rsid w:val="00064A57"/>
    <w:rsid w:val="000715FC"/>
    <w:rsid w:val="00071B63"/>
    <w:rsid w:val="0007403F"/>
    <w:rsid w:val="0007601D"/>
    <w:rsid w:val="000761F4"/>
    <w:rsid w:val="00084739"/>
    <w:rsid w:val="000961BF"/>
    <w:rsid w:val="00096AF1"/>
    <w:rsid w:val="000A232B"/>
    <w:rsid w:val="000B42AD"/>
    <w:rsid w:val="000B68A1"/>
    <w:rsid w:val="000B7FAF"/>
    <w:rsid w:val="000C1190"/>
    <w:rsid w:val="000C2855"/>
    <w:rsid w:val="000C62A2"/>
    <w:rsid w:val="000D2258"/>
    <w:rsid w:val="000D40CA"/>
    <w:rsid w:val="000D67C4"/>
    <w:rsid w:val="000E1E2A"/>
    <w:rsid w:val="000F059F"/>
    <w:rsid w:val="000F175D"/>
    <w:rsid w:val="000F1968"/>
    <w:rsid w:val="000F7629"/>
    <w:rsid w:val="000F7BC9"/>
    <w:rsid w:val="00101501"/>
    <w:rsid w:val="001073C7"/>
    <w:rsid w:val="00112935"/>
    <w:rsid w:val="00117643"/>
    <w:rsid w:val="00120120"/>
    <w:rsid w:val="00127B0D"/>
    <w:rsid w:val="00133F5F"/>
    <w:rsid w:val="001356B6"/>
    <w:rsid w:val="00152977"/>
    <w:rsid w:val="00157FC7"/>
    <w:rsid w:val="00162A25"/>
    <w:rsid w:val="00166452"/>
    <w:rsid w:val="001812A9"/>
    <w:rsid w:val="00192DBD"/>
    <w:rsid w:val="0019670E"/>
    <w:rsid w:val="001A3285"/>
    <w:rsid w:val="001A41A7"/>
    <w:rsid w:val="001A6BC7"/>
    <w:rsid w:val="001C38A5"/>
    <w:rsid w:val="001D7D25"/>
    <w:rsid w:val="002055F1"/>
    <w:rsid w:val="002140E8"/>
    <w:rsid w:val="00227D4A"/>
    <w:rsid w:val="0023527C"/>
    <w:rsid w:val="00235F26"/>
    <w:rsid w:val="002370A8"/>
    <w:rsid w:val="0024262B"/>
    <w:rsid w:val="00244AA2"/>
    <w:rsid w:val="002455E7"/>
    <w:rsid w:val="00246EF3"/>
    <w:rsid w:val="0025325D"/>
    <w:rsid w:val="0025391B"/>
    <w:rsid w:val="002603CE"/>
    <w:rsid w:val="00264F83"/>
    <w:rsid w:val="00270DC4"/>
    <w:rsid w:val="0027767A"/>
    <w:rsid w:val="002824CB"/>
    <w:rsid w:val="002A38E1"/>
    <w:rsid w:val="002A48E8"/>
    <w:rsid w:val="002A7B4D"/>
    <w:rsid w:val="002C147A"/>
    <w:rsid w:val="002C2FA5"/>
    <w:rsid w:val="002C53A9"/>
    <w:rsid w:val="002C65E6"/>
    <w:rsid w:val="002D6346"/>
    <w:rsid w:val="002D7663"/>
    <w:rsid w:val="002E4156"/>
    <w:rsid w:val="002E7824"/>
    <w:rsid w:val="002F20DA"/>
    <w:rsid w:val="002F24CC"/>
    <w:rsid w:val="002F4291"/>
    <w:rsid w:val="0033066C"/>
    <w:rsid w:val="00365469"/>
    <w:rsid w:val="00372151"/>
    <w:rsid w:val="00375532"/>
    <w:rsid w:val="00384A18"/>
    <w:rsid w:val="00392684"/>
    <w:rsid w:val="00393A92"/>
    <w:rsid w:val="00397B86"/>
    <w:rsid w:val="003A0A54"/>
    <w:rsid w:val="003A30AC"/>
    <w:rsid w:val="003A37B3"/>
    <w:rsid w:val="003A6936"/>
    <w:rsid w:val="003A7CCE"/>
    <w:rsid w:val="003A7FF1"/>
    <w:rsid w:val="003B22DD"/>
    <w:rsid w:val="003B2647"/>
    <w:rsid w:val="003C1EBC"/>
    <w:rsid w:val="003D08F5"/>
    <w:rsid w:val="003D5E99"/>
    <w:rsid w:val="004019BC"/>
    <w:rsid w:val="00401A3E"/>
    <w:rsid w:val="0040794B"/>
    <w:rsid w:val="00411D41"/>
    <w:rsid w:val="00420A1D"/>
    <w:rsid w:val="00425781"/>
    <w:rsid w:val="004341A3"/>
    <w:rsid w:val="00434FC5"/>
    <w:rsid w:val="00437116"/>
    <w:rsid w:val="004379C0"/>
    <w:rsid w:val="0044296D"/>
    <w:rsid w:val="0045180C"/>
    <w:rsid w:val="00451D12"/>
    <w:rsid w:val="004555AA"/>
    <w:rsid w:val="00461A64"/>
    <w:rsid w:val="00461D61"/>
    <w:rsid w:val="0046621C"/>
    <w:rsid w:val="004761B5"/>
    <w:rsid w:val="00496A9E"/>
    <w:rsid w:val="004B7669"/>
    <w:rsid w:val="004B7967"/>
    <w:rsid w:val="004B7E38"/>
    <w:rsid w:val="004C6F70"/>
    <w:rsid w:val="004C75D8"/>
    <w:rsid w:val="004E2C5F"/>
    <w:rsid w:val="004E6BFD"/>
    <w:rsid w:val="004F68F9"/>
    <w:rsid w:val="00505AD3"/>
    <w:rsid w:val="0051582C"/>
    <w:rsid w:val="00524FB2"/>
    <w:rsid w:val="00543C3C"/>
    <w:rsid w:val="00556D33"/>
    <w:rsid w:val="00565143"/>
    <w:rsid w:val="00567E52"/>
    <w:rsid w:val="005710F8"/>
    <w:rsid w:val="005753B2"/>
    <w:rsid w:val="00576A48"/>
    <w:rsid w:val="00591B6D"/>
    <w:rsid w:val="0059652F"/>
    <w:rsid w:val="005A363B"/>
    <w:rsid w:val="005A6DCB"/>
    <w:rsid w:val="005B01D4"/>
    <w:rsid w:val="005B2C5C"/>
    <w:rsid w:val="005B359E"/>
    <w:rsid w:val="005D7A46"/>
    <w:rsid w:val="005E3911"/>
    <w:rsid w:val="005E6240"/>
    <w:rsid w:val="006167E1"/>
    <w:rsid w:val="00634F17"/>
    <w:rsid w:val="006408D9"/>
    <w:rsid w:val="00641B77"/>
    <w:rsid w:val="006451B3"/>
    <w:rsid w:val="00671703"/>
    <w:rsid w:val="00671788"/>
    <w:rsid w:val="00672077"/>
    <w:rsid w:val="006733D7"/>
    <w:rsid w:val="0067366B"/>
    <w:rsid w:val="006736F3"/>
    <w:rsid w:val="006824D0"/>
    <w:rsid w:val="0068651C"/>
    <w:rsid w:val="00695DF6"/>
    <w:rsid w:val="00696D1B"/>
    <w:rsid w:val="006A3757"/>
    <w:rsid w:val="006B5FD2"/>
    <w:rsid w:val="006C40DC"/>
    <w:rsid w:val="006C71FB"/>
    <w:rsid w:val="006D0D64"/>
    <w:rsid w:val="006D180A"/>
    <w:rsid w:val="006E5F82"/>
    <w:rsid w:val="006F2D63"/>
    <w:rsid w:val="00730C45"/>
    <w:rsid w:val="00737C28"/>
    <w:rsid w:val="0075497C"/>
    <w:rsid w:val="007659D5"/>
    <w:rsid w:val="007668D4"/>
    <w:rsid w:val="007677B1"/>
    <w:rsid w:val="00774B3C"/>
    <w:rsid w:val="0077642B"/>
    <w:rsid w:val="007820FA"/>
    <w:rsid w:val="00786D12"/>
    <w:rsid w:val="007A70B9"/>
    <w:rsid w:val="007B1A7B"/>
    <w:rsid w:val="007B25DF"/>
    <w:rsid w:val="007D28E5"/>
    <w:rsid w:val="007E1315"/>
    <w:rsid w:val="007E32E1"/>
    <w:rsid w:val="007E5957"/>
    <w:rsid w:val="00803BB1"/>
    <w:rsid w:val="00804904"/>
    <w:rsid w:val="00807CEF"/>
    <w:rsid w:val="00811773"/>
    <w:rsid w:val="00811AD6"/>
    <w:rsid w:val="00821E74"/>
    <w:rsid w:val="0082521B"/>
    <w:rsid w:val="008408F7"/>
    <w:rsid w:val="00841726"/>
    <w:rsid w:val="00842F58"/>
    <w:rsid w:val="0085007C"/>
    <w:rsid w:val="00860437"/>
    <w:rsid w:val="0086491B"/>
    <w:rsid w:val="0087497A"/>
    <w:rsid w:val="00884355"/>
    <w:rsid w:val="008A2E41"/>
    <w:rsid w:val="008B0E82"/>
    <w:rsid w:val="008C28A3"/>
    <w:rsid w:val="008C4C60"/>
    <w:rsid w:val="008C50A2"/>
    <w:rsid w:val="008D44F8"/>
    <w:rsid w:val="008D6456"/>
    <w:rsid w:val="008E7B43"/>
    <w:rsid w:val="008F37C4"/>
    <w:rsid w:val="00907875"/>
    <w:rsid w:val="00912FCE"/>
    <w:rsid w:val="0091302C"/>
    <w:rsid w:val="0091579A"/>
    <w:rsid w:val="009217D3"/>
    <w:rsid w:val="009258DE"/>
    <w:rsid w:val="009328F6"/>
    <w:rsid w:val="00933A03"/>
    <w:rsid w:val="00941F71"/>
    <w:rsid w:val="009436C7"/>
    <w:rsid w:val="00953BDB"/>
    <w:rsid w:val="0096234F"/>
    <w:rsid w:val="00965FEB"/>
    <w:rsid w:val="00970552"/>
    <w:rsid w:val="0097560B"/>
    <w:rsid w:val="0097685E"/>
    <w:rsid w:val="00977509"/>
    <w:rsid w:val="009851A4"/>
    <w:rsid w:val="00986809"/>
    <w:rsid w:val="009955C6"/>
    <w:rsid w:val="009B5F2E"/>
    <w:rsid w:val="009B6ACC"/>
    <w:rsid w:val="009C103B"/>
    <w:rsid w:val="009C7DFF"/>
    <w:rsid w:val="009E013B"/>
    <w:rsid w:val="009E3010"/>
    <w:rsid w:val="009E3FA0"/>
    <w:rsid w:val="009E5983"/>
    <w:rsid w:val="009F64D9"/>
    <w:rsid w:val="009F7ACC"/>
    <w:rsid w:val="00A02CD1"/>
    <w:rsid w:val="00A04517"/>
    <w:rsid w:val="00A06212"/>
    <w:rsid w:val="00A2654B"/>
    <w:rsid w:val="00A26EEC"/>
    <w:rsid w:val="00A31432"/>
    <w:rsid w:val="00A32877"/>
    <w:rsid w:val="00A34772"/>
    <w:rsid w:val="00A41908"/>
    <w:rsid w:val="00A453D9"/>
    <w:rsid w:val="00A5122D"/>
    <w:rsid w:val="00A525B6"/>
    <w:rsid w:val="00A55B46"/>
    <w:rsid w:val="00A65DF4"/>
    <w:rsid w:val="00A66758"/>
    <w:rsid w:val="00A67216"/>
    <w:rsid w:val="00A75FFA"/>
    <w:rsid w:val="00A82044"/>
    <w:rsid w:val="00A838C5"/>
    <w:rsid w:val="00A85A0F"/>
    <w:rsid w:val="00A93652"/>
    <w:rsid w:val="00A94980"/>
    <w:rsid w:val="00AA3774"/>
    <w:rsid w:val="00AB3C6E"/>
    <w:rsid w:val="00AB4920"/>
    <w:rsid w:val="00AB6AD3"/>
    <w:rsid w:val="00AB7841"/>
    <w:rsid w:val="00AC29CC"/>
    <w:rsid w:val="00AC6764"/>
    <w:rsid w:val="00AD62EB"/>
    <w:rsid w:val="00AD64D1"/>
    <w:rsid w:val="00AE0BD9"/>
    <w:rsid w:val="00AE2B8A"/>
    <w:rsid w:val="00AE2FC8"/>
    <w:rsid w:val="00AE48CE"/>
    <w:rsid w:val="00AE524B"/>
    <w:rsid w:val="00AF287A"/>
    <w:rsid w:val="00AF2AEF"/>
    <w:rsid w:val="00AF4D60"/>
    <w:rsid w:val="00B0239C"/>
    <w:rsid w:val="00B02935"/>
    <w:rsid w:val="00B06B88"/>
    <w:rsid w:val="00B135CD"/>
    <w:rsid w:val="00B13C57"/>
    <w:rsid w:val="00B225AB"/>
    <w:rsid w:val="00B24874"/>
    <w:rsid w:val="00B4151C"/>
    <w:rsid w:val="00B440A5"/>
    <w:rsid w:val="00B4443B"/>
    <w:rsid w:val="00B65349"/>
    <w:rsid w:val="00B66880"/>
    <w:rsid w:val="00B67CFF"/>
    <w:rsid w:val="00B8638C"/>
    <w:rsid w:val="00B96594"/>
    <w:rsid w:val="00BA02C5"/>
    <w:rsid w:val="00BA1036"/>
    <w:rsid w:val="00BA6943"/>
    <w:rsid w:val="00BA6C37"/>
    <w:rsid w:val="00BB2B43"/>
    <w:rsid w:val="00BB367C"/>
    <w:rsid w:val="00BB7C17"/>
    <w:rsid w:val="00BC1DE0"/>
    <w:rsid w:val="00BC6B9F"/>
    <w:rsid w:val="00BD3AD2"/>
    <w:rsid w:val="00BD6E6B"/>
    <w:rsid w:val="00BE15AE"/>
    <w:rsid w:val="00BE3272"/>
    <w:rsid w:val="00BE39A7"/>
    <w:rsid w:val="00BE447B"/>
    <w:rsid w:val="00BE579E"/>
    <w:rsid w:val="00C04128"/>
    <w:rsid w:val="00C21B63"/>
    <w:rsid w:val="00C32D6E"/>
    <w:rsid w:val="00C37297"/>
    <w:rsid w:val="00C44206"/>
    <w:rsid w:val="00C4490A"/>
    <w:rsid w:val="00C54920"/>
    <w:rsid w:val="00C66F3A"/>
    <w:rsid w:val="00C713BD"/>
    <w:rsid w:val="00C80672"/>
    <w:rsid w:val="00C963C6"/>
    <w:rsid w:val="00CA12DB"/>
    <w:rsid w:val="00CA26D9"/>
    <w:rsid w:val="00CA2E2C"/>
    <w:rsid w:val="00CA3BA4"/>
    <w:rsid w:val="00CC2C98"/>
    <w:rsid w:val="00CC6EB3"/>
    <w:rsid w:val="00CE0FA1"/>
    <w:rsid w:val="00CE2024"/>
    <w:rsid w:val="00CE3130"/>
    <w:rsid w:val="00CE6A6A"/>
    <w:rsid w:val="00CF146C"/>
    <w:rsid w:val="00D109BA"/>
    <w:rsid w:val="00D1672E"/>
    <w:rsid w:val="00D3052F"/>
    <w:rsid w:val="00D4333C"/>
    <w:rsid w:val="00D560DB"/>
    <w:rsid w:val="00D71462"/>
    <w:rsid w:val="00D74D6F"/>
    <w:rsid w:val="00D827A1"/>
    <w:rsid w:val="00D83FE8"/>
    <w:rsid w:val="00D94ADB"/>
    <w:rsid w:val="00DA313F"/>
    <w:rsid w:val="00DD059A"/>
    <w:rsid w:val="00DE5662"/>
    <w:rsid w:val="00DE6C0E"/>
    <w:rsid w:val="00DE6C20"/>
    <w:rsid w:val="00DF18F9"/>
    <w:rsid w:val="00DF54E9"/>
    <w:rsid w:val="00E126CE"/>
    <w:rsid w:val="00E16EBE"/>
    <w:rsid w:val="00E20839"/>
    <w:rsid w:val="00E232EC"/>
    <w:rsid w:val="00E44E1C"/>
    <w:rsid w:val="00E505A2"/>
    <w:rsid w:val="00E5766A"/>
    <w:rsid w:val="00E63532"/>
    <w:rsid w:val="00E65B2B"/>
    <w:rsid w:val="00E67DE9"/>
    <w:rsid w:val="00E80691"/>
    <w:rsid w:val="00E90B43"/>
    <w:rsid w:val="00E960C9"/>
    <w:rsid w:val="00EA096E"/>
    <w:rsid w:val="00EA4E87"/>
    <w:rsid w:val="00EB2569"/>
    <w:rsid w:val="00EB79E6"/>
    <w:rsid w:val="00EC014D"/>
    <w:rsid w:val="00EC4407"/>
    <w:rsid w:val="00ED0E28"/>
    <w:rsid w:val="00ED2199"/>
    <w:rsid w:val="00ED3908"/>
    <w:rsid w:val="00ED6E68"/>
    <w:rsid w:val="00EE6B96"/>
    <w:rsid w:val="00EE6EDE"/>
    <w:rsid w:val="00EF6EA5"/>
    <w:rsid w:val="00F06CA7"/>
    <w:rsid w:val="00F12E45"/>
    <w:rsid w:val="00F16FAF"/>
    <w:rsid w:val="00F1727A"/>
    <w:rsid w:val="00F214C8"/>
    <w:rsid w:val="00F23D4C"/>
    <w:rsid w:val="00F277FF"/>
    <w:rsid w:val="00F332B4"/>
    <w:rsid w:val="00F42493"/>
    <w:rsid w:val="00F42DFA"/>
    <w:rsid w:val="00F44A23"/>
    <w:rsid w:val="00F51919"/>
    <w:rsid w:val="00F5400D"/>
    <w:rsid w:val="00F56D5B"/>
    <w:rsid w:val="00F56D61"/>
    <w:rsid w:val="00F61379"/>
    <w:rsid w:val="00F61F15"/>
    <w:rsid w:val="00F66EA9"/>
    <w:rsid w:val="00F67419"/>
    <w:rsid w:val="00F8008A"/>
    <w:rsid w:val="00F973F1"/>
    <w:rsid w:val="00FB18D5"/>
    <w:rsid w:val="00FC177F"/>
    <w:rsid w:val="00FC798E"/>
    <w:rsid w:val="00FD272A"/>
    <w:rsid w:val="00FD2CF2"/>
    <w:rsid w:val="00FD3EB1"/>
    <w:rsid w:val="00FE5416"/>
    <w:rsid w:val="00FE7B78"/>
    <w:rsid w:val="00FF7609"/>
    <w:rsid w:val="07CA19D0"/>
    <w:rsid w:val="0801B77F"/>
    <w:rsid w:val="0D32AAE3"/>
    <w:rsid w:val="2CBA6E5D"/>
    <w:rsid w:val="2E8E2D04"/>
    <w:rsid w:val="5D9FD058"/>
    <w:rsid w:val="6ECA6904"/>
    <w:rsid w:val="72DC125D"/>
  </w:rsids>
  <m:mathPr>
    <m:mathFont m:val="Cambria Math"/>
    <m:brkBin m:val="before"/>
    <m:brkBinSub m:val="--"/>
    <m:smallFrac m:val="0"/>
    <m:dispDef m:val="0"/>
    <m:lMargin m:val="0"/>
    <m:rMargin m:val="0"/>
    <m:defJc m:val="centerGroup"/>
    <m:wrapRight/>
    <m:intLim m:val="subSup"/>
    <m:naryLim m:val="subSup"/>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73F72BD"/>
  <w14:defaultImageDpi w14:val="300"/>
  <w15:docId w15:val="{9860DF5C-CB93-422F-AA6B-ED4297DD1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read 2"/>
    <w:qFormat/>
    <w:rsid w:val="005067E6"/>
    <w:pPr>
      <w:autoSpaceDE w:val="0"/>
      <w:autoSpaceDN w:val="0"/>
      <w:spacing w:line="320" w:lineRule="atLeast"/>
      <w:ind w:firstLine="425"/>
      <w:jc w:val="both"/>
    </w:pPr>
    <w:rPr>
      <w:sz w:val="26"/>
      <w:szCs w:val="28"/>
      <w:lang w:val="en-GB" w:eastAsia="en-US"/>
    </w:rPr>
  </w:style>
  <w:style w:type="paragraph" w:styleId="Rubrik1">
    <w:name w:val="heading 1"/>
    <w:aliases w:val="Title"/>
    <w:basedOn w:val="Rubrik"/>
    <w:next w:val="Rubrik8"/>
    <w:qFormat/>
    <w:rsid w:val="0070249D"/>
    <w:pPr>
      <w:keepNext/>
      <w:spacing w:before="0" w:after="0"/>
      <w:ind w:firstLine="0"/>
    </w:pPr>
    <w:rPr>
      <w:rFonts w:ascii="Times New Roman" w:hAnsi="Times New Roman"/>
      <w:b w:val="0"/>
      <w:bCs w:val="0"/>
      <w:sz w:val="44"/>
    </w:rPr>
  </w:style>
  <w:style w:type="paragraph" w:styleId="Rubrik2">
    <w:name w:val="heading 2"/>
    <w:aliases w:val="Head 1"/>
    <w:basedOn w:val="Rubrik"/>
    <w:next w:val="Brdtext"/>
    <w:qFormat/>
    <w:rsid w:val="0070249D"/>
    <w:pPr>
      <w:keepNext/>
      <w:spacing w:before="360" w:after="0"/>
      <w:ind w:firstLine="0"/>
      <w:jc w:val="left"/>
      <w:outlineLvl w:val="1"/>
    </w:pPr>
    <w:rPr>
      <w:rFonts w:ascii="Times New Roman" w:hAnsi="Times New Roman"/>
      <w:bCs w:val="0"/>
      <w:sz w:val="28"/>
    </w:rPr>
  </w:style>
  <w:style w:type="paragraph" w:styleId="Rubrik3">
    <w:name w:val="heading 3"/>
    <w:aliases w:val="Head 2"/>
    <w:basedOn w:val="Normal"/>
    <w:next w:val="Normal"/>
    <w:link w:val="Rubrik3Char"/>
    <w:qFormat/>
    <w:rsid w:val="00866094"/>
    <w:pPr>
      <w:keepNext/>
      <w:spacing w:before="240"/>
      <w:ind w:firstLine="0"/>
      <w:jc w:val="left"/>
      <w:outlineLvl w:val="2"/>
    </w:pPr>
    <w:rPr>
      <w:b/>
      <w:bCs/>
    </w:rPr>
  </w:style>
  <w:style w:type="paragraph" w:styleId="Rubrik4">
    <w:name w:val="heading 4"/>
    <w:aliases w:val="Head 3"/>
    <w:basedOn w:val="Rubrik"/>
    <w:next w:val="Brdtext"/>
    <w:link w:val="Rubrik4Char"/>
    <w:uiPriority w:val="9"/>
    <w:unhideWhenUsed/>
    <w:qFormat/>
    <w:rsid w:val="00101D8A"/>
    <w:pPr>
      <w:keepNext/>
      <w:spacing w:before="120" w:after="0"/>
      <w:ind w:firstLine="0"/>
      <w:jc w:val="left"/>
      <w:outlineLvl w:val="3"/>
    </w:pPr>
    <w:rPr>
      <w:rFonts w:ascii="Times New Roman" w:hAnsi="Times New Roman"/>
      <w:bCs w:val="0"/>
      <w:i/>
      <w:sz w:val="26"/>
    </w:rPr>
  </w:style>
  <w:style w:type="paragraph" w:styleId="Rubrik8">
    <w:name w:val="heading 8"/>
    <w:aliases w:val="Authors"/>
    <w:basedOn w:val="Rubrik"/>
    <w:next w:val="Normal"/>
    <w:link w:val="Rubrik8Char"/>
    <w:uiPriority w:val="9"/>
    <w:unhideWhenUsed/>
    <w:qFormat/>
    <w:rsid w:val="000C4CBD"/>
    <w:pPr>
      <w:spacing w:before="360" w:after="0"/>
      <w:ind w:firstLine="0"/>
      <w:outlineLvl w:val="7"/>
    </w:pPr>
    <w:rPr>
      <w:rFonts w:ascii="Times New Roman" w:hAnsi="Times New Roman"/>
      <w:iCs/>
      <w:sz w:val="28"/>
      <w:szCs w:val="24"/>
    </w:rPr>
  </w:style>
  <w:style w:type="paragraph" w:styleId="Rubrik9">
    <w:name w:val="heading 9"/>
    <w:aliases w:val="Institution"/>
    <w:basedOn w:val="Rubrik"/>
    <w:next w:val="Normal"/>
    <w:link w:val="Rubrik9Char"/>
    <w:uiPriority w:val="9"/>
    <w:unhideWhenUsed/>
    <w:qFormat/>
    <w:rsid w:val="000C4CBD"/>
    <w:pPr>
      <w:spacing w:before="0" w:after="720"/>
      <w:ind w:firstLine="0"/>
      <w:outlineLvl w:val="8"/>
    </w:pPr>
    <w:rPr>
      <w:rFonts w:ascii="Times New Roman" w:hAnsi="Times New Roman"/>
      <w:b w:val="0"/>
      <w:sz w:val="28"/>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9D176C"/>
    <w:pPr>
      <w:spacing w:before="240" w:after="60"/>
      <w:jc w:val="center"/>
      <w:outlineLvl w:val="0"/>
    </w:pPr>
    <w:rPr>
      <w:rFonts w:ascii="Calibri" w:hAnsi="Calibri"/>
      <w:b/>
      <w:bCs/>
      <w:kern w:val="28"/>
      <w:sz w:val="32"/>
      <w:szCs w:val="32"/>
    </w:rPr>
  </w:style>
  <w:style w:type="character" w:customStyle="1" w:styleId="RubrikChar">
    <w:name w:val="Rubrik Char"/>
    <w:link w:val="Rubrik"/>
    <w:uiPriority w:val="10"/>
    <w:rsid w:val="009D176C"/>
    <w:rPr>
      <w:rFonts w:ascii="Calibri" w:eastAsia="Times New Roman" w:hAnsi="Calibri" w:cs="Times New Roman"/>
      <w:b/>
      <w:bCs/>
      <w:kern w:val="28"/>
      <w:sz w:val="32"/>
      <w:szCs w:val="32"/>
      <w:lang w:val="en-GB" w:eastAsia="en-US"/>
    </w:rPr>
  </w:style>
  <w:style w:type="character" w:customStyle="1" w:styleId="Rubrik8Char">
    <w:name w:val="Rubrik 8 Char"/>
    <w:aliases w:val="Authors Char"/>
    <w:link w:val="Rubrik8"/>
    <w:uiPriority w:val="9"/>
    <w:rsid w:val="000C4CBD"/>
    <w:rPr>
      <w:rFonts w:eastAsia="Times New Roman" w:cs="Times New Roman"/>
      <w:b/>
      <w:bCs/>
      <w:iCs/>
      <w:kern w:val="28"/>
      <w:sz w:val="28"/>
      <w:szCs w:val="24"/>
      <w:lang w:val="en-GB" w:eastAsia="en-US"/>
    </w:rPr>
  </w:style>
  <w:style w:type="paragraph" w:styleId="Brdtext">
    <w:name w:val="Body Text"/>
    <w:aliases w:val="Bread 1"/>
    <w:basedOn w:val="Normal"/>
    <w:next w:val="Normal"/>
    <w:link w:val="BrdtextChar"/>
    <w:uiPriority w:val="99"/>
    <w:unhideWhenUsed/>
    <w:qFormat/>
    <w:rsid w:val="00FD5842"/>
    <w:pPr>
      <w:ind w:firstLine="0"/>
    </w:pPr>
  </w:style>
  <w:style w:type="character" w:customStyle="1" w:styleId="BrdtextChar">
    <w:name w:val="Brödtext Char"/>
    <w:aliases w:val="Bread 1 Char"/>
    <w:link w:val="Brdtext"/>
    <w:uiPriority w:val="99"/>
    <w:rsid w:val="00FD5842"/>
    <w:rPr>
      <w:sz w:val="26"/>
      <w:szCs w:val="28"/>
      <w:lang w:val="en-GB" w:eastAsia="en-US"/>
    </w:rPr>
  </w:style>
  <w:style w:type="character" w:customStyle="1" w:styleId="Rubrik4Char">
    <w:name w:val="Rubrik 4 Char"/>
    <w:aliases w:val="Head 3 Char"/>
    <w:link w:val="Rubrik4"/>
    <w:uiPriority w:val="9"/>
    <w:rsid w:val="00101D8A"/>
    <w:rPr>
      <w:rFonts w:eastAsia="Times New Roman" w:cs="Times New Roman"/>
      <w:b/>
      <w:i/>
      <w:kern w:val="28"/>
      <w:sz w:val="26"/>
      <w:szCs w:val="32"/>
      <w:lang w:val="en-GB" w:eastAsia="en-US"/>
    </w:rPr>
  </w:style>
  <w:style w:type="character" w:customStyle="1" w:styleId="Rubrik9Char">
    <w:name w:val="Rubrik 9 Char"/>
    <w:aliases w:val="Institution Char"/>
    <w:link w:val="Rubrik9"/>
    <w:uiPriority w:val="9"/>
    <w:rsid w:val="000C4CBD"/>
    <w:rPr>
      <w:rFonts w:eastAsia="Times New Roman" w:cs="Times New Roman"/>
      <w:bCs/>
      <w:kern w:val="28"/>
      <w:sz w:val="28"/>
      <w:szCs w:val="22"/>
      <w:lang w:val="en-GB" w:eastAsia="en-US"/>
    </w:rPr>
  </w:style>
  <w:style w:type="paragraph" w:customStyle="1" w:styleId="Numberedtranscript">
    <w:name w:val="Numbered transcript"/>
    <w:basedOn w:val="Normal"/>
    <w:qFormat/>
    <w:rsid w:val="00575777"/>
    <w:pPr>
      <w:tabs>
        <w:tab w:val="left" w:pos="1134"/>
      </w:tabs>
      <w:spacing w:before="60" w:after="60" w:line="300" w:lineRule="atLeast"/>
      <w:ind w:left="2693" w:right="425" w:hanging="2268"/>
    </w:pPr>
    <w:rPr>
      <w:szCs w:val="26"/>
    </w:rPr>
  </w:style>
  <w:style w:type="paragraph" w:customStyle="1" w:styleId="Citat1">
    <w:name w:val="Citat1"/>
    <w:basedOn w:val="Brdtext"/>
    <w:qFormat/>
    <w:rsid w:val="00D40F30"/>
    <w:pPr>
      <w:spacing w:before="120" w:after="120"/>
      <w:ind w:left="425" w:right="425"/>
    </w:pPr>
    <w:rPr>
      <w:sz w:val="24"/>
      <w:szCs w:val="26"/>
    </w:rPr>
  </w:style>
  <w:style w:type="paragraph" w:customStyle="1" w:styleId="References">
    <w:name w:val="References"/>
    <w:basedOn w:val="Brdtext"/>
    <w:qFormat/>
    <w:rsid w:val="002A0C36"/>
    <w:pPr>
      <w:spacing w:line="300" w:lineRule="atLeast"/>
      <w:ind w:left="425" w:hanging="425"/>
    </w:pPr>
    <w:rPr>
      <w:sz w:val="24"/>
    </w:rPr>
  </w:style>
  <w:style w:type="paragraph" w:customStyle="1" w:styleId="Endnote">
    <w:name w:val="Endnote"/>
    <w:basedOn w:val="Normal"/>
    <w:qFormat/>
    <w:rsid w:val="002A0C36"/>
    <w:pPr>
      <w:spacing w:line="300" w:lineRule="atLeast"/>
      <w:ind w:firstLine="0"/>
    </w:pPr>
    <w:rPr>
      <w:sz w:val="24"/>
      <w:szCs w:val="24"/>
    </w:rPr>
  </w:style>
  <w:style w:type="paragraph" w:styleId="Sidfot">
    <w:name w:val="footer"/>
    <w:basedOn w:val="Normal"/>
    <w:rsid w:val="008914F1"/>
    <w:pPr>
      <w:tabs>
        <w:tab w:val="center" w:pos="4320"/>
        <w:tab w:val="right" w:pos="8640"/>
      </w:tabs>
    </w:pPr>
  </w:style>
  <w:style w:type="paragraph" w:customStyle="1" w:styleId="Transcript">
    <w:name w:val="Transcript"/>
    <w:basedOn w:val="Normal"/>
    <w:qFormat/>
    <w:rsid w:val="00575777"/>
    <w:pPr>
      <w:spacing w:before="60" w:after="60" w:line="300" w:lineRule="atLeast"/>
      <w:ind w:left="1843" w:right="425" w:hanging="1418"/>
    </w:pPr>
    <w:rPr>
      <w:sz w:val="24"/>
      <w:szCs w:val="26"/>
    </w:rPr>
  </w:style>
  <w:style w:type="character" w:styleId="Sidnummer">
    <w:name w:val="page number"/>
    <w:basedOn w:val="Standardstycketeckensnitt"/>
    <w:rsid w:val="008914F1"/>
  </w:style>
  <w:style w:type="character" w:customStyle="1" w:styleId="HeadtableChar">
    <w:name w:val="Head table Char"/>
    <w:link w:val="Headtable"/>
    <w:rsid w:val="008B3B99"/>
    <w:rPr>
      <w:sz w:val="26"/>
      <w:szCs w:val="28"/>
      <w:lang w:val="en-GB" w:eastAsia="en-US"/>
    </w:rPr>
  </w:style>
  <w:style w:type="paragraph" w:customStyle="1" w:styleId="Headtable">
    <w:name w:val="Head table"/>
    <w:basedOn w:val="Normal"/>
    <w:next w:val="Brdtext"/>
    <w:link w:val="HeadtableChar"/>
    <w:qFormat/>
    <w:rsid w:val="008B3B99"/>
    <w:pPr>
      <w:spacing w:before="120" w:after="120"/>
      <w:ind w:left="425" w:right="425" w:firstLine="0"/>
      <w:jc w:val="left"/>
    </w:pPr>
  </w:style>
  <w:style w:type="paragraph" w:customStyle="1" w:styleId="Abstract">
    <w:name w:val="Abstract"/>
    <w:basedOn w:val="Brdtext"/>
    <w:link w:val="AbstractChar"/>
    <w:qFormat/>
    <w:rsid w:val="00084739"/>
    <w:rPr>
      <w:i/>
    </w:rPr>
  </w:style>
  <w:style w:type="character" w:customStyle="1" w:styleId="AbstractChar">
    <w:name w:val="Abstract Char"/>
    <w:basedOn w:val="BrdtextChar"/>
    <w:link w:val="Abstract"/>
    <w:rsid w:val="00084739"/>
    <w:rPr>
      <w:i/>
      <w:sz w:val="26"/>
      <w:szCs w:val="28"/>
      <w:lang w:val="en-GB" w:eastAsia="en-US"/>
    </w:rPr>
  </w:style>
  <w:style w:type="paragraph" w:styleId="Citat">
    <w:name w:val="Quote"/>
    <w:basedOn w:val="Normal"/>
    <w:next w:val="Normal"/>
    <w:link w:val="CitatChar"/>
    <w:rsid w:val="002370A8"/>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rsid w:val="002370A8"/>
    <w:rPr>
      <w:i/>
      <w:iCs/>
      <w:color w:val="404040" w:themeColor="text1" w:themeTint="BF"/>
      <w:sz w:val="26"/>
      <w:szCs w:val="28"/>
      <w:lang w:val="en-GB" w:eastAsia="en-US"/>
    </w:rPr>
  </w:style>
  <w:style w:type="paragraph" w:styleId="Liststycke">
    <w:name w:val="List Paragraph"/>
    <w:basedOn w:val="Normal"/>
    <w:rsid w:val="00270DC4"/>
    <w:pPr>
      <w:ind w:left="720"/>
      <w:contextualSpacing/>
    </w:pPr>
  </w:style>
  <w:style w:type="paragraph" w:styleId="Revision">
    <w:name w:val="Revision"/>
    <w:hidden/>
    <w:semiHidden/>
    <w:rsid w:val="00DD059A"/>
    <w:rPr>
      <w:sz w:val="26"/>
      <w:szCs w:val="28"/>
      <w:lang w:val="en-GB" w:eastAsia="en-US"/>
    </w:rPr>
  </w:style>
  <w:style w:type="character" w:styleId="Kommentarsreferens">
    <w:name w:val="annotation reference"/>
    <w:basedOn w:val="Standardstycketeckensnitt"/>
    <w:semiHidden/>
    <w:unhideWhenUsed/>
    <w:rsid w:val="009E3010"/>
    <w:rPr>
      <w:sz w:val="16"/>
      <w:szCs w:val="16"/>
    </w:rPr>
  </w:style>
  <w:style w:type="paragraph" w:styleId="Kommentarer">
    <w:name w:val="annotation text"/>
    <w:basedOn w:val="Normal"/>
    <w:link w:val="KommentarerChar"/>
    <w:unhideWhenUsed/>
    <w:rsid w:val="009E3010"/>
    <w:pPr>
      <w:spacing w:line="240" w:lineRule="auto"/>
    </w:pPr>
    <w:rPr>
      <w:sz w:val="20"/>
      <w:szCs w:val="20"/>
    </w:rPr>
  </w:style>
  <w:style w:type="character" w:customStyle="1" w:styleId="KommentarerChar">
    <w:name w:val="Kommentarer Char"/>
    <w:basedOn w:val="Standardstycketeckensnitt"/>
    <w:link w:val="Kommentarer"/>
    <w:rsid w:val="009E3010"/>
    <w:rPr>
      <w:lang w:val="en-GB" w:eastAsia="en-US"/>
    </w:rPr>
  </w:style>
  <w:style w:type="paragraph" w:styleId="Kommentarsmne">
    <w:name w:val="annotation subject"/>
    <w:basedOn w:val="Kommentarer"/>
    <w:next w:val="Kommentarer"/>
    <w:link w:val="KommentarsmneChar"/>
    <w:semiHidden/>
    <w:unhideWhenUsed/>
    <w:rsid w:val="009E3010"/>
    <w:rPr>
      <w:b/>
      <w:bCs/>
    </w:rPr>
  </w:style>
  <w:style w:type="character" w:customStyle="1" w:styleId="KommentarsmneChar">
    <w:name w:val="Kommentarsämne Char"/>
    <w:basedOn w:val="KommentarerChar"/>
    <w:link w:val="Kommentarsmne"/>
    <w:semiHidden/>
    <w:rsid w:val="009E3010"/>
    <w:rPr>
      <w:b/>
      <w:bCs/>
      <w:lang w:val="en-GB" w:eastAsia="en-US"/>
    </w:rPr>
  </w:style>
  <w:style w:type="character" w:styleId="Hyperlnk">
    <w:name w:val="Hyperlink"/>
    <w:basedOn w:val="Standardstycketeckensnitt"/>
    <w:unhideWhenUsed/>
    <w:rsid w:val="00556D33"/>
    <w:rPr>
      <w:color w:val="0000FF" w:themeColor="hyperlink"/>
      <w:u w:val="single"/>
    </w:rPr>
  </w:style>
  <w:style w:type="character" w:styleId="Olstomnmnande">
    <w:name w:val="Unresolved Mention"/>
    <w:basedOn w:val="Standardstycketeckensnitt"/>
    <w:uiPriority w:val="99"/>
    <w:semiHidden/>
    <w:unhideWhenUsed/>
    <w:rsid w:val="00556D33"/>
    <w:rPr>
      <w:color w:val="605E5C"/>
      <w:shd w:val="clear" w:color="auto" w:fill="E1DFDD"/>
    </w:rPr>
  </w:style>
  <w:style w:type="character" w:customStyle="1" w:styleId="Rubrik3Char">
    <w:name w:val="Rubrik 3 Char"/>
    <w:aliases w:val="Head 2 Char"/>
    <w:basedOn w:val="Standardstycketeckensnitt"/>
    <w:link w:val="Rubrik3"/>
    <w:rsid w:val="00BA1036"/>
    <w:rPr>
      <w:b/>
      <w:bCs/>
      <w:sz w:val="26"/>
      <w:szCs w:val="28"/>
      <w:lang w:val="en-GB" w:eastAsia="en-US"/>
    </w:rPr>
  </w:style>
  <w:style w:type="character" w:styleId="AnvndHyperlnk">
    <w:name w:val="FollowedHyperlink"/>
    <w:basedOn w:val="Standardstycketeckensnitt"/>
    <w:semiHidden/>
    <w:unhideWhenUsed/>
    <w:rsid w:val="00D74D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0353">
      <w:bodyDiv w:val="1"/>
      <w:marLeft w:val="0"/>
      <w:marRight w:val="0"/>
      <w:marTop w:val="0"/>
      <w:marBottom w:val="0"/>
      <w:divBdr>
        <w:top w:val="none" w:sz="0" w:space="0" w:color="auto"/>
        <w:left w:val="none" w:sz="0" w:space="0" w:color="auto"/>
        <w:bottom w:val="none" w:sz="0" w:space="0" w:color="auto"/>
        <w:right w:val="none" w:sz="0" w:space="0" w:color="auto"/>
      </w:divBdr>
    </w:div>
    <w:div w:id="164058553">
      <w:bodyDiv w:val="1"/>
      <w:marLeft w:val="0"/>
      <w:marRight w:val="0"/>
      <w:marTop w:val="0"/>
      <w:marBottom w:val="0"/>
      <w:divBdr>
        <w:top w:val="none" w:sz="0" w:space="0" w:color="auto"/>
        <w:left w:val="none" w:sz="0" w:space="0" w:color="auto"/>
        <w:bottom w:val="none" w:sz="0" w:space="0" w:color="auto"/>
        <w:right w:val="none" w:sz="0" w:space="0" w:color="auto"/>
      </w:divBdr>
    </w:div>
    <w:div w:id="271786073">
      <w:bodyDiv w:val="1"/>
      <w:marLeft w:val="0"/>
      <w:marRight w:val="0"/>
      <w:marTop w:val="0"/>
      <w:marBottom w:val="0"/>
      <w:divBdr>
        <w:top w:val="none" w:sz="0" w:space="0" w:color="auto"/>
        <w:left w:val="none" w:sz="0" w:space="0" w:color="auto"/>
        <w:bottom w:val="none" w:sz="0" w:space="0" w:color="auto"/>
        <w:right w:val="none" w:sz="0" w:space="0" w:color="auto"/>
      </w:divBdr>
    </w:div>
    <w:div w:id="316300119">
      <w:bodyDiv w:val="1"/>
      <w:marLeft w:val="0"/>
      <w:marRight w:val="0"/>
      <w:marTop w:val="0"/>
      <w:marBottom w:val="0"/>
      <w:divBdr>
        <w:top w:val="none" w:sz="0" w:space="0" w:color="auto"/>
        <w:left w:val="none" w:sz="0" w:space="0" w:color="auto"/>
        <w:bottom w:val="none" w:sz="0" w:space="0" w:color="auto"/>
        <w:right w:val="none" w:sz="0" w:space="0" w:color="auto"/>
      </w:divBdr>
    </w:div>
    <w:div w:id="449401292">
      <w:bodyDiv w:val="1"/>
      <w:marLeft w:val="0"/>
      <w:marRight w:val="0"/>
      <w:marTop w:val="0"/>
      <w:marBottom w:val="0"/>
      <w:divBdr>
        <w:top w:val="none" w:sz="0" w:space="0" w:color="auto"/>
        <w:left w:val="none" w:sz="0" w:space="0" w:color="auto"/>
        <w:bottom w:val="none" w:sz="0" w:space="0" w:color="auto"/>
        <w:right w:val="none" w:sz="0" w:space="0" w:color="auto"/>
      </w:divBdr>
    </w:div>
    <w:div w:id="495922290">
      <w:bodyDiv w:val="1"/>
      <w:marLeft w:val="0"/>
      <w:marRight w:val="0"/>
      <w:marTop w:val="0"/>
      <w:marBottom w:val="0"/>
      <w:divBdr>
        <w:top w:val="none" w:sz="0" w:space="0" w:color="auto"/>
        <w:left w:val="none" w:sz="0" w:space="0" w:color="auto"/>
        <w:bottom w:val="none" w:sz="0" w:space="0" w:color="auto"/>
        <w:right w:val="none" w:sz="0" w:space="0" w:color="auto"/>
      </w:divBdr>
    </w:div>
    <w:div w:id="551576480">
      <w:bodyDiv w:val="1"/>
      <w:marLeft w:val="0"/>
      <w:marRight w:val="0"/>
      <w:marTop w:val="0"/>
      <w:marBottom w:val="0"/>
      <w:divBdr>
        <w:top w:val="none" w:sz="0" w:space="0" w:color="auto"/>
        <w:left w:val="none" w:sz="0" w:space="0" w:color="auto"/>
        <w:bottom w:val="none" w:sz="0" w:space="0" w:color="auto"/>
        <w:right w:val="none" w:sz="0" w:space="0" w:color="auto"/>
      </w:divBdr>
    </w:div>
    <w:div w:id="612785353">
      <w:bodyDiv w:val="1"/>
      <w:marLeft w:val="0"/>
      <w:marRight w:val="0"/>
      <w:marTop w:val="0"/>
      <w:marBottom w:val="0"/>
      <w:divBdr>
        <w:top w:val="none" w:sz="0" w:space="0" w:color="auto"/>
        <w:left w:val="none" w:sz="0" w:space="0" w:color="auto"/>
        <w:bottom w:val="none" w:sz="0" w:space="0" w:color="auto"/>
        <w:right w:val="none" w:sz="0" w:space="0" w:color="auto"/>
      </w:divBdr>
    </w:div>
    <w:div w:id="745804332">
      <w:bodyDiv w:val="1"/>
      <w:marLeft w:val="0"/>
      <w:marRight w:val="0"/>
      <w:marTop w:val="0"/>
      <w:marBottom w:val="0"/>
      <w:divBdr>
        <w:top w:val="none" w:sz="0" w:space="0" w:color="auto"/>
        <w:left w:val="none" w:sz="0" w:space="0" w:color="auto"/>
        <w:bottom w:val="none" w:sz="0" w:space="0" w:color="auto"/>
        <w:right w:val="none" w:sz="0" w:space="0" w:color="auto"/>
      </w:divBdr>
    </w:div>
    <w:div w:id="797837671">
      <w:bodyDiv w:val="1"/>
      <w:marLeft w:val="0"/>
      <w:marRight w:val="0"/>
      <w:marTop w:val="0"/>
      <w:marBottom w:val="0"/>
      <w:divBdr>
        <w:top w:val="none" w:sz="0" w:space="0" w:color="auto"/>
        <w:left w:val="none" w:sz="0" w:space="0" w:color="auto"/>
        <w:bottom w:val="none" w:sz="0" w:space="0" w:color="auto"/>
        <w:right w:val="none" w:sz="0" w:space="0" w:color="auto"/>
      </w:divBdr>
    </w:div>
    <w:div w:id="811212380">
      <w:bodyDiv w:val="1"/>
      <w:marLeft w:val="0"/>
      <w:marRight w:val="0"/>
      <w:marTop w:val="0"/>
      <w:marBottom w:val="0"/>
      <w:divBdr>
        <w:top w:val="none" w:sz="0" w:space="0" w:color="auto"/>
        <w:left w:val="none" w:sz="0" w:space="0" w:color="auto"/>
        <w:bottom w:val="none" w:sz="0" w:space="0" w:color="auto"/>
        <w:right w:val="none" w:sz="0" w:space="0" w:color="auto"/>
      </w:divBdr>
    </w:div>
    <w:div w:id="870999688">
      <w:bodyDiv w:val="1"/>
      <w:marLeft w:val="0"/>
      <w:marRight w:val="0"/>
      <w:marTop w:val="0"/>
      <w:marBottom w:val="0"/>
      <w:divBdr>
        <w:top w:val="none" w:sz="0" w:space="0" w:color="auto"/>
        <w:left w:val="none" w:sz="0" w:space="0" w:color="auto"/>
        <w:bottom w:val="none" w:sz="0" w:space="0" w:color="auto"/>
        <w:right w:val="none" w:sz="0" w:space="0" w:color="auto"/>
      </w:divBdr>
    </w:div>
    <w:div w:id="1506478138">
      <w:bodyDiv w:val="1"/>
      <w:marLeft w:val="0"/>
      <w:marRight w:val="0"/>
      <w:marTop w:val="0"/>
      <w:marBottom w:val="0"/>
      <w:divBdr>
        <w:top w:val="none" w:sz="0" w:space="0" w:color="auto"/>
        <w:left w:val="none" w:sz="0" w:space="0" w:color="auto"/>
        <w:bottom w:val="none" w:sz="0" w:space="0" w:color="auto"/>
        <w:right w:val="none" w:sz="0" w:space="0" w:color="auto"/>
      </w:divBdr>
    </w:div>
    <w:div w:id="1538272233">
      <w:bodyDiv w:val="1"/>
      <w:marLeft w:val="0"/>
      <w:marRight w:val="0"/>
      <w:marTop w:val="0"/>
      <w:marBottom w:val="0"/>
      <w:divBdr>
        <w:top w:val="none" w:sz="0" w:space="0" w:color="auto"/>
        <w:left w:val="none" w:sz="0" w:space="0" w:color="auto"/>
        <w:bottom w:val="none" w:sz="0" w:space="0" w:color="auto"/>
        <w:right w:val="none" w:sz="0" w:space="0" w:color="auto"/>
      </w:divBdr>
    </w:div>
    <w:div w:id="1566603645">
      <w:bodyDiv w:val="1"/>
      <w:marLeft w:val="0"/>
      <w:marRight w:val="0"/>
      <w:marTop w:val="0"/>
      <w:marBottom w:val="0"/>
      <w:divBdr>
        <w:top w:val="none" w:sz="0" w:space="0" w:color="auto"/>
        <w:left w:val="none" w:sz="0" w:space="0" w:color="auto"/>
        <w:bottom w:val="none" w:sz="0" w:space="0" w:color="auto"/>
        <w:right w:val="none" w:sz="0" w:space="0" w:color="auto"/>
      </w:divBdr>
    </w:div>
    <w:div w:id="1709989409">
      <w:bodyDiv w:val="1"/>
      <w:marLeft w:val="0"/>
      <w:marRight w:val="0"/>
      <w:marTop w:val="0"/>
      <w:marBottom w:val="0"/>
      <w:divBdr>
        <w:top w:val="none" w:sz="0" w:space="0" w:color="auto"/>
        <w:left w:val="none" w:sz="0" w:space="0" w:color="auto"/>
        <w:bottom w:val="none" w:sz="0" w:space="0" w:color="auto"/>
        <w:right w:val="none" w:sz="0" w:space="0" w:color="auto"/>
      </w:divBdr>
    </w:div>
    <w:div w:id="1747024366">
      <w:bodyDiv w:val="1"/>
      <w:marLeft w:val="0"/>
      <w:marRight w:val="0"/>
      <w:marTop w:val="0"/>
      <w:marBottom w:val="0"/>
      <w:divBdr>
        <w:top w:val="none" w:sz="0" w:space="0" w:color="auto"/>
        <w:left w:val="none" w:sz="0" w:space="0" w:color="auto"/>
        <w:bottom w:val="none" w:sz="0" w:space="0" w:color="auto"/>
        <w:right w:val="none" w:sz="0" w:space="0" w:color="auto"/>
      </w:divBdr>
    </w:div>
    <w:div w:id="20413196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63/26670127-bja10003" TargetMode="External"/><Relationship Id="rId13" Type="http://schemas.openxmlformats.org/officeDocument/2006/relationships/hyperlink" Target="https://doi.org/10.1080/00313831.2019.160057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proxy.mau.se/10.1002/rev3.333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0649-019-09887-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177/107780040528436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80/00094056.2006.10522871" TargetMode="External"/><Relationship Id="rId14" Type="http://schemas.openxmlformats.org/officeDocument/2006/relationships/hyperlink" Target="https://doi.org/10.3102/0013189X211065752"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849A2-5ACB-164B-A87D-6A69194F3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4722</Words>
  <Characters>27430</Characters>
  <Application>Microsoft Office Word</Application>
  <DocSecurity>0</DocSecurity>
  <Lines>422</Lines>
  <Paragraphs>84</Paragraphs>
  <ScaleCrop>false</ScaleCrop>
  <HeadingPairs>
    <vt:vector size="2" baseType="variant">
      <vt:variant>
        <vt:lpstr>Rubrik</vt:lpstr>
      </vt:variant>
      <vt:variant>
        <vt:i4>1</vt:i4>
      </vt:variant>
    </vt:vector>
  </HeadingPairs>
  <TitlesOfParts>
    <vt:vector size="1" baseType="lpstr">
      <vt:lpstr>MADIF8 PROCEEDINGS STYLE TEMPLATE</vt:lpstr>
    </vt:vector>
  </TitlesOfParts>
  <Manager/>
  <Company/>
  <LinksUpToDate>false</LinksUpToDate>
  <CharactersWithSpaces>32068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MADIF8 PROCEEDINGS STYLE TEMPLATE</dc:title>
  <dc:subject/>
  <dc:creator>Ulrika Ryan</dc:creator>
  <cp:keywords/>
  <dc:description/>
  <cp:lastModifiedBy>Andreas Eckert</cp:lastModifiedBy>
  <cp:revision>4</cp:revision>
  <dcterms:created xsi:type="dcterms:W3CDTF">2026-01-09T09:25:00Z</dcterms:created>
  <dcterms:modified xsi:type="dcterms:W3CDTF">2026-01-09T14:47:00Z</dcterms:modified>
  <cp:category/>
</cp:coreProperties>
</file>