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Elevgenererade ledtrådar i problemlösning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Olof Dahl</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Cecilia Kilhamn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&amp; Samuel Marander</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36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Franklins gymnasium, Mölndal,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NCM, Göteborg universitet,</w:t>
      </w:r>
    </w:p>
    <w:p w:rsidR="00000000" w:rsidDel="00000000" w:rsidP="00000000" w:rsidRDefault="00000000" w:rsidRPr="00000000" w14:paraId="00000004">
      <w:pPr>
        <w:ind w:firstLine="0"/>
        <w:rPr>
          <w:color w:val="000000"/>
        </w:rPr>
      </w:pPr>
      <w:r w:rsidDel="00000000" w:rsidR="00000000" w:rsidRPr="00000000">
        <w:rPr>
          <w:color w:val="000000"/>
          <w:rtl w:val="0"/>
        </w:rPr>
        <w:t xml:space="preserve">Denna presentation handlar om hur elevers skapande och användande av ledtrådar kan utveckla deras problemlösningsförmåga inom matematik och fysik på gymnasienivå. Ledtrådarna kan ge eleverna stöttning i problemlösningsprocessen, utan att den kognitiva utmaningen försvinner, samtidigt som processen att ta fram ledtrådarna i sig kan utveckla problemlösningsförmågan. </w:t>
      </w:r>
    </w:p>
    <w:p w:rsidR="00000000" w:rsidDel="00000000" w:rsidP="00000000" w:rsidRDefault="00000000" w:rsidRPr="00000000" w14:paraId="00000005">
      <w:pPr>
        <w:rPr>
          <w:color w:val="000000"/>
        </w:rPr>
      </w:pPr>
      <w:bookmarkStart w:colFirst="0" w:colLast="0" w:name="_heading=h.7tzoaqokw11n" w:id="0"/>
      <w:bookmarkEnd w:id="0"/>
      <w:r w:rsidDel="00000000" w:rsidR="00000000" w:rsidRPr="00000000">
        <w:rPr>
          <w:color w:val="000000"/>
          <w:rtl w:val="0"/>
        </w:rPr>
        <w:t xml:space="preserve">Hagvall Svensson et al. (2025) studerade vilken stöttning elevgenererade ledtrådar ger i gymnasiematematik, och fann att de erbjöd både kognitivt och affektivt stöd, klassificerat utifrån van de Pol et als (2010) ramverk för beskrivning av stöttning. Innevarande studie kompletterar dessa resultat, med mer fokus på ledtrådarnas innehåll och effekten på lärande av att generera dem. Studien är genomförd i kursen Fysik 2, där problemen som studeras till stora delar är tillämpad matematik. Att studien genomfördes i en fysikkurs kan öka resultatens generaliserbarhet även inom matematik.</w:t>
      </w:r>
    </w:p>
    <w:p w:rsidR="00000000" w:rsidDel="00000000" w:rsidP="00000000" w:rsidRDefault="00000000" w:rsidRPr="00000000" w14:paraId="00000006">
      <w:pPr>
        <w:rPr/>
      </w:pPr>
      <w:r w:rsidDel="00000000" w:rsidR="00000000" w:rsidRPr="00000000">
        <w:rPr>
          <w:rtl w:val="0"/>
        </w:rPr>
        <w:t xml:space="preserve">Studiens syfte är dels att skapa mer kunskap om hur arbetet med elevgenererade ledtrådar kan stärka lärande, dels att se om arbetssättet fungerar på samma sätt i fysikämnet som det gjorde i matematik. Tre forskningsfrågor formulerades: Vilken typ av ledtrådar genererar eleverna? Om och i så fall hur förändras de elevgenererade ledtrådarna över tid? Hur upplever eleverna aktiviteten med att skapa och använda ledtrådar i fysikämnet ur ett lärandeperspektiv?</w:t>
      </w:r>
    </w:p>
    <w:p w:rsidR="00000000" w:rsidDel="00000000" w:rsidP="00000000" w:rsidRDefault="00000000" w:rsidRPr="00000000" w14:paraId="00000007">
      <w:pPr>
        <w:pStyle w:val="Heading2"/>
        <w:rPr/>
      </w:pPr>
      <w:r w:rsidDel="00000000" w:rsidR="00000000" w:rsidRPr="00000000">
        <w:rPr>
          <w:rtl w:val="0"/>
        </w:rPr>
        <w:t xml:space="preserve">Datainsamling och analys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Generering av ledtrådar sker inför att eleverna ska ha fysikprov. En vecka före provet får de ett övningsprov med kluriga uppgifter liknande dem som kommer på provet. Parvis får eleverna först lösa och sedan generera ledtrådar till var sin av de uppgifter som kräver utförliga svar. När eleverna läser till provet kan de välja att öppna ledtrådarna för att få hjälp att lösa uppgiften om de känner att de behöver stöttning. </w:t>
      </w:r>
    </w:p>
    <w:p w:rsidR="00000000" w:rsidDel="00000000" w:rsidP="00000000" w:rsidRDefault="00000000" w:rsidRPr="00000000" w14:paraId="00000009">
      <w:pPr>
        <w:rPr/>
      </w:pPr>
      <w:r w:rsidDel="00000000" w:rsidR="00000000" w:rsidRPr="00000000">
        <w:rPr>
          <w:rtl w:val="0"/>
        </w:rPr>
        <w:t xml:space="preserve">Ledtrådar genererandes vid fem tillfällen under kursen Fysik 2 i tre klasser på en gymnasieskola. Vid de två första tillfällena sparades alla ledtrådar osorterat. Vid övriga tillfällen fick två elevpar först var för sig skapa ledtrådar till en uppgift, därefter diskutera dem och slutligen göra ett urval och bestämma i vilken ordning de skulle ges. Syftet med förändringen var att se om kvaliteten på ledtrådarna ändrades om de processades i två steg. Totalt samlades närmare 200 elevgenererade ledtrådar in för analys. Ledtrådarna klassificerades med avseende på om de var procedurella eller konceptuella (Rittle-Johnssen et al., 2015) samt vilken typ av stöttning de utgjorde. </w:t>
      </w:r>
    </w:p>
    <w:p w:rsidR="00000000" w:rsidDel="00000000" w:rsidP="00000000" w:rsidRDefault="00000000" w:rsidRPr="00000000" w14:paraId="0000000A">
      <w:pPr>
        <w:rPr/>
      </w:pPr>
      <w:r w:rsidDel="00000000" w:rsidR="00000000" w:rsidRPr="00000000">
        <w:rPr>
          <w:rtl w:val="0"/>
        </w:rPr>
        <w:t xml:space="preserve">I slutet av terminen genomfördes fyra gruppintervjuer i form av fokussamtal med sammanlagt 12 elever. I intervjun fick eleverna prata om sina upplevelser av att generera ledtrådar och av att använda sina kamraters ledtrådar, samt reflektera över vad de lärt sig av processen. Intervjuerna transkriberades och en tematisk innehållsanalys genomfördes (se Braun &amp; Clarke, 2006). </w:t>
      </w:r>
    </w:p>
    <w:p w:rsidR="00000000" w:rsidDel="00000000" w:rsidP="00000000" w:rsidRDefault="00000000" w:rsidRPr="00000000" w14:paraId="0000000B">
      <w:pPr>
        <w:pStyle w:val="Heading2"/>
        <w:rPr/>
      </w:pPr>
      <w:r w:rsidDel="00000000" w:rsidR="00000000" w:rsidRPr="00000000">
        <w:rPr>
          <w:rtl w:val="0"/>
        </w:rPr>
        <w:t xml:space="preserve">Resultat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De typer av stöttning som förekom var: a) tips i form av ”tänka på att…” eller ”fundera på…”, b) förslag på metod eller strategi, c) frågor, d) faktapåståenden, e) enstaka ord, f) negationer i form av vad som inte ska göras eller vad något inte är. Vanligast var kategori a, b och d. Andelen metodförslag (kategori b) ökade stadigt under studiens gång från 34 % i början till 41 % i slutet. Att ge en ledtråd i form av en fråga (kategori c) var mycket vanligt i samband med prov 1 och 4 men var för övrigt sällsynt. Enstaka ord och negationer förekom sporadiskt. </w:t>
      </w:r>
    </w:p>
    <w:p w:rsidR="00000000" w:rsidDel="00000000" w:rsidP="00000000" w:rsidRDefault="00000000" w:rsidRPr="00000000" w14:paraId="0000000D">
      <w:pPr>
        <w:rPr/>
      </w:pPr>
      <w:r w:rsidDel="00000000" w:rsidR="00000000" w:rsidRPr="00000000">
        <w:rPr>
          <w:rtl w:val="0"/>
        </w:rPr>
        <w:t xml:space="preserve">I intervjuerna uppgav eleverna att processen med att generera ledtrådar hjälpt dem att identifiera uppgiftstyper och fokusera bärande idéer samt att de lärt sig dela upp uppgifter i mindre delar. Att de fått skapa ledtrådarna tillsammans i par var viktigt eftersom de då fick öva sig på att förklara, och att även en svagare elev på så sätt blev en resurs. De var positiva till att lägga tid på aktiviteten eftersom de menar att de lär sig genom att reflektera och genom att förklara. </w:t>
      </w:r>
    </w:p>
    <w:p w:rsidR="00000000" w:rsidDel="00000000" w:rsidP="00000000" w:rsidRDefault="00000000" w:rsidRPr="00000000" w14:paraId="0000000E">
      <w:pPr>
        <w:pStyle w:val="Heading2"/>
        <w:rPr/>
      </w:pPr>
      <w:r w:rsidDel="00000000" w:rsidR="00000000" w:rsidRPr="00000000">
        <w:rPr>
          <w:rtl w:val="0"/>
        </w:rPr>
        <w:t xml:space="preserve">Slutsats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Studien visar att idén med elevgenererade ledtrådar kan användas i fysikämnet med positivt resultat. Eleverna upplever att de lär sig mycket på att skapa ledtrådarna, vilket torde gälla även inom matematik. Upplevelserna av att använda ledtrådar överensstämmer med den tidigare studien i matematikämnet, vilket illustreras tydligt av följande citat: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Ledtrådarna är ju skrivna av folk som liknar oss. Vi har fått samma utbildning inom det här området, lärt oss samma saker. Vi har liknande perspektiv på hur vi ska besvara de här frågorna, så att då ökar chansen ganska mycket att ledtrådarna träffar rätt hos just mig eftersom de är skrivna av folk som baserar det på samma förkunskaper.    </w:t>
      </w:r>
    </w:p>
    <w:p w:rsidR="00000000" w:rsidDel="00000000" w:rsidP="00000000" w:rsidRDefault="00000000" w:rsidRPr="00000000" w14:paraId="00000011">
      <w:pPr>
        <w:pStyle w:val="Heading2"/>
        <w:rPr/>
      </w:pPr>
      <w:r w:rsidDel="00000000" w:rsidR="00000000" w:rsidRPr="00000000">
        <w:rPr>
          <w:rtl w:val="0"/>
        </w:rPr>
        <w:t xml:space="preserve">Referenser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Braun, V., &amp; Clarke, V. (2006). Using thematic analysis in psychology.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Qualitative Research in Psychology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77–101.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https://doi.org/10.1191/1478088706qp063oa</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Hagvall Svensson, O., Marander, S., &amp; Larsson, D. (2025). “Det är riktat till mig, det borde gå att lösa”: Elevgenererade ledtrådar som stödstruktur vid självständig problemlösning.</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Nordic Studies in Mathematics Education, 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101-127.</w:t>
      </w:r>
      <w:r w:rsidDel="00000000" w:rsidR="00000000" w:rsidRPr="00000000">
        <w:rPr>
          <w:sz w:val="24"/>
          <w:szCs w:val="24"/>
          <w:rtl w:val="0"/>
        </w:rPr>
        <w:br w:type="textWrapping"/>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https://doi.org/10.7146/nomad.v30i3.160879</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Rittle-Johnson, B., Schneider, M. &amp; Star, J.R. (2015). Not a One-Way Street: Bidirectional Relations Between Procedural and Conceptual Knowledge of Mathematics.</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Educational Psychology Review, 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587–597.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https://doi.org/10.1007/s10648-015-9302-x</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van de Pol, J., Volman, M., &amp; Beishuizen, J. (2010). Scaffolding in Teacher–Student Interaction: A Decade of Research.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Psychology Review 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271–296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https://doi.org/10.1007/s10648-010-9127-6</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sectPr>
      <w:headerReference r:id="rId11" w:type="default"/>
      <w:footerReference r:id="rId12" w:type="default"/>
      <w:footerReference r:id="rId13"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pPr>
    <w:r w:rsidDel="00000000" w:rsidR="00000000" w:rsidRPr="00000000">
      <w:rPr>
        <w:rtl w:val="0"/>
      </w:rPr>
    </w:r>
  </w:p>
  <w:p w:rsidR="00000000" w:rsidDel="00000000" w:rsidP="00000000" w:rsidRDefault="00000000" w:rsidRPr="00000000" w14:paraId="00000018">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sv"/>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Hyperlnk">
    <w:name w:val="Hyperlink"/>
    <w:basedOn w:val="Standardstycketeckensnitt"/>
    <w:unhideWhenUsed w:val="1"/>
    <w:rsid w:val="000843C9"/>
    <w:rPr>
      <w:color w:val="0000ff" w:themeColor="hyperlink"/>
      <w:u w:val="single"/>
    </w:rPr>
  </w:style>
  <w:style w:type="character" w:styleId="Olstomnmnande">
    <w:name w:val="Unresolved Mention"/>
    <w:basedOn w:val="Standardstycketeckensnitt"/>
    <w:uiPriority w:val="99"/>
    <w:semiHidden w:val="1"/>
    <w:unhideWhenUsed w:val="1"/>
    <w:rsid w:val="000843C9"/>
    <w:rPr>
      <w:color w:val="605e5c"/>
      <w:shd w:color="auto" w:fill="e1dfdd" w:val="clear"/>
    </w:rPr>
  </w:style>
  <w:style w:type="character" w:styleId="Kommentarsreferens">
    <w:name w:val="annotation reference"/>
    <w:basedOn w:val="Standardstycketeckensnitt"/>
    <w:semiHidden w:val="1"/>
    <w:unhideWhenUsed w:val="1"/>
    <w:rsid w:val="004F6E12"/>
    <w:rPr>
      <w:sz w:val="16"/>
      <w:szCs w:val="16"/>
    </w:rPr>
  </w:style>
  <w:style w:type="paragraph" w:styleId="Kommentarer">
    <w:name w:val="annotation text"/>
    <w:basedOn w:val="Normal"/>
    <w:link w:val="KommentarerChar"/>
    <w:unhideWhenUsed w:val="1"/>
    <w:rsid w:val="004F6E12"/>
    <w:pPr>
      <w:spacing w:line="240" w:lineRule="auto"/>
    </w:pPr>
    <w:rPr>
      <w:sz w:val="20"/>
      <w:szCs w:val="20"/>
    </w:rPr>
  </w:style>
  <w:style w:type="character" w:styleId="KommentarerChar" w:customStyle="1">
    <w:name w:val="Kommentarer Char"/>
    <w:basedOn w:val="Standardstycketeckensnitt"/>
    <w:link w:val="Kommentarer"/>
    <w:rsid w:val="004F6E12"/>
    <w:rPr>
      <w:lang w:eastAsia="en-US" w:val="en-GB"/>
    </w:rPr>
  </w:style>
  <w:style w:type="paragraph" w:styleId="Kommentarsmne">
    <w:name w:val="annotation subject"/>
    <w:basedOn w:val="Kommentarer"/>
    <w:next w:val="Kommentarer"/>
    <w:link w:val="KommentarsmneChar"/>
    <w:semiHidden w:val="1"/>
    <w:unhideWhenUsed w:val="1"/>
    <w:rsid w:val="004F6E12"/>
    <w:rPr>
      <w:b w:val="1"/>
      <w:bCs w:val="1"/>
    </w:rPr>
  </w:style>
  <w:style w:type="character" w:styleId="KommentarsmneChar" w:customStyle="1">
    <w:name w:val="Kommentarsämne Char"/>
    <w:basedOn w:val="KommentarerChar"/>
    <w:link w:val="Kommentarsmne"/>
    <w:semiHidden w:val="1"/>
    <w:rsid w:val="004F6E12"/>
    <w:rPr>
      <w:b w:val="1"/>
      <w:bCs w:val="1"/>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1007/s10648-010-9127-6"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s10648-015-9302-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91/1478088706qp063oa" TargetMode="External"/><Relationship Id="rId8" Type="http://schemas.openxmlformats.org/officeDocument/2006/relationships/hyperlink" Target="https://doi.org/10.7146/nomad.v30i3.16087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2gon0BUbkVecVPi2RFqo1XIyXw==">CgMxLjAyDmguN3R6b2Fxb2t3MTFuMghoLmdqZGd4czgAciExT25VLWs5RnNPRmZ3R3N6cWxFaUhjck1Eczc1QmZRX3k=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2025-11-19T11:45:00Z</dcterms:created>
  <dc:creator>Samuel Marander</dc:creator>
</cp:coreProperties>
</file>