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EC9F" w14:textId="77777777" w:rsidR="006573FA" w:rsidRPr="0043352D" w:rsidRDefault="006573FA" w:rsidP="006573FA">
      <w:pPr>
        <w:pStyle w:val="Rubrik1"/>
      </w:pPr>
      <w:r>
        <w:t>Mathematical Self-Efficacy and Test Anxiety: Mediating Effects of Rehearsal, Metacognition and Effort on Achievement</w:t>
      </w:r>
    </w:p>
    <w:p w14:paraId="09EF77D7" w14:textId="77777777" w:rsidR="006573FA" w:rsidRPr="0043352D" w:rsidRDefault="006573FA" w:rsidP="006573FA">
      <w:pPr>
        <w:pStyle w:val="Rubrik8"/>
      </w:pPr>
      <w:r w:rsidRPr="0043352D">
        <w:t>Jimmy Karlsson</w:t>
      </w:r>
    </w:p>
    <w:p w14:paraId="42D5320C" w14:textId="77777777" w:rsidR="006573FA" w:rsidRPr="0043352D" w:rsidRDefault="006573FA" w:rsidP="006573FA">
      <w:pPr>
        <w:pStyle w:val="Rubrik9"/>
      </w:pPr>
      <w:r w:rsidRPr="0043352D">
        <w:t>Department of Mathematics and Computer Science, Karlstad University</w:t>
      </w:r>
    </w:p>
    <w:p w14:paraId="07EDC005" w14:textId="77777777" w:rsidR="006573FA" w:rsidRPr="0043352D" w:rsidRDefault="006573FA" w:rsidP="006573FA">
      <w:pPr>
        <w:pStyle w:val="Brdtext"/>
      </w:pPr>
      <w:r w:rsidRPr="0043352D">
        <w:t xml:space="preserve">This presentation </w:t>
      </w:r>
      <w:r>
        <w:t xml:space="preserve">presents ongoing work exploring relationships between </w:t>
      </w:r>
      <w:r w:rsidRPr="0043352D">
        <w:t xml:space="preserve">mathematical self-efficacy </w:t>
      </w:r>
      <w:r>
        <w:t xml:space="preserve">and test anxiety, and how these factors influence mathematical achievement via rehearsal strategies, metacognition and effort. According to Bandura’s (1997) social cognitive theory, self-efficacy is associated with more efficient study strategies and effort, whereas mathematics anxiety </w:t>
      </w:r>
      <w:r w:rsidRPr="0043352D">
        <w:fldChar w:fldCharType="begin"/>
      </w:r>
      <w:r w:rsidRPr="0043352D">
        <w:instrText xml:space="preserve"> ADDIN ZOTERO_ITEM CSL_CITATION {"citationID":"jVyd3sSX","properties":{"formattedCitation":"(Dowker et al., 2016)","plainCitation":"(Dowker et al., 2016)","noteIndex":0},"citationItems":[{"id":7825,"uris":["http://zotero.org/users/5472253/items/V33JJAFF"],"itemData":{"id":7825,"type":"article-journal","abstract":"The construct of mathematics anxiety has been an important topic of study at least since the concept of “number anxiety” was introduced by Dreger and Aiken (1957), and has received increasing attention in recent years. This paper focuses on what research has revealed about mathematics anxiety in the last 60 years, and what still remains to be learned. We discuss what mathematics anxiety is; how distinct it is from other forms of anxiety; and how it relates to attitudes to mathematics. We discuss the relationships between mathematics anxiety and mathematics performance. We describe ways in which mathematics anxiety is measured, both by questionnaires, and by physiological measures. We discuss some possible factors in mathematics anxiety, including genetics, gender, age, and culture. Finally, we describe some research on treatment. We conclude with a brief discussion of what still needs to be learned.","container-title":"Frontiers in Psychology","DOI":"10.3389/fpsyg.2016.00508","ISSN":"1664-1078","journalAbbreviation":"Front. Psychol.","language":"en","source":"DOI.org (Crossref)","title":"Mathematics Anxiety: What Have We Learned in 60 Years?","title-short":"Mathematics Anxiety","URL":"http://journal.frontiersin.org/Article/10.3389/fpsyg.2016.00508/abstract","volume":"7","author":[{"family":"Dowker","given":"Ann"},{"family":"Sarkar","given":"Amar"},{"family":"Looi","given":"Chung Yen"}],"accessed":{"date-parts":[["2025",1,14]]},"issued":{"date-parts":[["2016",4,25]]},"citation-key":"dowkerMathematicsAnxietyWhat2016"}}],"schema":"https://github.com/citation-style-language/schema/raw/master/csl-citation.json"} </w:instrText>
      </w:r>
      <w:r w:rsidRPr="0043352D">
        <w:fldChar w:fldCharType="separate"/>
      </w:r>
      <w:r w:rsidRPr="0043352D">
        <w:rPr>
          <w:noProof/>
        </w:rPr>
        <w:t>(Dowker et al., 2016)</w:t>
      </w:r>
      <w:r w:rsidRPr="0043352D">
        <w:fldChar w:fldCharType="end"/>
      </w:r>
      <w:r>
        <w:t xml:space="preserve"> may lead to avoidance behaviours that hinder mathematics development. Understanding how these factors might mediate through learning behaviours is of importance to understand how these could influence mathematical achievement.</w:t>
      </w:r>
    </w:p>
    <w:p w14:paraId="46EC2222" w14:textId="77777777" w:rsidR="006573FA" w:rsidRPr="0043352D" w:rsidRDefault="006573FA" w:rsidP="006573FA">
      <w:pPr>
        <w:pStyle w:val="Rubrik2"/>
      </w:pPr>
      <w:r w:rsidRPr="0043352D">
        <w:t>Method</w:t>
      </w:r>
    </w:p>
    <w:p w14:paraId="6BE65388" w14:textId="77777777" w:rsidR="006573FA" w:rsidRPr="0043352D" w:rsidRDefault="006573FA" w:rsidP="006573FA">
      <w:pPr>
        <w:pStyle w:val="Brdtext"/>
      </w:pPr>
      <w:r>
        <w:t>The s</w:t>
      </w:r>
      <w:r w:rsidRPr="0043352D">
        <w:t>ample</w:t>
      </w:r>
      <w:r>
        <w:t xml:space="preserve"> consists of u</w:t>
      </w:r>
      <w:r w:rsidRPr="0043352D">
        <w:t xml:space="preserve">pper secondary students </w:t>
      </w:r>
      <w:r>
        <w:t xml:space="preserve">(n = 1005) </w:t>
      </w:r>
      <w:r w:rsidRPr="0043352D">
        <w:t>studying their second mathematics course</w:t>
      </w:r>
      <w:r>
        <w:t xml:space="preserve"> from</w:t>
      </w:r>
      <w:r w:rsidRPr="0043352D">
        <w:t xml:space="preserve"> </w:t>
      </w:r>
      <w:r>
        <w:t>s</w:t>
      </w:r>
      <w:r w:rsidRPr="0043352D">
        <w:t>ocial science and science tracks.</w:t>
      </w:r>
      <w:r>
        <w:t xml:space="preserve"> Students completed a Likert-style questionnaire in their final month of the course prior to their national tests. Measures included; </w:t>
      </w:r>
      <w:r w:rsidRPr="00F6312F">
        <w:t>mathematics self-efficacy,</w:t>
      </w:r>
      <w:r>
        <w:t xml:space="preserve"> t</w:t>
      </w:r>
      <w:r w:rsidRPr="00F6312F">
        <w:t>est-anxiety</w:t>
      </w:r>
      <w:r>
        <w:t xml:space="preserve">, </w:t>
      </w:r>
      <w:r w:rsidRPr="00F6312F">
        <w:t xml:space="preserve">rehearsal </w:t>
      </w:r>
      <w:r>
        <w:t xml:space="preserve">strategies, </w:t>
      </w:r>
      <w:r w:rsidRPr="00F6312F">
        <w:t>metacognition</w:t>
      </w:r>
      <w:r>
        <w:t xml:space="preserve"> and perceived </w:t>
      </w:r>
      <w:r w:rsidRPr="00F6312F">
        <w:t>effort.</w:t>
      </w:r>
      <w:r>
        <w:t xml:space="preserve"> </w:t>
      </w:r>
      <w:r w:rsidRPr="00F6312F">
        <w:t>Mathematics achievement w</w:t>
      </w:r>
      <w:r>
        <w:t xml:space="preserve">as measured by the final score on the national test. A partial least square structural equation modelling approach </w:t>
      </w:r>
      <w:r>
        <w:fldChar w:fldCharType="begin"/>
      </w:r>
      <w:r>
        <w:instrText xml:space="preserve"> ADDIN ZOTERO_ITEM CSL_CITATION {"citationID":"vmsR3bwQ","properties":{"formattedCitation":"(Hair et al., 2021)","plainCitation":"(Hair et al., 2021)","noteIndex":0},"citationItems":[{"id":8445,"uris":["http://zotero.org/users/5472253/items/ZZL73B5Q"],"itemData":{"id":8445,"type":"book","collection-title":"Classroom Companion: Business","event-place":"Cham","ISBN":"978-3-030-80518-0","language":"en","license":"https://creativecommons.org/licenses/by/4.0","note":"DOI: 10.1007/978-3-030-80519-7","publisher":"Springer International Publishing","publisher-place":"Cham","source":"DOI.org (Crossref)","title":"Partial Least Squares Structural Equation Modeling (PLS-SEM) Using R: A Workbook","title-short":"Partial Least Squares Structural Equation Modeling (PLS-SEM) Using R","URL":"https://link.springer.com/10.1007/978-3-030-80519-7","author":[{"family":"Hair","given":"Joseph F."},{"family":"Hult","given":"G. Tomas M."},{"family":"Ringle","given":"Christian M."},{"family":"Sarstedt","given":"Marko"},{"family":"Danks","given":"Nicholas P."},{"family":"Ray","given":"Soumya"}],"accessed":{"date-parts":[["2025",8,13]]},"issued":{"date-parts":[["2021"]]},"citation-key":"hairPartialLeastSquares2021"}}],"schema":"https://github.com/citation-style-language/schema/raw/master/csl-citation.json"} </w:instrText>
      </w:r>
      <w:r>
        <w:fldChar w:fldCharType="separate"/>
      </w:r>
      <w:r>
        <w:rPr>
          <w:noProof/>
        </w:rPr>
        <w:t>(Hair et al., 2021)</w:t>
      </w:r>
      <w:r>
        <w:fldChar w:fldCharType="end"/>
      </w:r>
      <w:r>
        <w:t xml:space="preserve"> was used to test a multiple mediation model.</w:t>
      </w:r>
    </w:p>
    <w:p w14:paraId="7E1F78CC" w14:textId="77777777" w:rsidR="006573FA" w:rsidRPr="0043352D" w:rsidRDefault="006573FA" w:rsidP="006573FA">
      <w:pPr>
        <w:pStyle w:val="Rubrik2"/>
      </w:pPr>
      <w:r w:rsidRPr="0043352D">
        <w:t>Results</w:t>
      </w:r>
    </w:p>
    <w:p w14:paraId="186A15A2" w14:textId="77777777" w:rsidR="006573FA" w:rsidRPr="0043352D" w:rsidRDefault="006573FA" w:rsidP="006573FA">
      <w:pPr>
        <w:pStyle w:val="Brdtext"/>
      </w:pPr>
      <w:r>
        <w:t>The explored m</w:t>
      </w:r>
      <w:r w:rsidRPr="0043352D">
        <w:t xml:space="preserve">odel </w:t>
      </w:r>
      <w:r>
        <w:t>explained</w:t>
      </w:r>
      <w:r w:rsidRPr="0043352D">
        <w:t xml:space="preserve"> 42% of variance in mathematics achievement and </w:t>
      </w:r>
      <w:r>
        <w:t xml:space="preserve">between </w:t>
      </w:r>
      <w:r w:rsidRPr="0043352D">
        <w:t>15-20 % of rehearsal, meta</w:t>
      </w:r>
      <w:r>
        <w:t>cognition</w:t>
      </w:r>
      <w:r w:rsidRPr="0043352D">
        <w:t xml:space="preserve"> and effort</w:t>
      </w:r>
      <w:r>
        <w:t xml:space="preserve"> variables</w:t>
      </w:r>
      <w:r w:rsidRPr="0043352D">
        <w:t>.</w:t>
      </w:r>
      <w:r>
        <w:t xml:space="preserve"> Self-efficacy positively predicts achievement both directly and indirectly via metacognition and effort suggesting a complementary partial mediation (VAF = 0.14). Rehearsal strategies mediated a negative pathway, suggesting a counterproductive relationship with achievement. In contrast, relating to test anxiety, the model suggests a mediation mainly via rehearsal strategy with a negative relationship towards achievement with no significant direct relationship (VAF = 0.838).</w:t>
      </w:r>
    </w:p>
    <w:p w14:paraId="38CCB481" w14:textId="77777777" w:rsidR="006573FA" w:rsidRPr="0043352D" w:rsidRDefault="006573FA" w:rsidP="006573FA"/>
    <w:p w14:paraId="20358BBC" w14:textId="09890604" w:rsidR="006573FA" w:rsidRDefault="006573FA" w:rsidP="006573FA">
      <w:pPr>
        <w:pStyle w:val="Beskrivning"/>
        <w:keepNext/>
      </w:pPr>
      <w:r>
        <w:t xml:space="preserve">Table </w:t>
      </w:r>
      <w:r>
        <w:fldChar w:fldCharType="begin"/>
      </w:r>
      <w:r>
        <w:instrText xml:space="preserve"> SEQ Table \* ARABIC </w:instrText>
      </w:r>
      <w:r>
        <w:fldChar w:fldCharType="separate"/>
      </w:r>
      <w:r w:rsidR="00ED42E0">
        <w:rPr>
          <w:noProof/>
        </w:rPr>
        <w:t>1</w:t>
      </w:r>
      <w:r>
        <w:fldChar w:fldCharType="end"/>
      </w:r>
      <w:r>
        <w:t>. Direct and indirect relationships between self-efficacy and test-anxiety on mathematical achievement.</w:t>
      </w:r>
    </w:p>
    <w:tbl>
      <w:tblPr>
        <w:tblW w:w="6379" w:type="dxa"/>
        <w:jc w:val="center"/>
        <w:tblCellMar>
          <w:left w:w="70" w:type="dxa"/>
          <w:right w:w="70" w:type="dxa"/>
        </w:tblCellMar>
        <w:tblLook w:val="04A0" w:firstRow="1" w:lastRow="0" w:firstColumn="1" w:lastColumn="0" w:noHBand="0" w:noVBand="1"/>
      </w:tblPr>
      <w:tblGrid>
        <w:gridCol w:w="3261"/>
        <w:gridCol w:w="1134"/>
        <w:gridCol w:w="1984"/>
      </w:tblGrid>
      <w:tr w:rsidR="006573FA" w:rsidRPr="0043352D" w14:paraId="22294256" w14:textId="77777777" w:rsidTr="007B0028">
        <w:trPr>
          <w:trHeight w:val="320"/>
          <w:jc w:val="center"/>
        </w:trPr>
        <w:tc>
          <w:tcPr>
            <w:tcW w:w="3261" w:type="dxa"/>
            <w:tcBorders>
              <w:top w:val="single" w:sz="4" w:space="0" w:color="auto"/>
              <w:left w:val="nil"/>
              <w:bottom w:val="single" w:sz="4" w:space="0" w:color="auto"/>
              <w:right w:val="nil"/>
            </w:tcBorders>
            <w:noWrap/>
            <w:vAlign w:val="bottom"/>
            <w:hideMark/>
          </w:tcPr>
          <w:p w14:paraId="413E8117" w14:textId="77777777" w:rsidR="006573FA" w:rsidRPr="0043352D" w:rsidRDefault="006573FA" w:rsidP="007B0028">
            <w:pPr>
              <w:jc w:val="left"/>
              <w:rPr>
                <w:sz w:val="22"/>
                <w:szCs w:val="22"/>
                <w:lang w:eastAsia="sv-SE"/>
              </w:rPr>
            </w:pPr>
            <w:r w:rsidRPr="0043352D">
              <w:rPr>
                <w:sz w:val="22"/>
                <w:szCs w:val="22"/>
                <w:lang w:eastAsia="sv-SE"/>
              </w:rPr>
              <w:t>Path</w:t>
            </w:r>
          </w:p>
        </w:tc>
        <w:tc>
          <w:tcPr>
            <w:tcW w:w="1134" w:type="dxa"/>
            <w:tcBorders>
              <w:top w:val="single" w:sz="4" w:space="0" w:color="auto"/>
              <w:left w:val="nil"/>
              <w:bottom w:val="single" w:sz="4" w:space="0" w:color="auto"/>
              <w:right w:val="nil"/>
            </w:tcBorders>
            <w:noWrap/>
            <w:vAlign w:val="bottom"/>
            <w:hideMark/>
          </w:tcPr>
          <w:p w14:paraId="15EB2860" w14:textId="77777777" w:rsidR="006573FA" w:rsidRPr="0043352D" w:rsidRDefault="006573FA" w:rsidP="007B0028">
            <w:pPr>
              <w:jc w:val="left"/>
              <w:rPr>
                <w:sz w:val="22"/>
                <w:szCs w:val="22"/>
                <w:lang w:eastAsia="sv-SE"/>
              </w:rPr>
            </w:pPr>
            <w:r w:rsidRPr="0043352D">
              <w:rPr>
                <w:sz w:val="22"/>
                <w:szCs w:val="22"/>
                <w:lang w:eastAsia="sv-SE"/>
              </w:rPr>
              <w:t>β</w:t>
            </w:r>
          </w:p>
        </w:tc>
        <w:tc>
          <w:tcPr>
            <w:tcW w:w="1984" w:type="dxa"/>
            <w:tcBorders>
              <w:top w:val="single" w:sz="4" w:space="0" w:color="auto"/>
              <w:left w:val="nil"/>
              <w:bottom w:val="single" w:sz="4" w:space="0" w:color="auto"/>
              <w:right w:val="nil"/>
            </w:tcBorders>
            <w:noWrap/>
            <w:vAlign w:val="bottom"/>
            <w:hideMark/>
          </w:tcPr>
          <w:p w14:paraId="79789641" w14:textId="77777777" w:rsidR="006573FA" w:rsidRPr="0043352D" w:rsidRDefault="006573FA" w:rsidP="007B0028">
            <w:pPr>
              <w:jc w:val="left"/>
              <w:rPr>
                <w:sz w:val="22"/>
                <w:szCs w:val="22"/>
                <w:lang w:eastAsia="sv-SE"/>
              </w:rPr>
            </w:pPr>
            <w:r w:rsidRPr="0043352D">
              <w:rPr>
                <w:sz w:val="22"/>
                <w:szCs w:val="22"/>
                <w:lang w:eastAsia="sv-SE"/>
              </w:rPr>
              <w:t>95% CI</w:t>
            </w:r>
          </w:p>
        </w:tc>
      </w:tr>
      <w:tr w:rsidR="006573FA" w:rsidRPr="0043352D" w14:paraId="56586C6E" w14:textId="77777777" w:rsidTr="007B0028">
        <w:trPr>
          <w:trHeight w:val="320"/>
          <w:jc w:val="center"/>
        </w:trPr>
        <w:tc>
          <w:tcPr>
            <w:tcW w:w="3261" w:type="dxa"/>
            <w:tcBorders>
              <w:top w:val="single" w:sz="4" w:space="0" w:color="auto"/>
              <w:left w:val="nil"/>
              <w:bottom w:val="nil"/>
              <w:right w:val="nil"/>
            </w:tcBorders>
            <w:noWrap/>
            <w:vAlign w:val="bottom"/>
            <w:hideMark/>
          </w:tcPr>
          <w:p w14:paraId="23E2A759" w14:textId="77777777" w:rsidR="006573FA" w:rsidRPr="0043352D" w:rsidRDefault="006573FA" w:rsidP="007B0028">
            <w:pPr>
              <w:jc w:val="left"/>
              <w:rPr>
                <w:sz w:val="22"/>
                <w:szCs w:val="22"/>
                <w:lang w:eastAsia="sv-SE"/>
              </w:rPr>
            </w:pPr>
            <w:proofErr w:type="spellStart"/>
            <w:r w:rsidRPr="0043352D">
              <w:rPr>
                <w:sz w:val="22"/>
                <w:szCs w:val="22"/>
                <w:lang w:eastAsia="sv-SE"/>
              </w:rPr>
              <w:t>SelfEff</w:t>
            </w:r>
            <w:proofErr w:type="spellEnd"/>
            <w:r w:rsidRPr="0043352D">
              <w:rPr>
                <w:sz w:val="22"/>
                <w:szCs w:val="22"/>
                <w:lang w:eastAsia="sv-SE"/>
              </w:rPr>
              <w:t xml:space="preserve"> → Rehe → </w:t>
            </w:r>
            <w:proofErr w:type="spellStart"/>
            <w:r w:rsidRPr="0043352D">
              <w:rPr>
                <w:sz w:val="22"/>
                <w:szCs w:val="22"/>
                <w:lang w:eastAsia="sv-SE"/>
              </w:rPr>
              <w:t>MathAch</w:t>
            </w:r>
            <w:proofErr w:type="spellEnd"/>
          </w:p>
        </w:tc>
        <w:tc>
          <w:tcPr>
            <w:tcW w:w="1134" w:type="dxa"/>
            <w:tcBorders>
              <w:top w:val="single" w:sz="4" w:space="0" w:color="auto"/>
              <w:left w:val="nil"/>
              <w:bottom w:val="nil"/>
              <w:right w:val="nil"/>
            </w:tcBorders>
            <w:noWrap/>
            <w:vAlign w:val="bottom"/>
            <w:hideMark/>
          </w:tcPr>
          <w:p w14:paraId="493ACD75" w14:textId="77777777" w:rsidR="006573FA" w:rsidRPr="0043352D" w:rsidRDefault="006573FA" w:rsidP="007B0028">
            <w:pPr>
              <w:jc w:val="left"/>
              <w:rPr>
                <w:sz w:val="22"/>
                <w:szCs w:val="22"/>
                <w:lang w:eastAsia="sv-SE"/>
              </w:rPr>
            </w:pPr>
            <w:r w:rsidRPr="0043352D">
              <w:rPr>
                <w:sz w:val="22"/>
                <w:szCs w:val="22"/>
                <w:lang w:eastAsia="sv-SE"/>
              </w:rPr>
              <w:t>-0.062</w:t>
            </w:r>
          </w:p>
        </w:tc>
        <w:tc>
          <w:tcPr>
            <w:tcW w:w="1984" w:type="dxa"/>
            <w:tcBorders>
              <w:top w:val="single" w:sz="4" w:space="0" w:color="auto"/>
              <w:left w:val="nil"/>
              <w:bottom w:val="nil"/>
              <w:right w:val="nil"/>
            </w:tcBorders>
            <w:noWrap/>
            <w:vAlign w:val="bottom"/>
            <w:hideMark/>
          </w:tcPr>
          <w:p w14:paraId="6FE8F052" w14:textId="77777777" w:rsidR="006573FA" w:rsidRPr="0043352D" w:rsidRDefault="006573FA" w:rsidP="007B0028">
            <w:pPr>
              <w:jc w:val="left"/>
              <w:rPr>
                <w:sz w:val="22"/>
                <w:szCs w:val="22"/>
                <w:lang w:eastAsia="sv-SE"/>
              </w:rPr>
            </w:pPr>
            <w:r w:rsidRPr="0043352D">
              <w:rPr>
                <w:sz w:val="22"/>
                <w:szCs w:val="22"/>
                <w:lang w:eastAsia="sv-SE"/>
              </w:rPr>
              <w:t>[-0.088, -0.039]</w:t>
            </w:r>
          </w:p>
        </w:tc>
      </w:tr>
      <w:tr w:rsidR="006573FA" w:rsidRPr="0043352D" w14:paraId="16ACD35B" w14:textId="77777777" w:rsidTr="007B0028">
        <w:trPr>
          <w:trHeight w:val="320"/>
          <w:jc w:val="center"/>
        </w:trPr>
        <w:tc>
          <w:tcPr>
            <w:tcW w:w="3261" w:type="dxa"/>
            <w:tcBorders>
              <w:top w:val="nil"/>
              <w:left w:val="nil"/>
              <w:bottom w:val="nil"/>
              <w:right w:val="nil"/>
            </w:tcBorders>
            <w:noWrap/>
            <w:vAlign w:val="bottom"/>
            <w:hideMark/>
          </w:tcPr>
          <w:p w14:paraId="19448E5B" w14:textId="77777777" w:rsidR="006573FA" w:rsidRPr="0043352D" w:rsidRDefault="006573FA" w:rsidP="007B0028">
            <w:pPr>
              <w:jc w:val="left"/>
              <w:rPr>
                <w:sz w:val="22"/>
                <w:szCs w:val="22"/>
                <w:lang w:eastAsia="sv-SE"/>
              </w:rPr>
            </w:pPr>
            <w:proofErr w:type="spellStart"/>
            <w:r w:rsidRPr="0043352D">
              <w:rPr>
                <w:sz w:val="22"/>
                <w:szCs w:val="22"/>
                <w:lang w:eastAsia="sv-SE"/>
              </w:rPr>
              <w:t>SelfEff</w:t>
            </w:r>
            <w:proofErr w:type="spellEnd"/>
            <w:r w:rsidRPr="0043352D">
              <w:rPr>
                <w:sz w:val="22"/>
                <w:szCs w:val="22"/>
                <w:lang w:eastAsia="sv-SE"/>
              </w:rPr>
              <w:t xml:space="preserve"> → Meta → </w:t>
            </w:r>
            <w:proofErr w:type="spellStart"/>
            <w:r w:rsidRPr="0043352D">
              <w:rPr>
                <w:sz w:val="22"/>
                <w:szCs w:val="22"/>
                <w:lang w:eastAsia="sv-SE"/>
              </w:rPr>
              <w:t>MathAch</w:t>
            </w:r>
            <w:proofErr w:type="spellEnd"/>
          </w:p>
        </w:tc>
        <w:tc>
          <w:tcPr>
            <w:tcW w:w="1134" w:type="dxa"/>
            <w:tcBorders>
              <w:top w:val="nil"/>
              <w:left w:val="nil"/>
              <w:bottom w:val="nil"/>
              <w:right w:val="nil"/>
            </w:tcBorders>
            <w:noWrap/>
            <w:vAlign w:val="bottom"/>
            <w:hideMark/>
          </w:tcPr>
          <w:p w14:paraId="7615FD17" w14:textId="77777777" w:rsidR="006573FA" w:rsidRPr="0043352D" w:rsidRDefault="006573FA" w:rsidP="007B0028">
            <w:pPr>
              <w:jc w:val="left"/>
              <w:rPr>
                <w:sz w:val="22"/>
                <w:szCs w:val="22"/>
                <w:lang w:eastAsia="sv-SE"/>
              </w:rPr>
            </w:pPr>
            <w:r w:rsidRPr="0043352D">
              <w:rPr>
                <w:sz w:val="22"/>
                <w:szCs w:val="22"/>
                <w:lang w:eastAsia="sv-SE"/>
              </w:rPr>
              <w:t>0.061</w:t>
            </w:r>
          </w:p>
        </w:tc>
        <w:tc>
          <w:tcPr>
            <w:tcW w:w="1984" w:type="dxa"/>
            <w:tcBorders>
              <w:top w:val="nil"/>
              <w:left w:val="nil"/>
              <w:bottom w:val="nil"/>
              <w:right w:val="nil"/>
            </w:tcBorders>
            <w:noWrap/>
            <w:vAlign w:val="bottom"/>
            <w:hideMark/>
          </w:tcPr>
          <w:p w14:paraId="449B58DC" w14:textId="77777777" w:rsidR="006573FA" w:rsidRPr="0043352D" w:rsidRDefault="006573FA" w:rsidP="007B0028">
            <w:pPr>
              <w:jc w:val="left"/>
              <w:rPr>
                <w:sz w:val="22"/>
                <w:szCs w:val="22"/>
                <w:lang w:eastAsia="sv-SE"/>
              </w:rPr>
            </w:pPr>
            <w:r w:rsidRPr="0043352D">
              <w:rPr>
                <w:sz w:val="22"/>
                <w:szCs w:val="22"/>
                <w:lang w:eastAsia="sv-SE"/>
              </w:rPr>
              <w:t>[0.030, 0.092]</w:t>
            </w:r>
          </w:p>
        </w:tc>
      </w:tr>
      <w:tr w:rsidR="006573FA" w:rsidRPr="0043352D" w14:paraId="5AE10AFF" w14:textId="77777777" w:rsidTr="007B0028">
        <w:trPr>
          <w:trHeight w:val="320"/>
          <w:jc w:val="center"/>
        </w:trPr>
        <w:tc>
          <w:tcPr>
            <w:tcW w:w="3261" w:type="dxa"/>
            <w:tcBorders>
              <w:top w:val="nil"/>
              <w:left w:val="nil"/>
              <w:bottom w:val="nil"/>
              <w:right w:val="nil"/>
            </w:tcBorders>
            <w:noWrap/>
            <w:vAlign w:val="bottom"/>
            <w:hideMark/>
          </w:tcPr>
          <w:p w14:paraId="7F34FEF4" w14:textId="77777777" w:rsidR="006573FA" w:rsidRPr="0043352D" w:rsidRDefault="006573FA" w:rsidP="007B0028">
            <w:pPr>
              <w:jc w:val="left"/>
              <w:rPr>
                <w:sz w:val="22"/>
                <w:szCs w:val="22"/>
                <w:lang w:eastAsia="sv-SE"/>
              </w:rPr>
            </w:pPr>
            <w:proofErr w:type="spellStart"/>
            <w:r w:rsidRPr="0043352D">
              <w:rPr>
                <w:sz w:val="22"/>
                <w:szCs w:val="22"/>
                <w:lang w:eastAsia="sv-SE"/>
              </w:rPr>
              <w:lastRenderedPageBreak/>
              <w:t>SelfEff</w:t>
            </w:r>
            <w:proofErr w:type="spellEnd"/>
            <w:r w:rsidRPr="0043352D">
              <w:rPr>
                <w:sz w:val="22"/>
                <w:szCs w:val="22"/>
                <w:lang w:eastAsia="sv-SE"/>
              </w:rPr>
              <w:t xml:space="preserve"> → Eff → </w:t>
            </w:r>
            <w:proofErr w:type="spellStart"/>
            <w:r w:rsidRPr="0043352D">
              <w:rPr>
                <w:sz w:val="22"/>
                <w:szCs w:val="22"/>
                <w:lang w:eastAsia="sv-SE"/>
              </w:rPr>
              <w:t>MathAch</w:t>
            </w:r>
            <w:proofErr w:type="spellEnd"/>
          </w:p>
        </w:tc>
        <w:tc>
          <w:tcPr>
            <w:tcW w:w="1134" w:type="dxa"/>
            <w:tcBorders>
              <w:top w:val="nil"/>
              <w:left w:val="nil"/>
              <w:bottom w:val="nil"/>
              <w:right w:val="nil"/>
            </w:tcBorders>
            <w:noWrap/>
            <w:vAlign w:val="bottom"/>
            <w:hideMark/>
          </w:tcPr>
          <w:p w14:paraId="2F25DFFC" w14:textId="77777777" w:rsidR="006573FA" w:rsidRPr="0043352D" w:rsidRDefault="006573FA" w:rsidP="007B0028">
            <w:pPr>
              <w:jc w:val="left"/>
              <w:rPr>
                <w:sz w:val="22"/>
                <w:szCs w:val="22"/>
                <w:lang w:eastAsia="sv-SE"/>
              </w:rPr>
            </w:pPr>
            <w:r w:rsidRPr="0043352D">
              <w:rPr>
                <w:sz w:val="22"/>
                <w:szCs w:val="22"/>
                <w:lang w:eastAsia="sv-SE"/>
              </w:rPr>
              <w:t>0.080</w:t>
            </w:r>
          </w:p>
        </w:tc>
        <w:tc>
          <w:tcPr>
            <w:tcW w:w="1984" w:type="dxa"/>
            <w:tcBorders>
              <w:top w:val="nil"/>
              <w:left w:val="nil"/>
              <w:bottom w:val="nil"/>
              <w:right w:val="nil"/>
            </w:tcBorders>
            <w:noWrap/>
            <w:vAlign w:val="bottom"/>
            <w:hideMark/>
          </w:tcPr>
          <w:p w14:paraId="5B0E9E70" w14:textId="77777777" w:rsidR="006573FA" w:rsidRPr="0043352D" w:rsidRDefault="006573FA" w:rsidP="007B0028">
            <w:pPr>
              <w:jc w:val="left"/>
              <w:rPr>
                <w:sz w:val="22"/>
                <w:szCs w:val="22"/>
                <w:lang w:eastAsia="sv-SE"/>
              </w:rPr>
            </w:pPr>
            <w:r w:rsidRPr="0043352D">
              <w:rPr>
                <w:sz w:val="22"/>
                <w:szCs w:val="22"/>
                <w:lang w:eastAsia="sv-SE"/>
              </w:rPr>
              <w:t>[0.048, 0.113]</w:t>
            </w:r>
          </w:p>
        </w:tc>
      </w:tr>
      <w:tr w:rsidR="006573FA" w:rsidRPr="0043352D" w14:paraId="33965917" w14:textId="77777777" w:rsidTr="007B0028">
        <w:trPr>
          <w:trHeight w:val="320"/>
          <w:jc w:val="center"/>
        </w:trPr>
        <w:tc>
          <w:tcPr>
            <w:tcW w:w="3261" w:type="dxa"/>
            <w:tcBorders>
              <w:top w:val="nil"/>
              <w:left w:val="nil"/>
              <w:bottom w:val="nil"/>
              <w:right w:val="nil"/>
            </w:tcBorders>
            <w:noWrap/>
            <w:vAlign w:val="bottom"/>
            <w:hideMark/>
          </w:tcPr>
          <w:p w14:paraId="066FD073" w14:textId="77777777" w:rsidR="006573FA" w:rsidRPr="0043352D" w:rsidRDefault="006573FA" w:rsidP="007B0028">
            <w:pPr>
              <w:jc w:val="left"/>
              <w:rPr>
                <w:sz w:val="22"/>
                <w:szCs w:val="22"/>
                <w:lang w:eastAsia="sv-SE"/>
              </w:rPr>
            </w:pPr>
            <w:proofErr w:type="spellStart"/>
            <w:r w:rsidRPr="0043352D">
              <w:rPr>
                <w:sz w:val="22"/>
                <w:szCs w:val="22"/>
                <w:lang w:eastAsia="sv-SE"/>
              </w:rPr>
              <w:t>SelfEff</w:t>
            </w:r>
            <w:proofErr w:type="spellEnd"/>
            <w:r w:rsidRPr="0043352D">
              <w:rPr>
                <w:sz w:val="22"/>
                <w:szCs w:val="22"/>
                <w:lang w:eastAsia="sv-SE"/>
              </w:rPr>
              <w:t xml:space="preserve"> (Total indirect)</w:t>
            </w:r>
          </w:p>
        </w:tc>
        <w:tc>
          <w:tcPr>
            <w:tcW w:w="1134" w:type="dxa"/>
            <w:tcBorders>
              <w:top w:val="nil"/>
              <w:left w:val="nil"/>
              <w:bottom w:val="nil"/>
              <w:right w:val="nil"/>
            </w:tcBorders>
            <w:noWrap/>
            <w:vAlign w:val="bottom"/>
            <w:hideMark/>
          </w:tcPr>
          <w:p w14:paraId="0A9C9044" w14:textId="77777777" w:rsidR="006573FA" w:rsidRPr="0043352D" w:rsidRDefault="006573FA" w:rsidP="007B0028">
            <w:pPr>
              <w:jc w:val="left"/>
              <w:rPr>
                <w:sz w:val="22"/>
                <w:szCs w:val="22"/>
                <w:lang w:eastAsia="sv-SE"/>
              </w:rPr>
            </w:pPr>
            <w:r w:rsidRPr="0043352D">
              <w:rPr>
                <w:sz w:val="22"/>
                <w:szCs w:val="22"/>
                <w:lang w:eastAsia="sv-SE"/>
              </w:rPr>
              <w:t>0.078</w:t>
            </w:r>
          </w:p>
        </w:tc>
        <w:tc>
          <w:tcPr>
            <w:tcW w:w="1984" w:type="dxa"/>
            <w:tcBorders>
              <w:top w:val="nil"/>
              <w:left w:val="nil"/>
              <w:bottom w:val="nil"/>
              <w:right w:val="nil"/>
            </w:tcBorders>
            <w:noWrap/>
            <w:vAlign w:val="bottom"/>
            <w:hideMark/>
          </w:tcPr>
          <w:p w14:paraId="335734EE" w14:textId="77777777" w:rsidR="006573FA" w:rsidRPr="0043352D" w:rsidRDefault="006573FA" w:rsidP="007B0028">
            <w:pPr>
              <w:jc w:val="left"/>
              <w:rPr>
                <w:sz w:val="22"/>
                <w:szCs w:val="22"/>
                <w:lang w:eastAsia="sv-SE"/>
              </w:rPr>
            </w:pPr>
            <w:r w:rsidRPr="0043352D">
              <w:rPr>
                <w:sz w:val="22"/>
                <w:szCs w:val="22"/>
                <w:lang w:eastAsia="sv-SE"/>
              </w:rPr>
              <w:t>[0.044, 0.112]</w:t>
            </w:r>
          </w:p>
        </w:tc>
      </w:tr>
      <w:tr w:rsidR="006573FA" w:rsidRPr="0043352D" w14:paraId="68ABA8A7" w14:textId="77777777" w:rsidTr="007B0028">
        <w:trPr>
          <w:trHeight w:val="320"/>
          <w:jc w:val="center"/>
        </w:trPr>
        <w:tc>
          <w:tcPr>
            <w:tcW w:w="3261" w:type="dxa"/>
            <w:tcBorders>
              <w:top w:val="nil"/>
              <w:left w:val="nil"/>
              <w:bottom w:val="nil"/>
              <w:right w:val="nil"/>
            </w:tcBorders>
            <w:noWrap/>
            <w:vAlign w:val="bottom"/>
            <w:hideMark/>
          </w:tcPr>
          <w:p w14:paraId="29E49DE6" w14:textId="77777777" w:rsidR="006573FA" w:rsidRPr="0043352D" w:rsidRDefault="006573FA" w:rsidP="007B0028">
            <w:pPr>
              <w:jc w:val="left"/>
              <w:rPr>
                <w:sz w:val="22"/>
                <w:szCs w:val="22"/>
                <w:lang w:eastAsia="sv-SE"/>
              </w:rPr>
            </w:pPr>
            <w:proofErr w:type="spellStart"/>
            <w:r w:rsidRPr="0043352D">
              <w:rPr>
                <w:sz w:val="22"/>
                <w:szCs w:val="22"/>
                <w:lang w:eastAsia="sv-SE"/>
              </w:rPr>
              <w:t>SelfEff</w:t>
            </w:r>
            <w:proofErr w:type="spellEnd"/>
            <w:r w:rsidRPr="0043352D">
              <w:rPr>
                <w:sz w:val="22"/>
                <w:szCs w:val="22"/>
                <w:lang w:eastAsia="sv-SE"/>
              </w:rPr>
              <w:t xml:space="preserve"> (Direct)</w:t>
            </w:r>
          </w:p>
        </w:tc>
        <w:tc>
          <w:tcPr>
            <w:tcW w:w="1134" w:type="dxa"/>
            <w:tcBorders>
              <w:top w:val="nil"/>
              <w:left w:val="nil"/>
              <w:bottom w:val="nil"/>
              <w:right w:val="nil"/>
            </w:tcBorders>
            <w:noWrap/>
            <w:vAlign w:val="bottom"/>
            <w:hideMark/>
          </w:tcPr>
          <w:p w14:paraId="428A5287" w14:textId="77777777" w:rsidR="006573FA" w:rsidRPr="0043352D" w:rsidRDefault="006573FA" w:rsidP="007B0028">
            <w:pPr>
              <w:jc w:val="left"/>
              <w:rPr>
                <w:sz w:val="22"/>
                <w:szCs w:val="22"/>
                <w:lang w:eastAsia="sv-SE"/>
              </w:rPr>
            </w:pPr>
            <w:r w:rsidRPr="0043352D">
              <w:rPr>
                <w:sz w:val="22"/>
                <w:szCs w:val="22"/>
                <w:lang w:eastAsia="sv-SE"/>
              </w:rPr>
              <w:t>0.488</w:t>
            </w:r>
          </w:p>
        </w:tc>
        <w:tc>
          <w:tcPr>
            <w:tcW w:w="1984" w:type="dxa"/>
            <w:tcBorders>
              <w:top w:val="nil"/>
              <w:left w:val="nil"/>
              <w:bottom w:val="nil"/>
              <w:right w:val="nil"/>
            </w:tcBorders>
            <w:noWrap/>
            <w:vAlign w:val="bottom"/>
            <w:hideMark/>
          </w:tcPr>
          <w:p w14:paraId="4F8CD3F1" w14:textId="77777777" w:rsidR="006573FA" w:rsidRPr="0043352D" w:rsidRDefault="006573FA" w:rsidP="007B0028">
            <w:pPr>
              <w:jc w:val="left"/>
              <w:rPr>
                <w:sz w:val="22"/>
                <w:szCs w:val="22"/>
                <w:lang w:eastAsia="sv-SE"/>
              </w:rPr>
            </w:pPr>
            <w:r w:rsidRPr="0043352D">
              <w:rPr>
                <w:sz w:val="22"/>
                <w:szCs w:val="22"/>
                <w:lang w:eastAsia="sv-SE"/>
              </w:rPr>
              <w:t>[0.435, 0.539]</w:t>
            </w:r>
          </w:p>
        </w:tc>
      </w:tr>
      <w:tr w:rsidR="006573FA" w:rsidRPr="0043352D" w14:paraId="0BBE1BE5" w14:textId="77777777" w:rsidTr="007B0028">
        <w:trPr>
          <w:trHeight w:val="320"/>
          <w:jc w:val="center"/>
        </w:trPr>
        <w:tc>
          <w:tcPr>
            <w:tcW w:w="3261" w:type="dxa"/>
            <w:tcBorders>
              <w:top w:val="nil"/>
              <w:left w:val="nil"/>
              <w:bottom w:val="nil"/>
              <w:right w:val="nil"/>
            </w:tcBorders>
            <w:noWrap/>
            <w:vAlign w:val="bottom"/>
            <w:hideMark/>
          </w:tcPr>
          <w:p w14:paraId="1C720249" w14:textId="77777777" w:rsidR="006573FA" w:rsidRPr="0043352D" w:rsidRDefault="006573FA" w:rsidP="007B0028">
            <w:pPr>
              <w:jc w:val="left"/>
              <w:rPr>
                <w:sz w:val="22"/>
                <w:szCs w:val="22"/>
                <w:lang w:eastAsia="sv-SE"/>
              </w:rPr>
            </w:pPr>
            <w:proofErr w:type="spellStart"/>
            <w:r w:rsidRPr="0043352D">
              <w:rPr>
                <w:sz w:val="22"/>
                <w:szCs w:val="22"/>
                <w:lang w:eastAsia="sv-SE"/>
              </w:rPr>
              <w:t>Anx</w:t>
            </w:r>
            <w:proofErr w:type="spellEnd"/>
            <w:r w:rsidRPr="0043352D">
              <w:rPr>
                <w:sz w:val="22"/>
                <w:szCs w:val="22"/>
                <w:lang w:eastAsia="sv-SE"/>
              </w:rPr>
              <w:t xml:space="preserve"> → Rehe → </w:t>
            </w:r>
            <w:proofErr w:type="spellStart"/>
            <w:r w:rsidRPr="0043352D">
              <w:rPr>
                <w:sz w:val="22"/>
                <w:szCs w:val="22"/>
                <w:lang w:eastAsia="sv-SE"/>
              </w:rPr>
              <w:t>MathAch</w:t>
            </w:r>
            <w:proofErr w:type="spellEnd"/>
          </w:p>
        </w:tc>
        <w:tc>
          <w:tcPr>
            <w:tcW w:w="1134" w:type="dxa"/>
            <w:tcBorders>
              <w:top w:val="nil"/>
              <w:left w:val="nil"/>
              <w:bottom w:val="nil"/>
              <w:right w:val="nil"/>
            </w:tcBorders>
            <w:noWrap/>
            <w:vAlign w:val="bottom"/>
            <w:hideMark/>
          </w:tcPr>
          <w:p w14:paraId="5CCE6869" w14:textId="77777777" w:rsidR="006573FA" w:rsidRPr="0043352D" w:rsidRDefault="006573FA" w:rsidP="007B0028">
            <w:pPr>
              <w:jc w:val="left"/>
              <w:rPr>
                <w:sz w:val="22"/>
                <w:szCs w:val="22"/>
                <w:lang w:eastAsia="sv-SE"/>
              </w:rPr>
            </w:pPr>
            <w:r w:rsidRPr="0043352D">
              <w:rPr>
                <w:sz w:val="22"/>
                <w:szCs w:val="22"/>
                <w:lang w:eastAsia="sv-SE"/>
              </w:rPr>
              <w:t>-0.113</w:t>
            </w:r>
          </w:p>
        </w:tc>
        <w:tc>
          <w:tcPr>
            <w:tcW w:w="1984" w:type="dxa"/>
            <w:tcBorders>
              <w:top w:val="nil"/>
              <w:left w:val="nil"/>
              <w:bottom w:val="nil"/>
              <w:right w:val="nil"/>
            </w:tcBorders>
            <w:noWrap/>
            <w:vAlign w:val="bottom"/>
            <w:hideMark/>
          </w:tcPr>
          <w:p w14:paraId="75885F54" w14:textId="77777777" w:rsidR="006573FA" w:rsidRPr="0043352D" w:rsidRDefault="006573FA" w:rsidP="007B0028">
            <w:pPr>
              <w:jc w:val="left"/>
              <w:rPr>
                <w:sz w:val="22"/>
                <w:szCs w:val="22"/>
                <w:lang w:eastAsia="sv-SE"/>
              </w:rPr>
            </w:pPr>
            <w:r w:rsidRPr="0043352D">
              <w:rPr>
                <w:sz w:val="22"/>
                <w:szCs w:val="22"/>
                <w:lang w:eastAsia="sv-SE"/>
              </w:rPr>
              <w:t>[-0.144, -0.083]</w:t>
            </w:r>
          </w:p>
        </w:tc>
      </w:tr>
      <w:tr w:rsidR="006573FA" w:rsidRPr="0043352D" w14:paraId="4618BB9E" w14:textId="77777777" w:rsidTr="007B0028">
        <w:trPr>
          <w:trHeight w:val="320"/>
          <w:jc w:val="center"/>
        </w:trPr>
        <w:tc>
          <w:tcPr>
            <w:tcW w:w="3261" w:type="dxa"/>
            <w:tcBorders>
              <w:top w:val="nil"/>
              <w:left w:val="nil"/>
              <w:bottom w:val="nil"/>
              <w:right w:val="nil"/>
            </w:tcBorders>
            <w:noWrap/>
            <w:vAlign w:val="bottom"/>
            <w:hideMark/>
          </w:tcPr>
          <w:p w14:paraId="1740D5C5" w14:textId="77777777" w:rsidR="006573FA" w:rsidRPr="0043352D" w:rsidRDefault="006573FA" w:rsidP="007B0028">
            <w:pPr>
              <w:jc w:val="left"/>
              <w:rPr>
                <w:sz w:val="22"/>
                <w:szCs w:val="22"/>
                <w:lang w:eastAsia="sv-SE"/>
              </w:rPr>
            </w:pPr>
            <w:proofErr w:type="spellStart"/>
            <w:r w:rsidRPr="0043352D">
              <w:rPr>
                <w:sz w:val="22"/>
                <w:szCs w:val="22"/>
                <w:lang w:eastAsia="sv-SE"/>
              </w:rPr>
              <w:t>Anx</w:t>
            </w:r>
            <w:proofErr w:type="spellEnd"/>
            <w:r w:rsidRPr="0043352D">
              <w:rPr>
                <w:sz w:val="22"/>
                <w:szCs w:val="22"/>
                <w:lang w:eastAsia="sv-SE"/>
              </w:rPr>
              <w:t xml:space="preserve"> → Meta → </w:t>
            </w:r>
            <w:proofErr w:type="spellStart"/>
            <w:r w:rsidRPr="0043352D">
              <w:rPr>
                <w:sz w:val="22"/>
                <w:szCs w:val="22"/>
                <w:lang w:eastAsia="sv-SE"/>
              </w:rPr>
              <w:t>MathAch</w:t>
            </w:r>
            <w:proofErr w:type="spellEnd"/>
          </w:p>
        </w:tc>
        <w:tc>
          <w:tcPr>
            <w:tcW w:w="1134" w:type="dxa"/>
            <w:tcBorders>
              <w:top w:val="nil"/>
              <w:left w:val="nil"/>
              <w:bottom w:val="nil"/>
              <w:right w:val="nil"/>
            </w:tcBorders>
            <w:noWrap/>
            <w:vAlign w:val="bottom"/>
            <w:hideMark/>
          </w:tcPr>
          <w:p w14:paraId="2D55952C" w14:textId="77777777" w:rsidR="006573FA" w:rsidRPr="0043352D" w:rsidRDefault="006573FA" w:rsidP="007B0028">
            <w:pPr>
              <w:jc w:val="left"/>
              <w:rPr>
                <w:sz w:val="22"/>
                <w:szCs w:val="22"/>
                <w:lang w:eastAsia="sv-SE"/>
              </w:rPr>
            </w:pPr>
            <w:r w:rsidRPr="0043352D">
              <w:rPr>
                <w:sz w:val="22"/>
                <w:szCs w:val="22"/>
                <w:lang w:eastAsia="sv-SE"/>
              </w:rPr>
              <w:t>0.027</w:t>
            </w:r>
          </w:p>
        </w:tc>
        <w:tc>
          <w:tcPr>
            <w:tcW w:w="1984" w:type="dxa"/>
            <w:tcBorders>
              <w:top w:val="nil"/>
              <w:left w:val="nil"/>
              <w:bottom w:val="nil"/>
              <w:right w:val="nil"/>
            </w:tcBorders>
            <w:noWrap/>
            <w:vAlign w:val="bottom"/>
            <w:hideMark/>
          </w:tcPr>
          <w:p w14:paraId="47489213" w14:textId="77777777" w:rsidR="006573FA" w:rsidRPr="0043352D" w:rsidRDefault="006573FA" w:rsidP="007B0028">
            <w:pPr>
              <w:jc w:val="left"/>
              <w:rPr>
                <w:sz w:val="22"/>
                <w:szCs w:val="22"/>
                <w:lang w:eastAsia="sv-SE"/>
              </w:rPr>
            </w:pPr>
            <w:r w:rsidRPr="0043352D">
              <w:rPr>
                <w:sz w:val="22"/>
                <w:szCs w:val="22"/>
                <w:lang w:eastAsia="sv-SE"/>
              </w:rPr>
              <w:t>[0.012, 0.045]</w:t>
            </w:r>
          </w:p>
        </w:tc>
      </w:tr>
      <w:tr w:rsidR="006573FA" w:rsidRPr="0043352D" w14:paraId="31CA3948" w14:textId="77777777" w:rsidTr="007B0028">
        <w:trPr>
          <w:trHeight w:val="320"/>
          <w:jc w:val="center"/>
        </w:trPr>
        <w:tc>
          <w:tcPr>
            <w:tcW w:w="3261" w:type="dxa"/>
            <w:tcBorders>
              <w:top w:val="nil"/>
              <w:left w:val="nil"/>
              <w:bottom w:val="nil"/>
              <w:right w:val="nil"/>
            </w:tcBorders>
            <w:noWrap/>
            <w:vAlign w:val="bottom"/>
            <w:hideMark/>
          </w:tcPr>
          <w:p w14:paraId="3DE278A3" w14:textId="77777777" w:rsidR="006573FA" w:rsidRPr="0043352D" w:rsidRDefault="006573FA" w:rsidP="007B0028">
            <w:pPr>
              <w:jc w:val="left"/>
              <w:rPr>
                <w:sz w:val="22"/>
                <w:szCs w:val="22"/>
                <w:lang w:eastAsia="sv-SE"/>
              </w:rPr>
            </w:pPr>
            <w:proofErr w:type="spellStart"/>
            <w:r w:rsidRPr="0043352D">
              <w:rPr>
                <w:sz w:val="22"/>
                <w:szCs w:val="22"/>
                <w:lang w:eastAsia="sv-SE"/>
              </w:rPr>
              <w:t>Anx</w:t>
            </w:r>
            <w:proofErr w:type="spellEnd"/>
            <w:r w:rsidRPr="0043352D">
              <w:rPr>
                <w:sz w:val="22"/>
                <w:szCs w:val="22"/>
                <w:lang w:eastAsia="sv-SE"/>
              </w:rPr>
              <w:t xml:space="preserve"> → Eff → </w:t>
            </w:r>
            <w:proofErr w:type="spellStart"/>
            <w:r w:rsidRPr="0043352D">
              <w:rPr>
                <w:sz w:val="22"/>
                <w:szCs w:val="22"/>
                <w:lang w:eastAsia="sv-SE"/>
              </w:rPr>
              <w:t>MathAch</w:t>
            </w:r>
            <w:proofErr w:type="spellEnd"/>
          </w:p>
        </w:tc>
        <w:tc>
          <w:tcPr>
            <w:tcW w:w="1134" w:type="dxa"/>
            <w:tcBorders>
              <w:top w:val="nil"/>
              <w:left w:val="nil"/>
              <w:bottom w:val="nil"/>
              <w:right w:val="nil"/>
            </w:tcBorders>
            <w:noWrap/>
            <w:vAlign w:val="bottom"/>
            <w:hideMark/>
          </w:tcPr>
          <w:p w14:paraId="343ACFB2" w14:textId="77777777" w:rsidR="006573FA" w:rsidRPr="0043352D" w:rsidRDefault="006573FA" w:rsidP="007B0028">
            <w:pPr>
              <w:jc w:val="left"/>
              <w:rPr>
                <w:sz w:val="22"/>
                <w:szCs w:val="22"/>
                <w:lang w:eastAsia="sv-SE"/>
              </w:rPr>
            </w:pPr>
            <w:r w:rsidRPr="0043352D">
              <w:rPr>
                <w:sz w:val="22"/>
                <w:szCs w:val="22"/>
                <w:lang w:eastAsia="sv-SE"/>
              </w:rPr>
              <w:t>0.027</w:t>
            </w:r>
          </w:p>
        </w:tc>
        <w:tc>
          <w:tcPr>
            <w:tcW w:w="1984" w:type="dxa"/>
            <w:tcBorders>
              <w:top w:val="nil"/>
              <w:left w:val="nil"/>
              <w:bottom w:val="nil"/>
              <w:right w:val="nil"/>
            </w:tcBorders>
            <w:noWrap/>
            <w:vAlign w:val="bottom"/>
            <w:hideMark/>
          </w:tcPr>
          <w:p w14:paraId="4F3EA845" w14:textId="77777777" w:rsidR="006573FA" w:rsidRPr="0043352D" w:rsidRDefault="006573FA" w:rsidP="007B0028">
            <w:pPr>
              <w:jc w:val="left"/>
              <w:rPr>
                <w:sz w:val="22"/>
                <w:szCs w:val="22"/>
                <w:lang w:eastAsia="sv-SE"/>
              </w:rPr>
            </w:pPr>
            <w:r w:rsidRPr="0043352D">
              <w:rPr>
                <w:sz w:val="22"/>
                <w:szCs w:val="22"/>
                <w:lang w:eastAsia="sv-SE"/>
              </w:rPr>
              <w:t>[0.012, 0.045]</w:t>
            </w:r>
          </w:p>
        </w:tc>
      </w:tr>
      <w:tr w:rsidR="006573FA" w:rsidRPr="0043352D" w14:paraId="157650F4" w14:textId="77777777" w:rsidTr="007B0028">
        <w:trPr>
          <w:trHeight w:val="320"/>
          <w:jc w:val="center"/>
        </w:trPr>
        <w:tc>
          <w:tcPr>
            <w:tcW w:w="3261" w:type="dxa"/>
            <w:tcBorders>
              <w:top w:val="nil"/>
              <w:left w:val="nil"/>
              <w:right w:val="nil"/>
            </w:tcBorders>
            <w:noWrap/>
            <w:vAlign w:val="bottom"/>
            <w:hideMark/>
          </w:tcPr>
          <w:p w14:paraId="36044D4F" w14:textId="77777777" w:rsidR="006573FA" w:rsidRPr="0043352D" w:rsidRDefault="006573FA" w:rsidP="007B0028">
            <w:pPr>
              <w:jc w:val="left"/>
              <w:rPr>
                <w:sz w:val="22"/>
                <w:szCs w:val="22"/>
                <w:lang w:eastAsia="sv-SE"/>
              </w:rPr>
            </w:pPr>
            <w:proofErr w:type="spellStart"/>
            <w:r w:rsidRPr="0043352D">
              <w:rPr>
                <w:sz w:val="22"/>
                <w:szCs w:val="22"/>
                <w:lang w:eastAsia="sv-SE"/>
              </w:rPr>
              <w:t>Anx</w:t>
            </w:r>
            <w:proofErr w:type="spellEnd"/>
            <w:r w:rsidRPr="0043352D">
              <w:rPr>
                <w:sz w:val="22"/>
                <w:szCs w:val="22"/>
                <w:lang w:eastAsia="sv-SE"/>
              </w:rPr>
              <w:t xml:space="preserve"> (Total indirect)</w:t>
            </w:r>
          </w:p>
        </w:tc>
        <w:tc>
          <w:tcPr>
            <w:tcW w:w="1134" w:type="dxa"/>
            <w:tcBorders>
              <w:top w:val="nil"/>
              <w:left w:val="nil"/>
              <w:right w:val="nil"/>
            </w:tcBorders>
            <w:noWrap/>
            <w:vAlign w:val="bottom"/>
            <w:hideMark/>
          </w:tcPr>
          <w:p w14:paraId="5E16947B" w14:textId="77777777" w:rsidR="006573FA" w:rsidRPr="0043352D" w:rsidRDefault="006573FA" w:rsidP="007B0028">
            <w:pPr>
              <w:jc w:val="left"/>
              <w:rPr>
                <w:sz w:val="22"/>
                <w:szCs w:val="22"/>
                <w:lang w:eastAsia="sv-SE"/>
              </w:rPr>
            </w:pPr>
            <w:r w:rsidRPr="0043352D">
              <w:rPr>
                <w:sz w:val="22"/>
                <w:szCs w:val="22"/>
                <w:lang w:eastAsia="sv-SE"/>
              </w:rPr>
              <w:t>-0.058</w:t>
            </w:r>
          </w:p>
        </w:tc>
        <w:tc>
          <w:tcPr>
            <w:tcW w:w="1984" w:type="dxa"/>
            <w:tcBorders>
              <w:top w:val="nil"/>
              <w:left w:val="nil"/>
              <w:right w:val="nil"/>
            </w:tcBorders>
            <w:noWrap/>
            <w:vAlign w:val="bottom"/>
            <w:hideMark/>
          </w:tcPr>
          <w:p w14:paraId="234B2926" w14:textId="77777777" w:rsidR="006573FA" w:rsidRPr="0043352D" w:rsidRDefault="006573FA" w:rsidP="007B0028">
            <w:pPr>
              <w:jc w:val="left"/>
              <w:rPr>
                <w:sz w:val="22"/>
                <w:szCs w:val="22"/>
                <w:lang w:eastAsia="sv-SE"/>
              </w:rPr>
            </w:pPr>
            <w:r w:rsidRPr="0043352D">
              <w:rPr>
                <w:sz w:val="22"/>
                <w:szCs w:val="22"/>
                <w:lang w:eastAsia="sv-SE"/>
              </w:rPr>
              <w:t>[-0.088, -0.030]</w:t>
            </w:r>
          </w:p>
        </w:tc>
      </w:tr>
      <w:tr w:rsidR="006573FA" w:rsidRPr="0043352D" w14:paraId="38B4CB52" w14:textId="77777777" w:rsidTr="007B0028">
        <w:trPr>
          <w:trHeight w:val="320"/>
          <w:jc w:val="center"/>
        </w:trPr>
        <w:tc>
          <w:tcPr>
            <w:tcW w:w="3261" w:type="dxa"/>
            <w:tcBorders>
              <w:top w:val="nil"/>
              <w:left w:val="nil"/>
              <w:bottom w:val="single" w:sz="4" w:space="0" w:color="auto"/>
              <w:right w:val="nil"/>
            </w:tcBorders>
            <w:noWrap/>
            <w:vAlign w:val="bottom"/>
            <w:hideMark/>
          </w:tcPr>
          <w:p w14:paraId="770C5251" w14:textId="77777777" w:rsidR="006573FA" w:rsidRPr="0043352D" w:rsidRDefault="006573FA" w:rsidP="007B0028">
            <w:pPr>
              <w:jc w:val="left"/>
              <w:rPr>
                <w:sz w:val="22"/>
                <w:szCs w:val="22"/>
                <w:lang w:eastAsia="sv-SE"/>
              </w:rPr>
            </w:pPr>
            <w:proofErr w:type="spellStart"/>
            <w:r w:rsidRPr="0043352D">
              <w:rPr>
                <w:sz w:val="22"/>
                <w:szCs w:val="22"/>
                <w:lang w:eastAsia="sv-SE"/>
              </w:rPr>
              <w:t>Anx</w:t>
            </w:r>
            <w:proofErr w:type="spellEnd"/>
            <w:r w:rsidRPr="0043352D">
              <w:rPr>
                <w:sz w:val="22"/>
                <w:szCs w:val="22"/>
                <w:lang w:eastAsia="sv-SE"/>
              </w:rPr>
              <w:t xml:space="preserve"> (Direct)</w:t>
            </w:r>
          </w:p>
        </w:tc>
        <w:tc>
          <w:tcPr>
            <w:tcW w:w="1134" w:type="dxa"/>
            <w:tcBorders>
              <w:top w:val="nil"/>
              <w:left w:val="nil"/>
              <w:bottom w:val="single" w:sz="4" w:space="0" w:color="auto"/>
              <w:right w:val="nil"/>
            </w:tcBorders>
            <w:noWrap/>
            <w:vAlign w:val="bottom"/>
            <w:hideMark/>
          </w:tcPr>
          <w:p w14:paraId="2EBED7AD" w14:textId="77777777" w:rsidR="006573FA" w:rsidRPr="0043352D" w:rsidRDefault="006573FA" w:rsidP="007B0028">
            <w:pPr>
              <w:jc w:val="left"/>
              <w:rPr>
                <w:sz w:val="22"/>
                <w:szCs w:val="22"/>
                <w:lang w:eastAsia="sv-SE"/>
              </w:rPr>
            </w:pPr>
            <w:r w:rsidRPr="0043352D">
              <w:rPr>
                <w:sz w:val="22"/>
                <w:szCs w:val="22"/>
                <w:lang w:eastAsia="sv-SE"/>
              </w:rPr>
              <w:t>-0.023</w:t>
            </w:r>
          </w:p>
        </w:tc>
        <w:tc>
          <w:tcPr>
            <w:tcW w:w="1984" w:type="dxa"/>
            <w:tcBorders>
              <w:top w:val="nil"/>
              <w:left w:val="nil"/>
              <w:bottom w:val="single" w:sz="4" w:space="0" w:color="auto"/>
              <w:right w:val="nil"/>
            </w:tcBorders>
            <w:noWrap/>
            <w:vAlign w:val="bottom"/>
            <w:hideMark/>
          </w:tcPr>
          <w:p w14:paraId="6A64D10D" w14:textId="77777777" w:rsidR="006573FA" w:rsidRPr="0043352D" w:rsidRDefault="006573FA" w:rsidP="007B0028">
            <w:pPr>
              <w:jc w:val="left"/>
              <w:rPr>
                <w:sz w:val="22"/>
                <w:szCs w:val="22"/>
                <w:lang w:eastAsia="sv-SE"/>
              </w:rPr>
            </w:pPr>
            <w:r w:rsidRPr="0043352D">
              <w:rPr>
                <w:sz w:val="22"/>
                <w:szCs w:val="22"/>
                <w:lang w:eastAsia="sv-SE"/>
              </w:rPr>
              <w:t>[-0.080, 0.036]</w:t>
            </w:r>
          </w:p>
        </w:tc>
      </w:tr>
    </w:tbl>
    <w:p w14:paraId="0AE8DC56" w14:textId="77777777" w:rsidR="006573FA" w:rsidRPr="0043352D" w:rsidRDefault="006573FA" w:rsidP="006573FA"/>
    <w:p w14:paraId="22599707" w14:textId="6B7E013C" w:rsidR="006573FA" w:rsidRDefault="006573FA" w:rsidP="006573FA">
      <w:pPr>
        <w:pStyle w:val="Beskrivning"/>
        <w:keepNext/>
        <w:jc w:val="center"/>
      </w:pPr>
      <w:r>
        <w:t xml:space="preserve">Figure  </w:t>
      </w:r>
      <w:r>
        <w:fldChar w:fldCharType="begin"/>
      </w:r>
      <w:r>
        <w:instrText xml:space="preserve"> SEQ Figure_ \* ARABIC </w:instrText>
      </w:r>
      <w:r>
        <w:fldChar w:fldCharType="separate"/>
      </w:r>
      <w:r w:rsidR="00ED42E0">
        <w:rPr>
          <w:noProof/>
        </w:rPr>
        <w:t>1</w:t>
      </w:r>
      <w:r>
        <w:fldChar w:fldCharType="end"/>
      </w:r>
      <w:r>
        <w:t>. Explored model connecting self-efficacy and test-anxiety via rehearsal, meta-cognition and effort on achievement.</w:t>
      </w:r>
    </w:p>
    <w:p w14:paraId="62039B77" w14:textId="77777777" w:rsidR="006573FA" w:rsidRDefault="006573FA" w:rsidP="006573FA">
      <w:pPr>
        <w:pStyle w:val="Rubrik2"/>
        <w:jc w:val="center"/>
      </w:pPr>
      <w:r w:rsidRPr="0043352D">
        <w:rPr>
          <w:noProof/>
        </w:rPr>
        <w:drawing>
          <wp:inline distT="0" distB="0" distL="0" distR="0" wp14:anchorId="0F09C8F9" wp14:editId="056FB4EE">
            <wp:extent cx="2919047" cy="2332984"/>
            <wp:effectExtent l="0" t="0" r="2540" b="4445"/>
            <wp:docPr id="8515351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3514" name=""/>
                    <pic:cNvPicPr/>
                  </pic:nvPicPr>
                  <pic:blipFill>
                    <a:blip r:embed="rId7"/>
                    <a:stretch>
                      <a:fillRect/>
                    </a:stretch>
                  </pic:blipFill>
                  <pic:spPr>
                    <a:xfrm>
                      <a:off x="0" y="0"/>
                      <a:ext cx="2944978" cy="2353709"/>
                    </a:xfrm>
                    <a:prstGeom prst="rect">
                      <a:avLst/>
                    </a:prstGeom>
                  </pic:spPr>
                </pic:pic>
              </a:graphicData>
            </a:graphic>
          </wp:inline>
        </w:drawing>
      </w:r>
    </w:p>
    <w:p w14:paraId="3F701FB6" w14:textId="77777777" w:rsidR="006573FA" w:rsidRPr="000D1DA5" w:rsidRDefault="006573FA" w:rsidP="006573FA">
      <w:pPr>
        <w:pStyle w:val="Brdtext"/>
      </w:pPr>
      <w:r>
        <w:t>These findings highlight the importance of fostering self-efficacy and metacognitive engagement and the counterproductive use of rote rehearsal strategies for mathematics learning. Further potential implication will be discussed during the presentation.</w:t>
      </w:r>
    </w:p>
    <w:p w14:paraId="4B7D7025" w14:textId="77777777" w:rsidR="006573FA" w:rsidRPr="0043352D" w:rsidRDefault="006573FA" w:rsidP="006573FA">
      <w:pPr>
        <w:pStyle w:val="Rubrik2"/>
      </w:pPr>
      <w:r>
        <w:t>R</w:t>
      </w:r>
      <w:r w:rsidRPr="0043352D">
        <w:t xml:space="preserve">eferences </w:t>
      </w:r>
    </w:p>
    <w:p w14:paraId="26440BEB" w14:textId="77777777" w:rsidR="006573FA" w:rsidRPr="006573FA" w:rsidRDefault="006573FA" w:rsidP="006573FA">
      <w:pPr>
        <w:pStyle w:val="Litteraturfrteckning"/>
        <w:rPr>
          <w:sz w:val="24"/>
          <w:szCs w:val="24"/>
          <w:lang w:val="en-US" w:eastAsia="sv-SE"/>
        </w:rPr>
      </w:pPr>
      <w:r w:rsidRPr="0043352D">
        <w:fldChar w:fldCharType="begin"/>
      </w:r>
      <w:r w:rsidRPr="0043352D">
        <w:instrText xml:space="preserve"> ADDIN ZOTERO_BIBL {"uncited":[],"omitted":[],"custom":[]} CSL_BIBLIOGRAPHY </w:instrText>
      </w:r>
      <w:r w:rsidRPr="0043352D">
        <w:fldChar w:fldCharType="separate"/>
      </w:r>
      <w:r w:rsidRPr="001D60D1">
        <w:rPr>
          <w:sz w:val="24"/>
          <w:szCs w:val="24"/>
          <w:lang w:val="en-US" w:eastAsia="sv-SE"/>
        </w:rPr>
        <w:t xml:space="preserve">Bandura, A. (1997). </w:t>
      </w:r>
      <w:r w:rsidRPr="001D60D1">
        <w:rPr>
          <w:i/>
          <w:iCs/>
          <w:sz w:val="24"/>
          <w:szCs w:val="24"/>
          <w:lang w:val="en-US" w:eastAsia="sv-SE"/>
        </w:rPr>
        <w:t>Self-efficacy: The exercise of control</w:t>
      </w:r>
      <w:r w:rsidRPr="001D60D1">
        <w:rPr>
          <w:sz w:val="24"/>
          <w:szCs w:val="24"/>
          <w:lang w:val="en-US" w:eastAsia="sv-SE"/>
        </w:rPr>
        <w:t xml:space="preserve">. </w:t>
      </w:r>
      <w:r w:rsidRPr="006573FA">
        <w:rPr>
          <w:sz w:val="24"/>
          <w:szCs w:val="24"/>
          <w:lang w:val="en-US" w:eastAsia="sv-SE"/>
        </w:rPr>
        <w:t>W. H. Freeman.</w:t>
      </w:r>
    </w:p>
    <w:p w14:paraId="1B89ECFF" w14:textId="77777777" w:rsidR="006573FA" w:rsidRPr="001D60D1" w:rsidRDefault="006573FA" w:rsidP="006573FA">
      <w:pPr>
        <w:pStyle w:val="References"/>
        <w:rPr>
          <w:lang w:val="en-US" w:eastAsia="sv-SE"/>
        </w:rPr>
      </w:pPr>
      <w:r w:rsidRPr="006573FA">
        <w:rPr>
          <w:lang w:val="en-US" w:eastAsia="sv-SE"/>
        </w:rPr>
        <w:t xml:space="preserve">Dowker, A., Sarkar, A., &amp; Looi, C. Y. (2016). </w:t>
      </w:r>
      <w:r w:rsidRPr="001D60D1">
        <w:rPr>
          <w:lang w:val="en-US" w:eastAsia="sv-SE"/>
        </w:rPr>
        <w:t xml:space="preserve">Mathematics Anxiety: What Have We Learned in 60 Years? </w:t>
      </w:r>
      <w:r w:rsidRPr="001D60D1">
        <w:rPr>
          <w:i/>
          <w:iCs/>
          <w:lang w:val="en-US" w:eastAsia="sv-SE"/>
        </w:rPr>
        <w:t>Frontiers in Psychology</w:t>
      </w:r>
      <w:r w:rsidRPr="001D60D1">
        <w:rPr>
          <w:lang w:val="en-US" w:eastAsia="sv-SE"/>
        </w:rPr>
        <w:t xml:space="preserve">, </w:t>
      </w:r>
      <w:r w:rsidRPr="001D60D1">
        <w:rPr>
          <w:i/>
          <w:iCs/>
          <w:lang w:val="en-US" w:eastAsia="sv-SE"/>
        </w:rPr>
        <w:t>7</w:t>
      </w:r>
      <w:r w:rsidRPr="001D60D1">
        <w:rPr>
          <w:lang w:val="en-US" w:eastAsia="sv-SE"/>
        </w:rPr>
        <w:t>. https://doi.org/10.3389/fpsyg.2016.00508</w:t>
      </w:r>
    </w:p>
    <w:p w14:paraId="1555B613" w14:textId="77777777" w:rsidR="006573FA" w:rsidRPr="001D60D1" w:rsidRDefault="006573FA" w:rsidP="006573FA">
      <w:pPr>
        <w:pStyle w:val="References"/>
        <w:rPr>
          <w:lang w:val="en-US" w:eastAsia="sv-SE"/>
        </w:rPr>
      </w:pPr>
      <w:r w:rsidRPr="001D60D1">
        <w:rPr>
          <w:lang w:val="en-US" w:eastAsia="sv-SE"/>
        </w:rPr>
        <w:t xml:space="preserve">Hair, J. F., Hult, G. T. M., Ringle, C. M., Sarstedt, M., Danks, N. P., &amp; Ray, S. (2021). </w:t>
      </w:r>
      <w:r w:rsidRPr="001D60D1">
        <w:rPr>
          <w:i/>
          <w:iCs/>
          <w:lang w:val="en-US" w:eastAsia="sv-SE"/>
        </w:rPr>
        <w:t>Partial Least Squares Structural Equation Modeling (PLS-SEM) Using R: A Workbook</w:t>
      </w:r>
      <w:r w:rsidRPr="001D60D1">
        <w:rPr>
          <w:lang w:val="en-US" w:eastAsia="sv-SE"/>
        </w:rPr>
        <w:t>. Springer International Publishing. https://doi.org/10.1007/978-3-030-80519-7</w:t>
      </w:r>
    </w:p>
    <w:p w14:paraId="1436BCAA" w14:textId="77777777" w:rsidR="006573FA" w:rsidRPr="001D60D1" w:rsidRDefault="006573FA" w:rsidP="006573FA">
      <w:pPr>
        <w:pStyle w:val="References"/>
        <w:rPr>
          <w:lang w:val="en-US" w:eastAsia="sv-SE"/>
        </w:rPr>
      </w:pPr>
      <w:r w:rsidRPr="001D60D1">
        <w:rPr>
          <w:lang w:val="en-US" w:eastAsia="sv-SE"/>
        </w:rPr>
        <w:t xml:space="preserve">Ray, S., Danks, N., &amp; Calero Valdez, A. (2021). SEMinR: Domain-Specific Language for Building, Estimating, and Visualizing Structural Equation Models in R. </w:t>
      </w:r>
      <w:r w:rsidRPr="001D60D1">
        <w:rPr>
          <w:i/>
          <w:iCs/>
          <w:lang w:val="en-US" w:eastAsia="sv-SE"/>
        </w:rPr>
        <w:t>SSRN Electronic Journal</w:t>
      </w:r>
      <w:r w:rsidRPr="001D60D1">
        <w:rPr>
          <w:lang w:val="en-US" w:eastAsia="sv-SE"/>
        </w:rPr>
        <w:t>. https://doi.org/10.2139/ssrn.3900621</w:t>
      </w:r>
    </w:p>
    <w:p w14:paraId="12F07D5C" w14:textId="77777777" w:rsidR="006573FA" w:rsidRDefault="006573FA" w:rsidP="006573FA">
      <w:pPr>
        <w:pStyle w:val="References"/>
        <w:ind w:left="0" w:firstLine="0"/>
      </w:pPr>
      <w:r w:rsidRPr="0043352D">
        <w:fldChar w:fldCharType="end"/>
      </w:r>
    </w:p>
    <w:p w14:paraId="2F05DD5B" w14:textId="77777777" w:rsidR="006573FA" w:rsidRPr="0043352D" w:rsidRDefault="006573FA" w:rsidP="006573FA">
      <w:pPr>
        <w:pStyle w:val="References"/>
      </w:pPr>
    </w:p>
    <w:p w14:paraId="1078BEE7" w14:textId="0833EAEA" w:rsidR="00CE6A6A" w:rsidRPr="006573FA" w:rsidRDefault="00CE6A6A" w:rsidP="006573FA"/>
    <w:sectPr w:rsidR="00CE6A6A" w:rsidRPr="006573FA" w:rsidSect="000761F4">
      <w:headerReference w:type="default" r:id="rId8"/>
      <w:footerReference w:type="even" r:id="rId9"/>
      <w:footerReference w:type="default" r:id="rId10"/>
      <w:pgSz w:w="11906" w:h="16838" w:code="9"/>
      <w:pgMar w:top="1701"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DA8C" w14:textId="77777777" w:rsidR="00CF3448" w:rsidRDefault="00CF3448">
      <w:pPr>
        <w:spacing w:line="240" w:lineRule="auto"/>
      </w:pPr>
      <w:r>
        <w:separator/>
      </w:r>
    </w:p>
  </w:endnote>
  <w:endnote w:type="continuationSeparator" w:id="0">
    <w:p w14:paraId="7AC125B1" w14:textId="77777777" w:rsidR="00CF3448" w:rsidRDefault="00CF34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16C"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593848F4" w14:textId="77777777" w:rsidR="0075497C" w:rsidRDefault="007549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51D"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D2199">
      <w:rPr>
        <w:rStyle w:val="Sidnummer"/>
        <w:noProof/>
      </w:rPr>
      <w:t>1</w:t>
    </w:r>
    <w:r>
      <w:rPr>
        <w:rStyle w:val="Sidnummer"/>
      </w:rPr>
      <w:fldChar w:fldCharType="end"/>
    </w:r>
  </w:p>
  <w:p w14:paraId="21937EF6" w14:textId="77777777" w:rsidR="0075497C" w:rsidRDefault="00754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618E" w14:textId="77777777" w:rsidR="00CF3448" w:rsidRDefault="00CF3448">
      <w:pPr>
        <w:spacing w:line="240" w:lineRule="auto"/>
      </w:pPr>
      <w:r>
        <w:separator/>
      </w:r>
    </w:p>
  </w:footnote>
  <w:footnote w:type="continuationSeparator" w:id="0">
    <w:p w14:paraId="0E50399E" w14:textId="77777777" w:rsidR="00CF3448" w:rsidRDefault="00CF34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64A" w14:textId="77777777" w:rsidR="00CE6A6A" w:rsidRDefault="00CE6A6A">
    <w:pPr>
      <w:framePr w:wrap="auto" w:vAnchor="text" w:hAnchor="margin" w:xAlign="right" w:y="1"/>
    </w:pPr>
  </w:p>
  <w:p w14:paraId="4AC39D26" w14:textId="77777777" w:rsidR="00CE6A6A" w:rsidRDefault="00CE6A6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1150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57"/>
    <w:rsid w:val="00053461"/>
    <w:rsid w:val="00064A57"/>
    <w:rsid w:val="000761F4"/>
    <w:rsid w:val="00084739"/>
    <w:rsid w:val="000D2258"/>
    <w:rsid w:val="000F7629"/>
    <w:rsid w:val="000F7BC9"/>
    <w:rsid w:val="00117643"/>
    <w:rsid w:val="00133F5F"/>
    <w:rsid w:val="001E69ED"/>
    <w:rsid w:val="002824CB"/>
    <w:rsid w:val="002A38E1"/>
    <w:rsid w:val="002C65E6"/>
    <w:rsid w:val="00396930"/>
    <w:rsid w:val="003B2647"/>
    <w:rsid w:val="00461D61"/>
    <w:rsid w:val="004E6BFD"/>
    <w:rsid w:val="00567B66"/>
    <w:rsid w:val="00567E52"/>
    <w:rsid w:val="005710F8"/>
    <w:rsid w:val="0059652F"/>
    <w:rsid w:val="005A363B"/>
    <w:rsid w:val="005E3911"/>
    <w:rsid w:val="006573FA"/>
    <w:rsid w:val="00672077"/>
    <w:rsid w:val="00737C28"/>
    <w:rsid w:val="00752C3C"/>
    <w:rsid w:val="0075497C"/>
    <w:rsid w:val="007628ED"/>
    <w:rsid w:val="007A1D83"/>
    <w:rsid w:val="007F210F"/>
    <w:rsid w:val="007F4CC3"/>
    <w:rsid w:val="00842F58"/>
    <w:rsid w:val="008B4022"/>
    <w:rsid w:val="008C4C60"/>
    <w:rsid w:val="0091579A"/>
    <w:rsid w:val="00926CCA"/>
    <w:rsid w:val="00933A03"/>
    <w:rsid w:val="009C103B"/>
    <w:rsid w:val="00A2654B"/>
    <w:rsid w:val="00B13C57"/>
    <w:rsid w:val="00B56FF7"/>
    <w:rsid w:val="00BC36AA"/>
    <w:rsid w:val="00C05503"/>
    <w:rsid w:val="00C32D6E"/>
    <w:rsid w:val="00CD4CF6"/>
    <w:rsid w:val="00CE6A6A"/>
    <w:rsid w:val="00CF3448"/>
    <w:rsid w:val="00D827A1"/>
    <w:rsid w:val="00DF26F2"/>
    <w:rsid w:val="00E90B43"/>
    <w:rsid w:val="00ED2199"/>
    <w:rsid w:val="00ED42E0"/>
    <w:rsid w:val="00F42DFA"/>
    <w:rsid w:val="00F5400D"/>
    <w:rsid w:val="00FA4ED7"/>
    <w:rsid w:val="00FB0747"/>
    <w:rsid w:val="00FD2CF2"/>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3F72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iPriority="37"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val="en-GB" w:eastAsia="en-US"/>
    </w:rPr>
  </w:style>
  <w:style w:type="paragraph" w:styleId="Rubrik1">
    <w:name w:val="heading 1"/>
    <w:aliases w:val="Title"/>
    <w:basedOn w:val="Rubrik"/>
    <w:next w:val="Rubrik8"/>
    <w:link w:val="Rubrik1Char"/>
    <w:qFormat/>
    <w:rsid w:val="0070249D"/>
    <w:pPr>
      <w:keepNext/>
      <w:spacing w:before="0" w:after="0"/>
      <w:ind w:firstLine="0"/>
    </w:pPr>
    <w:rPr>
      <w:rFonts w:ascii="Times New Roman" w:hAnsi="Times New Roman"/>
      <w:b w:val="0"/>
      <w:bCs w:val="0"/>
      <w:sz w:val="44"/>
    </w:rPr>
  </w:style>
  <w:style w:type="paragraph" w:styleId="Rubrik2">
    <w:name w:val="heading 2"/>
    <w:aliases w:val="Head 1"/>
    <w:basedOn w:val="Rubrik"/>
    <w:next w:val="Brdtext"/>
    <w:link w:val="Rubrik2Char"/>
    <w:qFormat/>
    <w:rsid w:val="0070249D"/>
    <w:pPr>
      <w:keepNext/>
      <w:spacing w:before="360" w:after="0"/>
      <w:ind w:firstLine="0"/>
      <w:jc w:val="left"/>
      <w:outlineLvl w:val="1"/>
    </w:pPr>
    <w:rPr>
      <w:rFonts w:ascii="Times New Roman" w:hAnsi="Times New Roman"/>
      <w:bCs w:val="0"/>
      <w:sz w:val="28"/>
    </w:rPr>
  </w:style>
  <w:style w:type="paragraph" w:styleId="Rubrik3">
    <w:name w:val="heading 3"/>
    <w:aliases w:val="Head 2"/>
    <w:basedOn w:val="Normal"/>
    <w:next w:val="Normal"/>
    <w:qFormat/>
    <w:rsid w:val="00866094"/>
    <w:pPr>
      <w:keepNext/>
      <w:spacing w:before="240"/>
      <w:ind w:firstLine="0"/>
      <w:jc w:val="left"/>
      <w:outlineLvl w:val="2"/>
    </w:pPr>
    <w:rPr>
      <w:b/>
      <w:bCs/>
    </w:rPr>
  </w:style>
  <w:style w:type="paragraph" w:styleId="Rubrik4">
    <w:name w:val="heading 4"/>
    <w:aliases w:val="Head 3"/>
    <w:basedOn w:val="Rubrik"/>
    <w:next w:val="Brdtext"/>
    <w:link w:val="Rubrik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Rubrik8">
    <w:name w:val="heading 8"/>
    <w:aliases w:val="Authors"/>
    <w:basedOn w:val="Rubrik"/>
    <w:next w:val="Normal"/>
    <w:link w:val="Rubrik8Char"/>
    <w:uiPriority w:val="9"/>
    <w:unhideWhenUsed/>
    <w:qFormat/>
    <w:rsid w:val="000C4CBD"/>
    <w:pPr>
      <w:spacing w:before="360" w:after="0"/>
      <w:ind w:firstLine="0"/>
      <w:outlineLvl w:val="7"/>
    </w:pPr>
    <w:rPr>
      <w:rFonts w:ascii="Times New Roman" w:hAnsi="Times New Roman"/>
      <w:iCs/>
      <w:sz w:val="28"/>
      <w:szCs w:val="24"/>
    </w:rPr>
  </w:style>
  <w:style w:type="paragraph" w:styleId="Rubrik9">
    <w:name w:val="heading 9"/>
    <w:aliases w:val="Institution"/>
    <w:basedOn w:val="Rubrik"/>
    <w:next w:val="Normal"/>
    <w:link w:val="Rubrik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D176C"/>
    <w:pPr>
      <w:spacing w:before="240" w:after="60"/>
      <w:jc w:val="center"/>
      <w:outlineLvl w:val="0"/>
    </w:pPr>
    <w:rPr>
      <w:rFonts w:ascii="Calibri" w:hAnsi="Calibri"/>
      <w:b/>
      <w:bCs/>
      <w:kern w:val="28"/>
      <w:sz w:val="32"/>
      <w:szCs w:val="32"/>
    </w:rPr>
  </w:style>
  <w:style w:type="character" w:customStyle="1" w:styleId="RubrikChar">
    <w:name w:val="Rubrik Char"/>
    <w:link w:val="Rubrik"/>
    <w:uiPriority w:val="10"/>
    <w:rsid w:val="009D176C"/>
    <w:rPr>
      <w:rFonts w:ascii="Calibri" w:eastAsia="Times New Roman" w:hAnsi="Calibri" w:cs="Times New Roman"/>
      <w:b/>
      <w:bCs/>
      <w:kern w:val="28"/>
      <w:sz w:val="32"/>
      <w:szCs w:val="32"/>
      <w:lang w:val="en-GB" w:eastAsia="en-US"/>
    </w:rPr>
  </w:style>
  <w:style w:type="character" w:customStyle="1" w:styleId="Rubrik8Char">
    <w:name w:val="Rubrik 8 Char"/>
    <w:aliases w:val="Authors Char"/>
    <w:link w:val="Rubrik8"/>
    <w:uiPriority w:val="9"/>
    <w:rsid w:val="000C4CBD"/>
    <w:rPr>
      <w:rFonts w:eastAsia="Times New Roman" w:cs="Times New Roman"/>
      <w:b/>
      <w:bCs/>
      <w:iCs/>
      <w:kern w:val="28"/>
      <w:sz w:val="28"/>
      <w:szCs w:val="24"/>
      <w:lang w:val="en-GB" w:eastAsia="en-US"/>
    </w:rPr>
  </w:style>
  <w:style w:type="paragraph" w:styleId="Brdtext">
    <w:name w:val="Body Text"/>
    <w:aliases w:val="Bread 1"/>
    <w:basedOn w:val="Normal"/>
    <w:next w:val="Normal"/>
    <w:link w:val="BrdtextChar"/>
    <w:uiPriority w:val="99"/>
    <w:unhideWhenUsed/>
    <w:qFormat/>
    <w:rsid w:val="00FD5842"/>
    <w:pPr>
      <w:ind w:firstLine="0"/>
    </w:pPr>
  </w:style>
  <w:style w:type="character" w:customStyle="1" w:styleId="BrdtextChar">
    <w:name w:val="Brödtext Char"/>
    <w:aliases w:val="Bread 1 Char"/>
    <w:link w:val="Brdtext"/>
    <w:uiPriority w:val="99"/>
    <w:rsid w:val="00FD5842"/>
    <w:rPr>
      <w:sz w:val="26"/>
      <w:szCs w:val="28"/>
      <w:lang w:val="en-GB" w:eastAsia="en-US"/>
    </w:rPr>
  </w:style>
  <w:style w:type="character" w:customStyle="1" w:styleId="Rubrik4Char">
    <w:name w:val="Rubrik 4 Char"/>
    <w:aliases w:val="Head 3 Char"/>
    <w:link w:val="Rubrik4"/>
    <w:uiPriority w:val="9"/>
    <w:rsid w:val="00101D8A"/>
    <w:rPr>
      <w:rFonts w:eastAsia="Times New Roman" w:cs="Times New Roman"/>
      <w:b/>
      <w:i/>
      <w:kern w:val="28"/>
      <w:sz w:val="26"/>
      <w:szCs w:val="32"/>
      <w:lang w:val="en-GB" w:eastAsia="en-US"/>
    </w:rPr>
  </w:style>
  <w:style w:type="character" w:customStyle="1" w:styleId="Rubrik9Char">
    <w:name w:val="Rubrik 9 Char"/>
    <w:aliases w:val="Institution Char"/>
    <w:link w:val="Rubrik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rdtext"/>
    <w:qFormat/>
    <w:rsid w:val="00D40F30"/>
    <w:pPr>
      <w:spacing w:before="120" w:after="120"/>
      <w:ind w:left="425" w:right="425"/>
    </w:pPr>
    <w:rPr>
      <w:sz w:val="24"/>
      <w:szCs w:val="26"/>
    </w:rPr>
  </w:style>
  <w:style w:type="paragraph" w:customStyle="1" w:styleId="References">
    <w:name w:val="References"/>
    <w:basedOn w:val="Brdtext"/>
    <w:qFormat/>
    <w:rsid w:val="002A0C36"/>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Sidnummer">
    <w:name w:val="page number"/>
    <w:basedOn w:val="Standardstycketeckensnit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rdtext"/>
    <w:link w:val="HeadtableChar"/>
    <w:qFormat/>
    <w:rsid w:val="008B3B99"/>
    <w:pPr>
      <w:spacing w:before="120" w:after="120"/>
      <w:ind w:left="425" w:right="425" w:firstLine="0"/>
      <w:jc w:val="left"/>
    </w:pPr>
  </w:style>
  <w:style w:type="paragraph" w:customStyle="1" w:styleId="Abstract">
    <w:name w:val="Abstract"/>
    <w:basedOn w:val="Brdtext"/>
    <w:link w:val="AbstractChar"/>
    <w:rsid w:val="00084739"/>
    <w:rPr>
      <w:i/>
    </w:rPr>
  </w:style>
  <w:style w:type="character" w:customStyle="1" w:styleId="AbstractChar">
    <w:name w:val="Abstract Char"/>
    <w:basedOn w:val="BrdtextChar"/>
    <w:link w:val="Abstract"/>
    <w:rsid w:val="00084739"/>
    <w:rPr>
      <w:i/>
      <w:sz w:val="26"/>
      <w:szCs w:val="28"/>
      <w:lang w:val="en-GB" w:eastAsia="en-US"/>
    </w:rPr>
  </w:style>
  <w:style w:type="paragraph" w:styleId="Sidhuvud">
    <w:name w:val="header"/>
    <w:basedOn w:val="Normal"/>
    <w:link w:val="SidhuvudChar"/>
    <w:semiHidden/>
    <w:unhideWhenUsed/>
    <w:rsid w:val="007628ED"/>
    <w:pPr>
      <w:tabs>
        <w:tab w:val="center" w:pos="4536"/>
        <w:tab w:val="right" w:pos="9072"/>
      </w:tabs>
      <w:spacing w:line="240" w:lineRule="auto"/>
    </w:pPr>
  </w:style>
  <w:style w:type="character" w:customStyle="1" w:styleId="SidhuvudChar">
    <w:name w:val="Sidhuvud Char"/>
    <w:basedOn w:val="Standardstycketeckensnitt"/>
    <w:link w:val="Sidhuvud"/>
    <w:semiHidden/>
    <w:rsid w:val="007628ED"/>
    <w:rPr>
      <w:sz w:val="26"/>
      <w:szCs w:val="28"/>
      <w:lang w:val="en-GB" w:eastAsia="en-US"/>
    </w:rPr>
  </w:style>
  <w:style w:type="paragraph" w:styleId="Litteraturfrteckning">
    <w:name w:val="Bibliography"/>
    <w:basedOn w:val="Normal"/>
    <w:next w:val="Normal"/>
    <w:uiPriority w:val="37"/>
    <w:semiHidden/>
    <w:unhideWhenUsed/>
    <w:rsid w:val="006573FA"/>
  </w:style>
  <w:style w:type="character" w:customStyle="1" w:styleId="Rubrik1Char">
    <w:name w:val="Rubrik 1 Char"/>
    <w:aliases w:val="Title Char"/>
    <w:basedOn w:val="Standardstycketeckensnitt"/>
    <w:link w:val="Rubrik1"/>
    <w:rsid w:val="006573FA"/>
    <w:rPr>
      <w:kern w:val="28"/>
      <w:sz w:val="44"/>
      <w:szCs w:val="32"/>
      <w:lang w:val="en-GB" w:eastAsia="en-US"/>
    </w:rPr>
  </w:style>
  <w:style w:type="character" w:customStyle="1" w:styleId="Rubrik2Char">
    <w:name w:val="Rubrik 2 Char"/>
    <w:aliases w:val="Head 1 Char"/>
    <w:basedOn w:val="Standardstycketeckensnitt"/>
    <w:link w:val="Rubrik2"/>
    <w:rsid w:val="006573FA"/>
    <w:rPr>
      <w:b/>
      <w:kern w:val="28"/>
      <w:sz w:val="28"/>
      <w:szCs w:val="32"/>
      <w:lang w:val="en-GB" w:eastAsia="en-US"/>
    </w:rPr>
  </w:style>
  <w:style w:type="paragraph" w:styleId="Beskrivning">
    <w:name w:val="caption"/>
    <w:basedOn w:val="Normal"/>
    <w:next w:val="Normal"/>
    <w:unhideWhenUsed/>
    <w:rsid w:val="006573FA"/>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6125</Characters>
  <Application>Microsoft Office Word</Application>
  <DocSecurity>0</DocSecurity>
  <Lines>95</Lines>
  <Paragraphs>18</Paragraphs>
  <ScaleCrop>false</ScaleCrop>
  <HeadingPairs>
    <vt:vector size="6" baseType="variant">
      <vt:variant>
        <vt:lpstr>Rubrik</vt:lpstr>
      </vt:variant>
      <vt:variant>
        <vt:i4>1</vt:i4>
      </vt:variant>
      <vt:variant>
        <vt:lpstr>Titel</vt:lpstr>
      </vt:variant>
      <vt:variant>
        <vt:i4>1</vt:i4>
      </vt:variant>
      <vt:variant>
        <vt:lpstr>Headings</vt:lpstr>
      </vt:variant>
      <vt:variant>
        <vt:i4>9</vt:i4>
      </vt:variant>
    </vt:vector>
  </HeadingPairs>
  <TitlesOfParts>
    <vt:vector size="11" baseType="lpstr">
      <vt:lpstr>MADIF8 PROCEEDINGS STYLE TEMPLATE</vt:lpstr>
      <vt:lpstr>MES6 PROCEEDINGS STYLE TEMPLATE: TYPE YOUR TITLE HERE (THE STYLE IS CALLED HEADING 1)</vt:lpstr>
      <vt:lpstr>MADIF8 Proceedings Style Template: Type Your Title Here With First Letters Capit</vt:lpstr>
      <vt:lpstr>    The main section heading style is called Rubrik 2</vt:lpstr>
      <vt:lpstr>        This is style Rubrik 3, for one level of heading lower than Rubrik 2</vt:lpstr>
      <vt:lpstr>    Notes</vt:lpstr>
      <vt:lpstr>    References</vt:lpstr>
      <vt:lpstr>    Style Summary</vt:lpstr>
      <vt:lpstr>Rubrik 1: 22pt (centred)</vt:lpstr>
      <vt:lpstr>    Rubrik 2: 14 pt bold, spacing above 12pt</vt:lpstr>
      <vt:lpstr>        Rubrik 3: 13 pt bold, spacing above 12pt</vt:lpstr>
    </vt:vector>
  </TitlesOfParts>
  <Manager/>
  <Company/>
  <LinksUpToDate>false</LinksUpToDate>
  <CharactersWithSpaces>7093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
  <cp:keywords/>
  <dc:description/>
  <cp:lastModifiedBy/>
  <cp:revision>1</cp:revision>
  <dcterms:created xsi:type="dcterms:W3CDTF">2025-11-03T20:12:00Z</dcterms:created>
  <dcterms:modified xsi:type="dcterms:W3CDTF">2025-11-03T20:12:00Z</dcterms:modified>
  <cp:category/>
</cp:coreProperties>
</file>