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Developing a </w:t>
      </w:r>
      <w:r w:rsidDel="00000000" w:rsidR="00000000" w:rsidRPr="00000000">
        <w:rPr>
          <w:sz w:val="44"/>
          <w:szCs w:val="44"/>
          <w:rtl w:val="0"/>
        </w:rPr>
        <w:t xml:space="preserve">f</w:t>
      </w: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ramework for </w:t>
      </w:r>
      <w:r w:rsidDel="00000000" w:rsidR="00000000" w:rsidRPr="00000000">
        <w:rPr>
          <w:sz w:val="44"/>
          <w:szCs w:val="44"/>
          <w:rtl w:val="0"/>
        </w:rPr>
        <w:t xml:space="preserve">d</w:t>
      </w: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ifferentiating </w:t>
      </w:r>
      <w:r w:rsidDel="00000000" w:rsidR="00000000" w:rsidRPr="00000000">
        <w:rPr>
          <w:sz w:val="44"/>
          <w:szCs w:val="44"/>
          <w:rtl w:val="0"/>
        </w:rPr>
        <w:t xml:space="preserve">e</w:t>
      </w: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licitation and </w:t>
      </w:r>
      <w:r w:rsidDel="00000000" w:rsidR="00000000" w:rsidRPr="00000000">
        <w:rPr>
          <w:sz w:val="44"/>
          <w:szCs w:val="44"/>
          <w:rtl w:val="0"/>
        </w:rPr>
        <w:t xml:space="preserve">f</w:t>
      </w: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eedback</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Kristoffer Arvidsson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Department of Science and Mathematics Education (NMD), Umeå University </w:t>
        <w:br w:type="textWrapping"/>
        <w:t xml:space="preserve">Umeå Mathematics Education Research Centre (UMERC)</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presentation introduces a framework for differentiating between teacher utterances intended to elicit information about student knowledge and those intended to provide feedback that supports student learning needs (SLN).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19685039370086"/>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Feedback is a central component of formative assessment (Hattie &amp; Timperley, 2007). It has been shown to support student achievement, but research also reports variation in its effects, ranging from negative to very positive outcomes (Shute, 2008; Wisniewski et al., 2020). Despite these findings, research has not yet provided a clear understanding of the mechanisms that explain when and why feedback is effective. One underexplored mechanism concerns how teachers’ elicitation of student thinking contributes to their interpretation of SLN and influences the feedback they provide. This mechanism can, however, be difficult to capture in research. Distinguishing whether a teacher’s utterance is intended as an elicitation of information or as feedback towards learning can often be challenging. In some cases, the same utterance may involve elements of both. Currently, there is no analytic tool that distinguishes between teachers’ elicitation and feedback, making it more challenging to examine how teachers elicit information about students’ thinking and how this information forms the basis for the feedback that follows. </w:t>
      </w:r>
    </w:p>
    <w:p w:rsidR="00000000" w:rsidDel="00000000" w:rsidP="00000000" w:rsidRDefault="00000000" w:rsidRPr="00000000" w14:paraId="00000006">
      <w:pPr>
        <w:rPr/>
      </w:pPr>
      <w:r w:rsidDel="00000000" w:rsidR="00000000" w:rsidRPr="00000000">
        <w:rPr>
          <w:rtl w:val="0"/>
        </w:rPr>
        <w:t xml:space="preserve">The guiding research question is: How can a framework be formulated that can be used to distinguish between teacher utterances intended to elicit information about student knowledge and those intended to provide feedback that supports SLN? By developing such a framework, the study aims to clarify the processes involved in formative assessment and offers a basis for further research on how teachers’ practices can be analysed and supported in mathematics education.</w:t>
      </w:r>
    </w:p>
    <w:p w:rsidR="00000000" w:rsidDel="00000000" w:rsidP="00000000" w:rsidRDefault="00000000" w:rsidRPr="00000000" w14:paraId="00000007">
      <w:pPr>
        <w:pStyle w:val="Heading2"/>
        <w:rPr/>
      </w:pPr>
      <w:r w:rsidDel="00000000" w:rsidR="00000000" w:rsidRPr="00000000">
        <w:rPr>
          <w:rtl w:val="0"/>
        </w:rPr>
        <w:t xml:space="preserve">Method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data consisted of audio-recorded mathematics lessons in grades 6 to 9, transcribed into teacher–student dialogues and interviews with teachers. The analysis focused on individual teacher–student interactions, while whole-class discussions and non-mathematical talk were excluded. Only teacher utterances were coded, focusing on intentions rather than functions, since the study seeks to examine what teachers aim to achieve rather than how students interpret their words.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development of the framework followed an iterative process. Initial distinctions between elicitation and feedback were informed by existing models of formative assessment and feedback (e.g., Hattie &amp; Timperley, 2007; Shaughnessy, 2020) as well as observations of the classroom data. These preliminary categories were applied to the transcripts, discussed with supervisors, and revised through several cycles until definitions and indicators became sufficiently clear. The framework was also tested through interviews where teachers commented on their own utterances and described their intentions.  </w:t>
      </w:r>
    </w:p>
    <w:p w:rsidR="00000000" w:rsidDel="00000000" w:rsidP="00000000" w:rsidRDefault="00000000" w:rsidRPr="00000000" w14:paraId="0000000A">
      <w:pPr>
        <w:pStyle w:val="Heading2"/>
        <w:rPr/>
      </w:pPr>
      <w:r w:rsidDel="00000000" w:rsidR="00000000" w:rsidRPr="00000000">
        <w:rPr>
          <w:rtl w:val="0"/>
        </w:rPr>
        <w:t xml:space="preserve">Framework</w:t>
      </w:r>
    </w:p>
    <w:p w:rsidR="00000000" w:rsidDel="00000000" w:rsidP="00000000" w:rsidRDefault="00000000" w:rsidRPr="00000000" w14:paraId="0000000B">
      <w:pPr>
        <w:ind w:firstLine="0"/>
        <w:rPr/>
      </w:pPr>
      <w:r w:rsidDel="00000000" w:rsidR="00000000" w:rsidRPr="00000000">
        <w:rPr>
          <w:rtl w:val="0"/>
        </w:rPr>
        <w:t xml:space="preserve">The framework consists of two main categories of teacher utterances: elicitation and feedback. Within elicitation, four subcategories were identified: (E1) prior reasoning, (E2) student perceived learning need, (E3) specific knowledge needed to continue, and </w:t>
        <w:br w:type="textWrapping"/>
        <w:t xml:space="preserve">(E4) ideas on how to proceed. Feedback was also divided into three subcategories: </w:t>
        <w:br w:type="textWrapping"/>
        <w:t xml:space="preserve">(F1) explicit feedback, which entails suggestions of strategies or instructions, </w:t>
        <w:br w:type="textWrapping"/>
        <w:t xml:space="preserve">(F2) implicit feedback, which guides students towards learning and/or problem solving, and (F3) evaluation of students’ work or ideas. </w:t>
      </w:r>
    </w:p>
    <w:p w:rsidR="00000000" w:rsidDel="00000000" w:rsidP="00000000" w:rsidRDefault="00000000" w:rsidRPr="00000000" w14:paraId="0000000C">
      <w:pPr>
        <w:pStyle w:val="Heading2"/>
        <w:rPr/>
      </w:pPr>
      <w:r w:rsidDel="00000000" w:rsidR="00000000" w:rsidRPr="00000000">
        <w:rPr>
          <w:rtl w:val="0"/>
        </w:rPr>
        <w:t xml:space="preserve">Conclusion</w:t>
      </w:r>
    </w:p>
    <w:p w:rsidR="00000000" w:rsidDel="00000000" w:rsidP="00000000" w:rsidRDefault="00000000" w:rsidRPr="00000000" w14:paraId="0000000D">
      <w:pPr>
        <w:ind w:firstLine="0"/>
        <w:rPr/>
      </w:pPr>
      <w:r w:rsidDel="00000000" w:rsidR="00000000" w:rsidRPr="00000000">
        <w:rPr>
          <w:rtl w:val="0"/>
        </w:rPr>
        <w:t xml:space="preserve">Some utterances could be categorised without difficulty, while others remained problematic. Certain questions appeared to serve both elicitation and feedback at the same time, which made it challenging to decide how to code them. In the analysis of ambiguous cases, it became clear that context was important. This refers to aspects such as the whole sequence of the interaction, the point at which the utterance occurs, and the character of the task that the student was working on.</w:t>
      </w:r>
    </w:p>
    <w:p w:rsidR="00000000" w:rsidDel="00000000" w:rsidP="00000000" w:rsidRDefault="00000000" w:rsidRPr="00000000" w14:paraId="0000000E">
      <w:pPr>
        <w:rPr/>
      </w:pPr>
      <w:r w:rsidDel="00000000" w:rsidR="00000000" w:rsidRPr="00000000">
        <w:rPr>
          <w:rtl w:val="0"/>
        </w:rPr>
        <w:t xml:space="preserve">During the presentation, the framework will be described in more detail and demonstrated with examples from classroom transcripts, including cases where utterances seem to involve both elicitation and feedback. While the framework cannot capture teachers’ intentions with complete certainty, it can offer a close approximation that provides a useful basis for studying how the initial stages of formative assessment are carried out in mathematics classrooms.</w:t>
      </w:r>
    </w:p>
    <w:p w:rsidR="00000000" w:rsidDel="00000000" w:rsidP="00000000" w:rsidRDefault="00000000" w:rsidRPr="00000000" w14:paraId="0000000F">
      <w:pPr>
        <w:pStyle w:val="Heading2"/>
        <w:rPr/>
      </w:pPr>
      <w:r w:rsidDel="00000000" w:rsidR="00000000" w:rsidRPr="00000000">
        <w:rPr>
          <w:rtl w:val="0"/>
        </w:rPr>
        <w:t xml:space="preserve">References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Hattie, J., &amp; Timperley, H. (2007). The Power of Feedback.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Review of Educational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77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81–112. https://doi.org/10/bf4d36</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Shute, V. J. (2008). Focus on Formative Feedback.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Review of Educational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78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153–189. https://doi.org/10/bd5cgq</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Wisniewski, B., Zierer, K., &amp; Hattie, J. (2020). The Power of Feedback Revisited: A Meta-Analysis of Educational Feedback Research.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Frontiers in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3087. https://doi.org/10.3389/fpsyg.2019.03087</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footerReference r:id="rId9"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right"/>
      <w:rPr/>
    </w:pPr>
    <w:r w:rsidDel="00000000" w:rsidR="00000000" w:rsidRPr="00000000">
      <w:rPr>
        <w:rtl w:val="0"/>
      </w:rPr>
    </w:r>
  </w:p>
  <w:p w:rsidR="00000000" w:rsidDel="00000000" w:rsidP="00000000" w:rsidRDefault="00000000" w:rsidRPr="00000000" w14:paraId="00000015">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sz w:val="28"/>
      <w:szCs w:val="28"/>
    </w:rPr>
  </w:style>
  <w:style w:type="paragraph" w:styleId="Heading3">
    <w:name w:val="heading 3"/>
    <w:basedOn w:val="Normal"/>
    <w:next w:val="Normal"/>
    <w:pPr>
      <w:keepNext w:val="1"/>
      <w:spacing w:before="240" w:lineRule="auto"/>
      <w:ind w:firstLine="0"/>
      <w:jc w:val="left"/>
    </w:pPr>
    <w:rPr>
      <w:b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i w:val="1"/>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semiHidden w:val="1"/>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semiHidden w:val="1"/>
    <w:rsid w:val="007628ED"/>
    <w:rPr>
      <w:sz w:val="26"/>
      <w:szCs w:val="28"/>
      <w:lang w:eastAsia="en-US" w:val="en-GB"/>
    </w:rPr>
  </w:style>
  <w:style w:type="paragraph" w:styleId="p1" w:customStyle="1">
    <w:name w:val="p1"/>
    <w:basedOn w:val="Normal"/>
    <w:rsid w:val="004F2AB3"/>
    <w:pPr>
      <w:autoSpaceDE w:val="1"/>
      <w:autoSpaceDN w:val="1"/>
      <w:spacing w:after="100" w:afterAutospacing="1" w:before="100" w:beforeAutospacing="1" w:line="240" w:lineRule="auto"/>
      <w:ind w:firstLine="0"/>
      <w:jc w:val="left"/>
    </w:pPr>
    <w:rPr>
      <w:sz w:val="24"/>
      <w:szCs w:val="24"/>
      <w:lang w:eastAsia="sv-SE" w:val="sv-SE"/>
    </w:rPr>
  </w:style>
  <w:style w:type="paragraph" w:styleId="Liststycke">
    <w:name w:val="List Paragraph"/>
    <w:basedOn w:val="Normal"/>
    <w:rsid w:val="00F55FEB"/>
    <w:pPr>
      <w:ind w:left="720"/>
      <w:contextualSpacing w:val="1"/>
    </w:pPr>
  </w:style>
  <w:style w:type="paragraph" w:styleId="Litteraturfrteckning">
    <w:name w:val="Bibliography"/>
    <w:basedOn w:val="Normal"/>
    <w:next w:val="Normal"/>
    <w:unhideWhenUsed w:val="1"/>
    <w:rsid w:val="001638E8"/>
    <w:pPr>
      <w:spacing w:line="480" w:lineRule="atLeast"/>
      <w:ind w:left="720" w:hanging="7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zQpvs+kHcaIA3ppwIZfxYqVjQ==">CgMxLjA4AHIhMVJWQ2ZjcDJuNkhUNUtnQm9SOTI4NURGZXdvQm9DQjRj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2025-09-15T12:04:00Z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id="t8NTPHrA"/&gt;&lt;style id="http://www.zotero.org/styles/apa" locale="en-GB" hasBibliography="1" bibliographyStyleHasBeenSet="1"/&gt;&lt;prefs&gt;&lt;pref name="fieldType" value="Field"/&gt;&lt;/prefs&gt;&lt;/data&gt;</vt:lpwstr>
  </property>
</Properties>
</file>