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Teacher perspectives on ”Thinking Classrooms”: </w:t>
        <w:br w:type="textWrapping"/>
        <w:t xml:space="preserve">a longitudinal case study in Norwegian upper secondary mathematics education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Alexander J. V. Selling &amp; Guri A. Nortvedt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University of Oslo </w:t>
      </w:r>
    </w:p>
    <w:p w:rsidR="00000000" w:rsidDel="00000000" w:rsidP="00000000" w:rsidRDefault="00000000" w:rsidRPr="00000000" w14:paraId="00000004">
      <w:pPr>
        <w:pStyle w:val="Heading2"/>
        <w:rPr/>
      </w:pPr>
      <w:r w:rsidDel="00000000" w:rsidR="00000000" w:rsidRPr="00000000">
        <w:rPr>
          <w:rtl w:val="0"/>
        </w:rPr>
        <w:t xml:space="preserve">Introduction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this ongoing study, we explore Norwegian upper secondary mathematics teachers’ perspectives on teaching in what is referred to as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Thinking Classrooms</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At a surface level, this method comprises students’ working jointly on vertical surfaces, to solve mathematical problems. The teachers’ role in such classrooms is to act as a facilitator, providing necessary prompts or questions if the problem solving comes to a standstill, and at the end of the session, to consolidate the learning through a joint discussion or debrief (Liljedahl, 2016). This teaching method has become more prominent in Norwegian classrooms, aided by a strong support from different municipalities and courses arranged by the Norwegian Centre for Mathematics Education. Similar trends can also be found internationally. </w:t>
      </w:r>
    </w:p>
    <w:p w:rsidR="00000000" w:rsidDel="00000000" w:rsidP="00000000" w:rsidRDefault="00000000" w:rsidRPr="00000000" w14:paraId="00000006">
      <w:pPr>
        <w:rPr/>
      </w:pPr>
      <w:r w:rsidDel="00000000" w:rsidR="00000000" w:rsidRPr="00000000">
        <w:rPr>
          <w:rtl w:val="0"/>
        </w:rPr>
        <w:t xml:space="preserve">Despite increasing interest, there is still a lack of research from classrooms utilizing the method in secondary education and on teacher perspectives on the implementation of ”Thinking classrooms”. Therefore, we aim to investigate Norwegian upper secondary mathematics teachers’ beliefs and narratives (cf. ‘perspectives’ in Xenofontos, 2019) on implementing ”Thinking classrooms”, working in a school where this method has been adopted as a primary method of mathematics teaching across all classrooms.</w:t>
      </w:r>
    </w:p>
    <w:p w:rsidR="00000000" w:rsidDel="00000000" w:rsidP="00000000" w:rsidRDefault="00000000" w:rsidRPr="00000000" w14:paraId="00000007">
      <w:pPr>
        <w:pStyle w:val="Heading2"/>
        <w:rPr/>
      </w:pPr>
      <w:r w:rsidDel="00000000" w:rsidR="00000000" w:rsidRPr="00000000">
        <w:rPr>
          <w:rtl w:val="0"/>
        </w:rPr>
        <w:t xml:space="preserve">Theoretical perspectives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Thinking classrooms” are focused on students working in groups of three to solve problems on vertical non-permanent surfaces, and comprises a set of teaching practices meant to enhance learning, comprising standards for what tasks are utilized and how they are given, how questions are answered and hints are provided during task work, and how to consolidate learning (Liljedahl, 2016).</w:t>
      </w:r>
    </w:p>
    <w:p w:rsidR="00000000" w:rsidDel="00000000" w:rsidP="00000000" w:rsidRDefault="00000000" w:rsidRPr="00000000" w14:paraId="00000009">
      <w:pPr>
        <w:rPr/>
      </w:pPr>
      <w:r w:rsidDel="00000000" w:rsidR="00000000" w:rsidRPr="00000000">
        <w:rPr>
          <w:rtl w:val="0"/>
        </w:rPr>
        <w:t xml:space="preserve">As is the case with any sort of reform or introduction of a new teaching practice, this may entail new ways of teaching, thinking, and planning for teachers, and sometimes, a change in the teachers’ role in the classroom. Previous research has found that such changes can be challenging for teachers, and that there is a complex relationship between teachers’ beliefs and changes in teaching practices (Cobb et al., 1990). Such changes can be challenging, particularly in situations where the teachers’ identity shifts from a provider of learning, into a facilitator. Similarly, tensions between introducing a new set of practices, as per ”Thinking classrooms”, without forfeiting practices that have previously worked well can become challenging and thus lead to a strained relationship with the newly adopted teaching method. </w:t>
      </w:r>
    </w:p>
    <w:p w:rsidR="00000000" w:rsidDel="00000000" w:rsidP="00000000" w:rsidRDefault="00000000" w:rsidRPr="00000000" w14:paraId="0000000A">
      <w:pPr>
        <w:pStyle w:val="Heading2"/>
        <w:rPr/>
      </w:pPr>
      <w:r w:rsidDel="00000000" w:rsidR="00000000" w:rsidRPr="00000000">
        <w:rPr>
          <w:rtl w:val="0"/>
        </w:rPr>
        <w:t xml:space="preserve">Methods</w:t>
      </w:r>
    </w:p>
    <w:p w:rsidR="00000000" w:rsidDel="00000000" w:rsidP="00000000" w:rsidRDefault="00000000" w:rsidRPr="00000000" w14:paraId="0000000B">
      <w:pPr>
        <w:ind w:firstLine="0"/>
        <w:rPr/>
      </w:pPr>
      <w:r w:rsidDel="00000000" w:rsidR="00000000" w:rsidRPr="00000000">
        <w:rPr>
          <w:rtl w:val="0"/>
        </w:rPr>
        <w:t xml:space="preserve">This study is part of the overarching ”Problem solving and inquiry with vertical boards” project at the University of Oslo, which collects video, interview, and survey data from secondary schools. In this study, we utilize a longitudinal case design, where teachers are interviewed three times across three years, utilizing semi-structured interviews asking the teachers about their perspectives on mathematics, mathematics education, ”Thinking classrooms”, and various related practices such as assessment, differentiation, and tasks. The data is analyzed thematically, using inductive and deductive coding. The presentation reports on two cases.</w:t>
      </w:r>
    </w:p>
    <w:p w:rsidR="00000000" w:rsidDel="00000000" w:rsidP="00000000" w:rsidRDefault="00000000" w:rsidRPr="00000000" w14:paraId="0000000C">
      <w:pPr>
        <w:pStyle w:val="Heading2"/>
        <w:rPr/>
      </w:pPr>
      <w:r w:rsidDel="00000000" w:rsidR="00000000" w:rsidRPr="00000000">
        <w:rPr>
          <w:rtl w:val="0"/>
        </w:rPr>
        <w:t xml:space="preserve">Preliminary results and discussion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Both teachers have previous experiences implementing inquiry-based teaching approaches, and thus, are positive toward the adopted method from the start. However, in the first year they feel restricted by the many practices detailed in Liljedahl’s approach, expressing some worry about not being able to utilize other practices, practices they have used prior to adopting the new method, and having less “control” over what happens in the classroom. Over time, they slowly adapt their teaching approaches to align more to the upper secondary mathematics curriculum, their students, and their own teaching preferences, indicating a greater feeling of agency in applying the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Thinking classroom” method. They also express a greater sense of control over the course of the years, as they feel more comfortable relying on their observations of the groups and vertical surfaces as a means of both providing insights into students’ learning processes and as a ground for providing feedback in line with assessment for learning practices, showcasing some affordances with the new teaching method. </w:t>
      </w:r>
    </w:p>
    <w:p w:rsidR="00000000" w:rsidDel="00000000" w:rsidP="00000000" w:rsidRDefault="00000000" w:rsidRPr="00000000" w14:paraId="0000000E">
      <w:pPr>
        <w:rPr/>
      </w:pPr>
      <w:r w:rsidDel="00000000" w:rsidR="00000000" w:rsidRPr="00000000">
        <w:rPr>
          <w:rtl w:val="0"/>
        </w:rPr>
        <w:t xml:space="preserve">Despite more experience with the method between interviews, the teachers expressed some concerns in terms of being able to differentiate teaching sufficiently for students with lower achievement, as they might feel less inclined or have less opportunities to participate in joint problem-solving. However, they are both confident the joint problem-solving is beneficial even to these students.</w:t>
      </w:r>
    </w:p>
    <w:p w:rsidR="00000000" w:rsidDel="00000000" w:rsidP="00000000" w:rsidRDefault="00000000" w:rsidRPr="00000000" w14:paraId="0000000F">
      <w:pPr>
        <w:pStyle w:val="Heading2"/>
        <w:rPr/>
      </w:pPr>
      <w:r w:rsidDel="00000000" w:rsidR="00000000" w:rsidRPr="00000000">
        <w:rPr>
          <w:rtl w:val="0"/>
        </w:rPr>
        <w:t xml:space="preserve">References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Cobb, P., Wood, T., &amp; Yackel, E. (1990). Chapter 9: Classrooms as learning environments for teachers and researchers.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for Research in Mathematics Education. Monograph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125</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210.</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Liljedahl, P. (2016). Building thinking classrooms: Conditions for problem-solving.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Posing and solving mathematical problems: Advances and new perspectives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361-386). Cham: Springer International Publishing.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Xenofontos, C. (2019). Primary teachers' perspectives on mathematics during curriculum reform: A collective case study from Cyprus.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Issues in Educational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979</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996.</w:t>
      </w:r>
    </w:p>
    <w:sectPr>
      <w:headerReference r:id="rId7" w:type="default"/>
      <w:footerReference r:id="rId8" w:type="default"/>
      <w:footerReference r:id="rId9"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jc w:val="right"/>
      <w:rPr/>
    </w:pPr>
    <w:r w:rsidDel="00000000" w:rsidR="00000000" w:rsidRPr="00000000">
      <w:rPr>
        <w:rtl w:val="0"/>
      </w:rPr>
    </w:r>
  </w:p>
  <w:p w:rsidR="00000000" w:rsidDel="00000000" w:rsidP="00000000" w:rsidRDefault="00000000" w:rsidRPr="00000000" w14:paraId="00000014">
    <w:pPr>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ind w:firstLine="0"/>
      <w:jc w:val="center"/>
    </w:pPr>
    <w:rPr>
      <w:rFonts w:ascii="Times New Roman" w:cs="Times New Roman" w:eastAsia="Times New Roman" w:hAnsi="Times New Roman"/>
      <w:b w:val="0"/>
      <w:sz w:val="44"/>
      <w:szCs w:val="44"/>
    </w:rPr>
  </w:style>
  <w:style w:type="paragraph" w:styleId="Heading2">
    <w:name w:val="heading 2"/>
    <w:basedOn w:val="Normal"/>
    <w:next w:val="Normal"/>
    <w:pPr>
      <w:keepNext w:val="1"/>
      <w:spacing w:after="0" w:before="360" w:lineRule="auto"/>
      <w:ind w:firstLine="0"/>
      <w:jc w:val="left"/>
    </w:pPr>
    <w:rPr>
      <w:rFonts w:ascii="Times New Roman" w:cs="Times New Roman" w:eastAsia="Times New Roman" w:hAnsi="Times New Roman"/>
      <w:b w:val="1"/>
      <w:sz w:val="28"/>
      <w:szCs w:val="28"/>
    </w:rPr>
  </w:style>
  <w:style w:type="paragraph" w:styleId="Heading3">
    <w:name w:val="heading 3"/>
    <w:basedOn w:val="Normal"/>
    <w:next w:val="Normal"/>
    <w:pPr>
      <w:keepNext w:val="1"/>
      <w:spacing w:before="240" w:lineRule="auto"/>
      <w:ind w:firstLine="0"/>
      <w:jc w:val="left"/>
    </w:pPr>
    <w:rPr>
      <w:b w:val="1"/>
    </w:rPr>
  </w:style>
  <w:style w:type="paragraph" w:styleId="Heading4">
    <w:name w:val="heading 4"/>
    <w:basedOn w:val="Normal"/>
    <w:next w:val="Normal"/>
    <w:pPr>
      <w:keepNext w:val="1"/>
      <w:spacing w:after="0" w:before="120" w:lineRule="auto"/>
      <w:ind w:firstLine="0"/>
      <w:jc w:val="left"/>
    </w:pPr>
    <w:rPr>
      <w:rFonts w:ascii="Times New Roman" w:cs="Times New Roman" w:eastAsia="Times New Roman" w:hAnsi="Times New Roman"/>
      <w:b w:val="1"/>
      <w:i w:val="1"/>
      <w:sz w:val="26"/>
      <w:szCs w:val="2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Heading8">
    <w:name w:val="heading 8"/>
    <w:aliases w:val="Authors"/>
    <w:basedOn w:val="Title"/>
    <w:next w:val="Normal"/>
    <w:link w:val="Heading8Char"/>
    <w:uiPriority w:val="9"/>
    <w:unhideWhenUsed w:val="1"/>
    <w:qFormat w:val="1"/>
    <w:rsid w:val="000C4CBD"/>
    <w:pPr>
      <w:spacing w:after="0" w:before="360"/>
      <w:ind w:firstLine="0"/>
      <w:outlineLvl w:val="7"/>
    </w:pPr>
    <w:rPr>
      <w:rFonts w:ascii="Times New Roman" w:hAnsi="Times New Roman"/>
      <w:iCs w:val="1"/>
      <w:sz w:val="28"/>
      <w:szCs w:val="24"/>
    </w:rPr>
  </w:style>
  <w:style w:type="paragraph" w:styleId="Heading9">
    <w:name w:val="heading 9"/>
    <w:aliases w:val="Institution"/>
    <w:basedOn w:val="Title"/>
    <w:next w:val="Normal"/>
    <w:link w:val="Heading9Char"/>
    <w:uiPriority w:val="9"/>
    <w:unhideWhenUsed w:val="1"/>
    <w:qFormat w:val="1"/>
    <w:rsid w:val="000C4CBD"/>
    <w:pPr>
      <w:spacing w:after="720" w:before="0"/>
      <w:ind w:firstLine="0"/>
      <w:outlineLvl w:val="8"/>
    </w:pPr>
    <w:rPr>
      <w:rFonts w:ascii="Times New Roman" w:hAnsi="Times New Roman"/>
      <w:b w:val="0"/>
      <w:sz w:val="28"/>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link w:val="Title"/>
    <w:uiPriority w:val="10"/>
    <w:rsid w:val="009D176C"/>
    <w:rPr>
      <w:rFonts w:ascii="Calibri" w:cs="Times New Roman" w:eastAsia="Times New Roman" w:hAnsi="Calibri"/>
      <w:b w:val="1"/>
      <w:bCs w:val="1"/>
      <w:kern w:val="28"/>
      <w:sz w:val="32"/>
      <w:szCs w:val="32"/>
      <w:lang w:eastAsia="en-US" w:val="en-GB"/>
    </w:rPr>
  </w:style>
  <w:style w:type="character" w:styleId="Heading8Char" w:customStyle="1">
    <w:name w:val="Heading 8 Char"/>
    <w:aliases w:val="Authors Char"/>
    <w:link w:val="Heading8"/>
    <w:uiPriority w:val="9"/>
    <w:rsid w:val="000C4CBD"/>
    <w:rPr>
      <w:rFonts w:cs="Times New Roman" w:eastAsia="Times New Roman"/>
      <w:b w:val="1"/>
      <w:bCs w:val="1"/>
      <w:iCs w:val="1"/>
      <w:kern w:val="28"/>
      <w:sz w:val="28"/>
      <w:szCs w:val="24"/>
      <w:lang w:eastAsia="en-US" w:val="en-GB"/>
    </w:rPr>
  </w:style>
  <w:style w:type="paragraph" w:styleId="BodyText">
    <w:name w:val="Body Text"/>
    <w:aliases w:val="Bread 1"/>
    <w:basedOn w:val="Normal"/>
    <w:next w:val="Normal"/>
    <w:link w:val="BodyTextChar"/>
    <w:uiPriority w:val="99"/>
    <w:unhideWhenUsed w:val="1"/>
    <w:qFormat w:val="1"/>
    <w:rsid w:val="00FD5842"/>
    <w:pPr>
      <w:ind w:firstLine="0"/>
    </w:pPr>
  </w:style>
  <w:style w:type="character" w:styleId="BodyTextChar" w:customStyle="1">
    <w:name w:val="Body Text Char"/>
    <w:aliases w:val="Bread 1 Char"/>
    <w:link w:val="BodyText"/>
    <w:uiPriority w:val="99"/>
    <w:rsid w:val="00FD5842"/>
    <w:rPr>
      <w:sz w:val="26"/>
      <w:szCs w:val="28"/>
      <w:lang w:eastAsia="en-US" w:val="en-GB"/>
    </w:rPr>
  </w:style>
  <w:style w:type="character" w:styleId="Heading4Char" w:customStyle="1">
    <w:name w:val="Heading 4 Char"/>
    <w:aliases w:val="Head 3 Char"/>
    <w:link w:val="Heading4"/>
    <w:uiPriority w:val="9"/>
    <w:rsid w:val="00101D8A"/>
    <w:rPr>
      <w:rFonts w:cs="Times New Roman" w:eastAsia="Times New Roman"/>
      <w:b w:val="1"/>
      <w:i w:val="1"/>
      <w:kern w:val="28"/>
      <w:sz w:val="26"/>
      <w:szCs w:val="32"/>
      <w:lang w:eastAsia="en-US" w:val="en-GB"/>
    </w:rPr>
  </w:style>
  <w:style w:type="character" w:styleId="Heading9Char" w:customStyle="1">
    <w:name w:val="Heading 9 Char"/>
    <w:aliases w:val="Institution Char"/>
    <w:link w:val="Heading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odyText"/>
    <w:qFormat w:val="1"/>
    <w:rsid w:val="00D40F30"/>
    <w:pPr>
      <w:spacing w:after="120" w:before="120"/>
      <w:ind w:left="425" w:right="425"/>
    </w:pPr>
    <w:rPr>
      <w:sz w:val="24"/>
      <w:szCs w:val="26"/>
    </w:rPr>
  </w:style>
  <w:style w:type="paragraph" w:styleId="References" w:customStyle="1">
    <w:name w:val="References"/>
    <w:basedOn w:val="BodyText"/>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Footer">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szCs w:val="26"/>
    </w:rPr>
  </w:style>
  <w:style w:type="character" w:styleId="PageNumber">
    <w:name w:val="page number"/>
    <w:basedOn w:val="DefaultParagraphFon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odyText"/>
    <w:link w:val="HeadtableChar"/>
    <w:qFormat w:val="1"/>
    <w:rsid w:val="008B3B99"/>
    <w:pPr>
      <w:spacing w:after="120" w:before="120"/>
      <w:ind w:left="425" w:right="425" w:firstLine="0"/>
      <w:jc w:val="left"/>
    </w:pPr>
  </w:style>
  <w:style w:type="paragraph" w:styleId="Abstract" w:customStyle="1">
    <w:name w:val="Abstract"/>
    <w:basedOn w:val="BodyText"/>
    <w:link w:val="AbstractChar"/>
    <w:rsid w:val="00084739"/>
    <w:rPr>
      <w:i w:val="1"/>
    </w:rPr>
  </w:style>
  <w:style w:type="character" w:styleId="AbstractChar" w:customStyle="1">
    <w:name w:val="Abstract Char"/>
    <w:basedOn w:val="BodyTextChar"/>
    <w:link w:val="Abstract"/>
    <w:rsid w:val="00084739"/>
    <w:rPr>
      <w:i w:val="1"/>
      <w:sz w:val="26"/>
      <w:szCs w:val="28"/>
      <w:lang w:eastAsia="en-US" w:val="en-GB"/>
    </w:rPr>
  </w:style>
  <w:style w:type="paragraph" w:styleId="Header">
    <w:name w:val="header"/>
    <w:basedOn w:val="Normal"/>
    <w:link w:val="HeaderChar"/>
    <w:semiHidden w:val="1"/>
    <w:unhideWhenUsed w:val="1"/>
    <w:rsid w:val="007628ED"/>
    <w:pPr>
      <w:tabs>
        <w:tab w:val="center" w:pos="4536"/>
        <w:tab w:val="right" w:pos="9072"/>
      </w:tabs>
      <w:spacing w:line="240" w:lineRule="auto"/>
    </w:pPr>
  </w:style>
  <w:style w:type="character" w:styleId="HeaderChar" w:customStyle="1">
    <w:name w:val="Header Char"/>
    <w:basedOn w:val="DefaultParagraphFont"/>
    <w:link w:val="Header"/>
    <w:semiHidden w:val="1"/>
    <w:rsid w:val="007628ED"/>
    <w:rPr>
      <w:sz w:val="26"/>
      <w:szCs w:val="28"/>
      <w:lang w:eastAsia="en-US" w:val="en-GB"/>
    </w:rPr>
  </w:style>
  <w:style w:type="character" w:styleId="CommentReference">
    <w:name w:val="annotation reference"/>
    <w:basedOn w:val="DefaultParagraphFont"/>
    <w:semiHidden w:val="1"/>
    <w:unhideWhenUsed w:val="1"/>
    <w:rsid w:val="00C72EA2"/>
    <w:rPr>
      <w:sz w:val="16"/>
      <w:szCs w:val="16"/>
    </w:rPr>
  </w:style>
  <w:style w:type="paragraph" w:styleId="CommentText">
    <w:name w:val="annotation text"/>
    <w:basedOn w:val="Normal"/>
    <w:link w:val="CommentTextChar"/>
    <w:unhideWhenUsed w:val="1"/>
    <w:rsid w:val="00C72EA2"/>
    <w:pPr>
      <w:spacing w:line="240" w:lineRule="auto"/>
    </w:pPr>
    <w:rPr>
      <w:sz w:val="20"/>
      <w:szCs w:val="20"/>
    </w:rPr>
  </w:style>
  <w:style w:type="character" w:styleId="CommentTextChar" w:customStyle="1">
    <w:name w:val="Comment Text Char"/>
    <w:basedOn w:val="DefaultParagraphFont"/>
    <w:link w:val="CommentText"/>
    <w:rsid w:val="00C72EA2"/>
    <w:rPr>
      <w:lang w:eastAsia="en-US" w:val="en-GB"/>
    </w:rPr>
  </w:style>
  <w:style w:type="paragraph" w:styleId="CommentSubject">
    <w:name w:val="annotation subject"/>
    <w:basedOn w:val="CommentText"/>
    <w:next w:val="CommentText"/>
    <w:link w:val="CommentSubjectChar"/>
    <w:semiHidden w:val="1"/>
    <w:unhideWhenUsed w:val="1"/>
    <w:rsid w:val="00C72EA2"/>
    <w:rPr>
      <w:b w:val="1"/>
      <w:bCs w:val="1"/>
    </w:rPr>
  </w:style>
  <w:style w:type="character" w:styleId="CommentSubjectChar" w:customStyle="1">
    <w:name w:val="Comment Subject Char"/>
    <w:basedOn w:val="CommentTextChar"/>
    <w:link w:val="CommentSubject"/>
    <w:semiHidden w:val="1"/>
    <w:rsid w:val="00C72EA2"/>
    <w:rPr>
      <w:b w:val="1"/>
      <w:bCs w:val="1"/>
      <w:lang w:eastAsia="en-US" w:val="en-GB"/>
    </w:rPr>
  </w:style>
  <w:style w:type="paragraph" w:styleId="Revision">
    <w:name w:val="Revision"/>
    <w:hidden w:val="1"/>
    <w:semiHidden w:val="1"/>
    <w:rsid w:val="00E264D0"/>
    <w:rPr>
      <w:sz w:val="26"/>
      <w:szCs w:val="28"/>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FzQiNyZePrqadHcbfzlkW5TMKw==">CgMxLjA4AHIhMW9zcHIwRU44UDFFaGcwNkR0ZC12S1h6LVRhMDZibFE2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2025-09-15T12:35:00Z</dcterms:created>
</cp:coreProperties>
</file>