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Exploring teacher student interaction to support reasoning in a Thinking Classroom context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Maria Lundkvist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Luleå University of Technology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presentation reports on a study examining teachers’ use of questions to facilitate reasoning when interacting with students working in groups according to the teaching approach Thinking Classroom. Teacher-student interaction is recognised as a central component of effective mathematics teaching with opportunities to access students’ reasoning, making visible the ways in which learners interpret and construct mathematical ideas (Walshaw &amp; Anthony, 2008). Classroom interaction is also associated with students’ cognitive development (Zhang &amp; Cao, 2022), however not all classroom talk is equally productive; it is the quality and structure that determines its educational value (Walshaw &amp; Anthony, 2008).</w:t>
      </w:r>
    </w:p>
    <w:p w:rsidR="00000000" w:rsidDel="00000000" w:rsidP="00000000" w:rsidRDefault="00000000" w:rsidRPr="00000000" w14:paraId="00000005">
      <w:pPr>
        <w:rPr/>
      </w:pPr>
      <w:r w:rsidDel="00000000" w:rsidR="00000000" w:rsidRPr="00000000">
        <w:rPr>
          <w:rtl w:val="0"/>
        </w:rPr>
        <w:t xml:space="preserve">Reasoning is a central goal of mathematics education, contributing to students’ deeper understanding and conceptual development (Hiebert, 2003).  Teachers’ questions are crucial, as well-designed questions can prompt students to articulate their thinking and make connections (Boaler &amp; Brodie, 2004). Different types of questions vary in their cognitive demands and impact on reasoning (DeJarnette et al., 2020). Ultimately, teacher–student interaction enables questioning that fosters reasoning and can “greatly enhance the development of their [the students] mathematical thinking” (Walshaw &amp; Anthony, 2008, p. 535). </w:t>
      </w:r>
    </w:p>
    <w:p w:rsidR="00000000" w:rsidDel="00000000" w:rsidP="00000000" w:rsidRDefault="00000000" w:rsidRPr="00000000" w14:paraId="00000006">
      <w:pPr>
        <w:rPr/>
      </w:pPr>
      <w:r w:rsidDel="00000000" w:rsidR="00000000" w:rsidRPr="00000000">
        <w:rPr>
          <w:rtl w:val="0"/>
        </w:rPr>
        <w:t xml:space="preserve">The teaching approach Thinking Classroom (Liljedahl, 2016) consists of 14 practices aimed at creating a student-centred environment with a focus on students’ own thinking. The first three practices are considered foundational, as they quickly shift classroom norms and should be implemented together. These are: (1) using tasks that are accessible but not routinely and require thinking rather than imitation; (2) randomly assigning students to groups of up to three that change regularly; and (3) students solve tasks standing at whiteboards, or other erasable vertical surfaces. These first three practices are relatively easy to implement and can bypass the normative behaviours of both students and teachers (Liljedahl, 2016). </w:t>
      </w:r>
    </w:p>
    <w:p w:rsidR="00000000" w:rsidDel="00000000" w:rsidP="00000000" w:rsidRDefault="00000000" w:rsidRPr="00000000" w14:paraId="00000007">
      <w:pPr>
        <w:rPr/>
      </w:pPr>
      <w:r w:rsidDel="00000000" w:rsidR="00000000" w:rsidRPr="00000000">
        <w:rPr>
          <w:rtl w:val="0"/>
        </w:rPr>
        <w:t xml:space="preserve">The analysis drew on 44 recordings of students working in groups, with durations ranging from 31 to 55 minutes. These recordings yielded more than 150 transcribed teacher–student interactions. The research question, ‘How do teachers facilitate the students’ mathematical reasoning in the context of Thinking Classroom?’ guided the analysis. Every teacher question concerning mathematics was labelled using Boaler and Brodie’s (2004) categories. Utterances that functioned as questions were also included, for example “Let’s hear,” and “Tell me,” both urging the students to describe their work. The category in focus was </w:t>
      </w:r>
      <w:r w:rsidDel="00000000" w:rsidR="00000000" w:rsidRPr="00000000">
        <w:rPr>
          <w:i w:val="1"/>
          <w:rtl w:val="0"/>
        </w:rPr>
        <w:t xml:space="preserve">probing</w:t>
      </w:r>
      <w:r w:rsidDel="00000000" w:rsidR="00000000" w:rsidRPr="00000000">
        <w:rPr>
          <w:rtl w:val="0"/>
        </w:rPr>
        <w:t xml:space="preserve"> (to encourage the students to explain their thinking) which I viewed as one way to facilitate reasoning. The preliminary results show that about 15 % of the questions were probing, for example: “Why did you choose thirteen?”, “What was your strategy?” and “Because?”. Not every probing question led to reasoning among the students and since an interaction never is one-sided the next step of the analysis will focus on the students’ responses. </w:t>
      </w:r>
    </w:p>
    <w:p w:rsidR="00000000" w:rsidDel="00000000" w:rsidP="00000000" w:rsidRDefault="00000000" w:rsidRPr="00000000" w14:paraId="00000008">
      <w:pPr>
        <w:rPr/>
      </w:pPr>
      <w:r w:rsidDel="00000000" w:rsidR="00000000" w:rsidRPr="00000000">
        <w:rPr>
          <w:rtl w:val="0"/>
        </w:rPr>
        <w:t xml:space="preserve">The analysis of the data revealed an unexpected pattern, many opportunities for reasoning were left unexplored. Instead, the focus often shifted towards obtaining the correct answer with the correct method and moving quickly to the next task, as in: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843" w:right="425" w:hanging="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w:t>
        <w:tab/>
        <w:t xml:space="preserve">How much [money] did you get?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843" w:right="425" w:hanging="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 </w:t>
        <w:tab/>
        <w:t xml:space="preserve">Twenty-three, thirty-three… forty-one, fifty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1843" w:right="425" w:hanging="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w:t>
        <w:tab/>
        <w:t xml:space="preserve">Good, now [next part of the task]. </w:t>
      </w:r>
    </w:p>
    <w:p w:rsidR="00000000" w:rsidDel="00000000" w:rsidP="00000000" w:rsidRDefault="00000000" w:rsidRPr="00000000" w14:paraId="0000000C">
      <w:pPr>
        <w:rPr/>
      </w:pPr>
      <w:r w:rsidDel="00000000" w:rsidR="00000000" w:rsidRPr="00000000">
        <w:rPr>
          <w:rtl w:val="0"/>
        </w:rPr>
        <w:t xml:space="preserve">This raises an important issue: if the students are to develop mathematical reasoning, they must be given the opportunity to practice it. </w:t>
      </w:r>
    </w:p>
    <w:p w:rsidR="00000000" w:rsidDel="00000000" w:rsidP="00000000" w:rsidRDefault="00000000" w:rsidRPr="00000000" w14:paraId="0000000D">
      <w:pPr>
        <w:rPr/>
      </w:pPr>
      <w:r w:rsidDel="00000000" w:rsidR="00000000" w:rsidRPr="00000000">
        <w:rPr>
          <w:rtl w:val="0"/>
        </w:rPr>
        <w:t xml:space="preserve">It is suggested that implementing the first three practices of Thinking Classroom can substantially shift students’ thinking and influence teachers’ behaviour. In this material, the same patterns regarding teachers’ questions as previously reported (e.g. Boaler &amp; Broadie, 2004) can be observed. This raises a critical question: if teachers’ approaches to questions remain unchanged, how can the students’ long term reasoning practices be expected to evolve? </w:t>
      </w:r>
    </w:p>
    <w:p w:rsidR="00000000" w:rsidDel="00000000" w:rsidP="00000000" w:rsidRDefault="00000000" w:rsidRPr="00000000" w14:paraId="0000000E">
      <w:pPr>
        <w:pStyle w:val="Heading2"/>
        <w:rPr/>
      </w:pPr>
      <w:r w:rsidDel="00000000" w:rsidR="00000000" w:rsidRPr="00000000">
        <w:rPr>
          <w:rtl w:val="0"/>
        </w:rPr>
        <w:t xml:space="preserve">References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Boaler, J., &amp; Brodie, K. (2004). The importance, nature and impact of teacher questions. In D. E. McDougall &amp; J. A. Ross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twenty-sixth annual meeting of the North American Chapter of the International Group for the Psychology of Mathematics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774–782). University of Toronto/PME-NA.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DeJarnette, A. F., Wilke, E., &amp; Hord, C. (2020). Categorizing mathematics teachers’ questioning: The demands and contributions of teachers’ questions.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Educational Research, 104,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Article 101690.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https://doi.org/10.1016/j.ijer.2020.101690</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Hiebert, J. (2003). What research says about the NCTM Standards. In J. Kilpatrick, W. G. Martin, &amp; D. Schifter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research companion to principles and standards for school mathematics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5–23). National Council of Teachers of Mathematics.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Liljedahl, P. (2016). Building thinking classrooms: Conditions for problem-solving. In P. Felmer, E. Pehkonen, &amp; J. Kilpatrick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Posing and Solving Mathematical 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361–386). Springer International Publishing.</w:t>
      </w:r>
      <w:r w:rsidDel="00000000" w:rsidR="00000000" w:rsidRPr="00000000">
        <w:rPr>
          <w:sz w:val="24"/>
          <w:szCs w:val="24"/>
          <w:rtl w:val="0"/>
        </w:rPr>
        <w:br w:type="textWrapping"/>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https://doi.org/10.1007/978-3-319-28023-3_21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Walshaw, M., &amp; Anthony, G. (2008). The teacher’s role in classroom discourse: A review of recent research into mathematics classrooms.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Educational Research, 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516–551.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https://doi.org/10.3102/0034654308320292</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Zhang, S., &amp; Cao, Y. (2022). Classroom interaction in mathematics: Learning of mathematics and learning to participate.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Science and Mathematics Education,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607–626.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https://doi.org/10.1007/s10763-021-10167-8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headerReference r:id="rId11" w:type="default"/>
      <w:footerReference r:id="rId12" w:type="default"/>
      <w:footerReference r:id="rId13"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right"/>
      <w:rPr/>
    </w:pPr>
    <w:r w:rsidDel="00000000" w:rsidR="00000000" w:rsidRPr="00000000">
      <w:rPr>
        <w:rtl w:val="0"/>
      </w:rPr>
    </w:r>
  </w:p>
  <w:p w:rsidR="00000000" w:rsidDel="00000000" w:rsidP="00000000" w:rsidRDefault="00000000" w:rsidRPr="00000000" w14:paraId="00000017">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Heading8">
    <w:name w:val="heading 8"/>
    <w:aliases w:val="Authors"/>
    <w:basedOn w:val="Title"/>
    <w:next w:val="Normal"/>
    <w:link w:val="Heading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Heading9">
    <w:name w:val="heading 9"/>
    <w:aliases w:val="Institution"/>
    <w:basedOn w:val="Title"/>
    <w:next w:val="Normal"/>
    <w:link w:val="Heading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link w:val="Title"/>
    <w:uiPriority w:val="10"/>
    <w:rsid w:val="009D176C"/>
    <w:rPr>
      <w:rFonts w:ascii="Calibri" w:cs="Times New Roman" w:eastAsia="Times New Roman" w:hAnsi="Calibri"/>
      <w:b w:val="1"/>
      <w:bCs w:val="1"/>
      <w:kern w:val="28"/>
      <w:sz w:val="32"/>
      <w:szCs w:val="32"/>
      <w:lang w:eastAsia="en-US" w:val="en-GB"/>
    </w:rPr>
  </w:style>
  <w:style w:type="character" w:styleId="Heading8Char" w:customStyle="1">
    <w:name w:val="Heading 8 Char"/>
    <w:aliases w:val="Authors Char"/>
    <w:link w:val="Heading8"/>
    <w:uiPriority w:val="9"/>
    <w:rsid w:val="000C4CBD"/>
    <w:rPr>
      <w:rFonts w:cs="Times New Roman" w:eastAsia="Times New Roman"/>
      <w:b w:val="1"/>
      <w:bCs w:val="1"/>
      <w:iCs w:val="1"/>
      <w:kern w:val="28"/>
      <w:sz w:val="28"/>
      <w:szCs w:val="24"/>
      <w:lang w:eastAsia="en-US" w:val="en-GB"/>
    </w:rPr>
  </w:style>
  <w:style w:type="paragraph" w:styleId="BodyText">
    <w:name w:val="Body Text"/>
    <w:aliases w:val="Bread 1"/>
    <w:basedOn w:val="Normal"/>
    <w:next w:val="Normal"/>
    <w:link w:val="BodyTextChar"/>
    <w:uiPriority w:val="99"/>
    <w:unhideWhenUsed w:val="1"/>
    <w:qFormat w:val="1"/>
    <w:rsid w:val="00FD5842"/>
    <w:pPr>
      <w:ind w:firstLine="0"/>
    </w:pPr>
  </w:style>
  <w:style w:type="character" w:styleId="BodyTextChar" w:customStyle="1">
    <w:name w:val="Body Text Char"/>
    <w:aliases w:val="Bread 1 Char"/>
    <w:link w:val="BodyText"/>
    <w:uiPriority w:val="99"/>
    <w:rsid w:val="00FD5842"/>
    <w:rPr>
      <w:sz w:val="26"/>
      <w:szCs w:val="28"/>
      <w:lang w:eastAsia="en-US" w:val="en-GB"/>
    </w:rPr>
  </w:style>
  <w:style w:type="character" w:styleId="Heading4Char" w:customStyle="1">
    <w:name w:val="Heading 4 Char"/>
    <w:aliases w:val="Head 3 Char"/>
    <w:link w:val="Heading4"/>
    <w:uiPriority w:val="9"/>
    <w:rsid w:val="00101D8A"/>
    <w:rPr>
      <w:rFonts w:cs="Times New Roman" w:eastAsia="Times New Roman"/>
      <w:b w:val="1"/>
      <w:i w:val="1"/>
      <w:kern w:val="28"/>
      <w:sz w:val="26"/>
      <w:szCs w:val="32"/>
      <w:lang w:eastAsia="en-US" w:val="en-GB"/>
    </w:rPr>
  </w:style>
  <w:style w:type="character" w:styleId="Heading9Char" w:customStyle="1">
    <w:name w:val="Heading 9 Char"/>
    <w:aliases w:val="Institution Char"/>
    <w:link w:val="Heading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odyText"/>
    <w:qFormat w:val="1"/>
    <w:rsid w:val="00D40F30"/>
    <w:pPr>
      <w:spacing w:after="120" w:before="120"/>
      <w:ind w:left="425" w:right="425"/>
    </w:pPr>
    <w:rPr>
      <w:sz w:val="24"/>
      <w:szCs w:val="26"/>
    </w:rPr>
  </w:style>
  <w:style w:type="paragraph" w:styleId="References" w:customStyle="1">
    <w:name w:val="References"/>
    <w:basedOn w:val="Body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Footer">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PageNumber">
    <w:name w:val="page number"/>
    <w:basedOn w:val="DefaultParagraphFon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odyText"/>
    <w:link w:val="HeadtableChar"/>
    <w:qFormat w:val="1"/>
    <w:rsid w:val="008B3B99"/>
    <w:pPr>
      <w:spacing w:after="120" w:before="120"/>
      <w:ind w:left="425" w:right="425" w:firstLine="0"/>
      <w:jc w:val="left"/>
    </w:pPr>
  </w:style>
  <w:style w:type="paragraph" w:styleId="Abstract" w:customStyle="1">
    <w:name w:val="Abstract"/>
    <w:basedOn w:val="BodyText"/>
    <w:link w:val="AbstractChar"/>
    <w:rsid w:val="00084739"/>
    <w:rPr>
      <w:i w:val="1"/>
    </w:rPr>
  </w:style>
  <w:style w:type="character" w:styleId="AbstractChar" w:customStyle="1">
    <w:name w:val="Abstract Char"/>
    <w:basedOn w:val="BodyTextChar"/>
    <w:link w:val="Abstract"/>
    <w:rsid w:val="00084739"/>
    <w:rPr>
      <w:i w:val="1"/>
      <w:sz w:val="26"/>
      <w:szCs w:val="28"/>
      <w:lang w:eastAsia="en-US" w:val="en-GB"/>
    </w:rPr>
  </w:style>
  <w:style w:type="paragraph" w:styleId="Header">
    <w:name w:val="header"/>
    <w:basedOn w:val="Normal"/>
    <w:link w:val="HeaderChar"/>
    <w:semiHidden w:val="1"/>
    <w:unhideWhenUsed w:val="1"/>
    <w:rsid w:val="007628ED"/>
    <w:pPr>
      <w:tabs>
        <w:tab w:val="center" w:pos="4536"/>
        <w:tab w:val="right" w:pos="9072"/>
      </w:tabs>
      <w:spacing w:line="240" w:lineRule="auto"/>
    </w:pPr>
  </w:style>
  <w:style w:type="character" w:styleId="HeaderChar" w:customStyle="1">
    <w:name w:val="Header Char"/>
    <w:basedOn w:val="DefaultParagraphFont"/>
    <w:link w:val="Header"/>
    <w:semiHidden w:val="1"/>
    <w:rsid w:val="007628ED"/>
    <w:rPr>
      <w:sz w:val="26"/>
      <w:szCs w:val="28"/>
      <w:lang w:eastAsia="en-US" w:val="en-GB"/>
    </w:rPr>
  </w:style>
  <w:style w:type="paragraph" w:styleId="PMENormal" w:customStyle="1">
    <w:name w:val="PME Normal"/>
    <w:uiPriority w:val="99"/>
    <w:qFormat w:val="1"/>
    <w:rsid w:val="00201B3B"/>
    <w:pPr>
      <w:autoSpaceDE w:val="0"/>
      <w:autoSpaceDN w:val="0"/>
      <w:spacing w:after="120" w:line="320" w:lineRule="atLeast"/>
      <w:jc w:val="both"/>
    </w:pPr>
    <w:rPr>
      <w:rFonts w:eastAsia="PMingLiU"/>
      <w:sz w:val="28"/>
      <w:szCs w:val="28"/>
      <w:lang w:eastAsia="es-ES" w:val="en-AU"/>
    </w:rPr>
  </w:style>
  <w:style w:type="character" w:styleId="Hyperlink">
    <w:name w:val="Hyperlink"/>
    <w:basedOn w:val="DefaultParagraphFont"/>
    <w:unhideWhenUsed w:val="1"/>
    <w:rsid w:val="002B71DF"/>
    <w:rPr>
      <w:color w:val="0000ff" w:themeColor="hyperlink"/>
      <w:u w:val="single"/>
    </w:rPr>
  </w:style>
  <w:style w:type="character" w:styleId="UnresolvedMention">
    <w:name w:val="Unresolved Mention"/>
    <w:basedOn w:val="DefaultParagraphFont"/>
    <w:uiPriority w:val="99"/>
    <w:semiHidden w:val="1"/>
    <w:unhideWhenUsed w:val="1"/>
    <w:rsid w:val="002B71DF"/>
    <w:rPr>
      <w:color w:val="605e5c"/>
      <w:shd w:color="auto" w:fill="e1dfdd" w:val="clear"/>
    </w:rPr>
  </w:style>
  <w:style w:type="paragraph" w:styleId="Revision">
    <w:name w:val="Revision"/>
    <w:hidden w:val="1"/>
    <w:semiHidden w:val="1"/>
    <w:rsid w:val="00EA3F0F"/>
    <w:rPr>
      <w:sz w:val="26"/>
      <w:szCs w:val="28"/>
      <w:lang w:eastAsia="en-US" w:val="en-GB"/>
    </w:rPr>
  </w:style>
  <w:style w:type="character" w:styleId="CommentReference">
    <w:name w:val="annotation reference"/>
    <w:basedOn w:val="DefaultParagraphFont"/>
    <w:semiHidden w:val="1"/>
    <w:unhideWhenUsed w:val="1"/>
    <w:rsid w:val="004C4BA5"/>
    <w:rPr>
      <w:sz w:val="16"/>
      <w:szCs w:val="16"/>
    </w:rPr>
  </w:style>
  <w:style w:type="paragraph" w:styleId="CommentText">
    <w:name w:val="annotation text"/>
    <w:basedOn w:val="Normal"/>
    <w:link w:val="CommentTextChar"/>
    <w:unhideWhenUsed w:val="1"/>
    <w:rsid w:val="004C4BA5"/>
    <w:pPr>
      <w:spacing w:line="240" w:lineRule="auto"/>
    </w:pPr>
    <w:rPr>
      <w:sz w:val="20"/>
      <w:szCs w:val="20"/>
    </w:rPr>
  </w:style>
  <w:style w:type="character" w:styleId="CommentTextChar" w:customStyle="1">
    <w:name w:val="Comment Text Char"/>
    <w:basedOn w:val="DefaultParagraphFont"/>
    <w:link w:val="CommentText"/>
    <w:rsid w:val="004C4BA5"/>
    <w:rPr>
      <w:lang w:eastAsia="en-US" w:val="en-GB"/>
    </w:rPr>
  </w:style>
  <w:style w:type="paragraph" w:styleId="CommentSubject">
    <w:name w:val="annotation subject"/>
    <w:basedOn w:val="CommentText"/>
    <w:next w:val="CommentText"/>
    <w:link w:val="CommentSubjectChar"/>
    <w:semiHidden w:val="1"/>
    <w:unhideWhenUsed w:val="1"/>
    <w:rsid w:val="004C4BA5"/>
    <w:rPr>
      <w:b w:val="1"/>
      <w:bCs w:val="1"/>
    </w:rPr>
  </w:style>
  <w:style w:type="character" w:styleId="CommentSubjectChar" w:customStyle="1">
    <w:name w:val="Comment Subject Char"/>
    <w:basedOn w:val="CommentTextChar"/>
    <w:link w:val="CommentSubject"/>
    <w:semiHidden w:val="1"/>
    <w:rsid w:val="004C4BA5"/>
    <w:rPr>
      <w:b w:val="1"/>
      <w:bCs w:val="1"/>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007/s10763-021-10167-8"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102/003465430832029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6/j.ijer.2020.101690" TargetMode="External"/><Relationship Id="rId8" Type="http://schemas.openxmlformats.org/officeDocument/2006/relationships/hyperlink" Target="https://doi.org/10.1007/978-3-319-28023-3_2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1yHV3CycLNik72/9vX46WWHXA==">CgMxLjA4AHIhMXl0U3JyVm5wUnlHRzVocFJiaEk0NTNBNEpHVzZiLXFs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5c9645a3-53b9-433b-accf-afcc7b42c085</vt:lpwstr>
  </property>
</Properties>
</file>