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2">
      <w:pPr>
        <w:pStyle w:val="Heading1"/>
        <w:rPr/>
      </w:pPr>
      <w:r w:rsidDel="00000000" w:rsidR="00000000" w:rsidRPr="00000000">
        <w:rPr>
          <w:rtl w:val="0"/>
        </w:rPr>
        <w:t xml:space="preserve">Mathematics teacher students’ designs of degree projects </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36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Kristina Juter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720" w:before="0" w:line="240" w:lineRule="auto"/>
        <w:ind w:left="0" w:right="0" w:firstLine="0"/>
        <w:jc w:val="cente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Lund University, Sweden</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This presentation concerns degree theses that students in mathematics teacher education write as reports of their degree projects. These theses represent the peak of the students’ scientific engagement within the programs and are used as examples for other students and benchmarks in governmental evaluations of teacher educations. This raises the question of what students select to study within their scientifically founded teacher education. Skau et al. (2025) found that qualitative methods along with themes related to learning and instruction are most common in Swedish teacher students’ theses. Empirical choices are influenced by various factors, such as difficulties in applying scientific frameworks, as found in a study of mathematics teacher students’ use of frameworks (Juter, under review), or challenges in reading academic texts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Yore &amp; Tang, 2022). T</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he presentation builds on the question: What topics, objects of study and methods of analysis do students choose in degree projects in mathematics teacher education programs for secondary school levels?</w:t>
      </w:r>
    </w:p>
    <w:p w:rsidR="00000000" w:rsidDel="00000000" w:rsidP="00000000" w:rsidRDefault="00000000" w:rsidRPr="00000000" w14:paraId="00000006">
      <w:pPr>
        <w:pStyle w:val="Heading2"/>
        <w:rPr/>
      </w:pPr>
      <w:r w:rsidDel="00000000" w:rsidR="00000000" w:rsidRPr="00000000">
        <w:rPr>
          <w:rtl w:val="0"/>
        </w:rPr>
        <w:t xml:space="preserve">The study</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This study examined 74 published degree theses authored by 98 students from 14 Swedish mathematics teacher education programs aimed at teaching school years 7–12. Only regular programs, whether campus-based or online, were included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Of the 74 theses, 50 are written individually and 24 are written in pairs. A qualitative content analysis was conducted through reviews of the theses to identify characteristics in the students’ textual descriptions. </w:t>
      </w:r>
    </w:p>
    <w:p w:rsidR="00000000" w:rsidDel="00000000" w:rsidP="00000000" w:rsidRDefault="00000000" w:rsidRPr="00000000" w14:paraId="00000008">
      <w:pPr>
        <w:rPr/>
      </w:pPr>
      <w:r w:rsidDel="00000000" w:rsidR="00000000" w:rsidRPr="00000000">
        <w:rPr>
          <w:rtl w:val="0"/>
        </w:rPr>
        <w:t xml:space="preserve">The objects of study in the theses were categorized according to the categories of the didactical tetrahedron (Rezat &amp; Sträßer, 2012) and one thesis may cover one, two or three of the objects </w:t>
      </w:r>
      <w:r w:rsidDel="00000000" w:rsidR="00000000" w:rsidRPr="00000000">
        <w:rPr>
          <w:i w:val="1"/>
          <w:rtl w:val="0"/>
        </w:rPr>
        <w:t xml:space="preserve">students</w:t>
      </w:r>
      <w:r w:rsidDel="00000000" w:rsidR="00000000" w:rsidRPr="00000000">
        <w:rPr>
          <w:rtl w:val="0"/>
        </w:rPr>
        <w:t xml:space="preserve">, </w:t>
      </w:r>
      <w:r w:rsidDel="00000000" w:rsidR="00000000" w:rsidRPr="00000000">
        <w:rPr>
          <w:i w:val="1"/>
          <w:rtl w:val="0"/>
        </w:rPr>
        <w:t xml:space="preserve">teachers</w:t>
      </w:r>
      <w:r w:rsidDel="00000000" w:rsidR="00000000" w:rsidRPr="00000000">
        <w:rPr>
          <w:rtl w:val="0"/>
        </w:rPr>
        <w:t xml:space="preserve"> and </w:t>
      </w:r>
      <w:r w:rsidDel="00000000" w:rsidR="00000000" w:rsidRPr="00000000">
        <w:rPr>
          <w:i w:val="1"/>
          <w:rtl w:val="0"/>
        </w:rPr>
        <w:t xml:space="preserve">artifacts</w:t>
      </w:r>
      <w:r w:rsidDel="00000000" w:rsidR="00000000" w:rsidRPr="00000000">
        <w:rPr>
          <w:rtl w:val="0"/>
        </w:rPr>
        <w:t xml:space="preserve"> (T: teachers, S: students, and A: artifacts in Table 1) alongside the overarching object </w:t>
      </w:r>
      <w:r w:rsidDel="00000000" w:rsidR="00000000" w:rsidRPr="00000000">
        <w:rPr>
          <w:i w:val="1"/>
          <w:rtl w:val="0"/>
        </w:rPr>
        <w:t xml:space="preserve">mathematics,</w:t>
      </w:r>
      <w:r w:rsidDel="00000000" w:rsidR="00000000" w:rsidRPr="00000000">
        <w:rPr>
          <w:rtl w:val="0"/>
        </w:rPr>
        <w:t xml:space="preserve"> which they all cover. The objects of study were then linked to the mathematics education topics derived from the students’ research questions, as well as to the analytical methods and frameworks employed (as defined by Magana, 2022). Table 1 presents the distribution of theses by topics, methods for analysis, and object of study, with topics and methods represented by fewer than four theses omitted. A single thesis may appear in multiple categories.</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tbl>
      <w:tblPr>
        <w:tblStyle w:val="Table1"/>
        <w:tblW w:w="9064.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3111"/>
        <w:gridCol w:w="567"/>
        <w:gridCol w:w="567"/>
        <w:gridCol w:w="425"/>
        <w:gridCol w:w="284"/>
        <w:gridCol w:w="2409"/>
        <w:gridCol w:w="567"/>
        <w:gridCol w:w="567"/>
        <w:gridCol w:w="567"/>
        <w:tblGridChange w:id="0">
          <w:tblGrid>
            <w:gridCol w:w="3111"/>
            <w:gridCol w:w="567"/>
            <w:gridCol w:w="567"/>
            <w:gridCol w:w="425"/>
            <w:gridCol w:w="284"/>
            <w:gridCol w:w="2409"/>
            <w:gridCol w:w="567"/>
            <w:gridCol w:w="567"/>
            <w:gridCol w:w="567"/>
          </w:tblGrid>
        </w:tblGridChange>
      </w:tblGrid>
      <w:tr>
        <w:trPr>
          <w:cantSplit w:val="0"/>
          <w:tblHeader w:val="0"/>
        </w:trPr>
        <w:tc>
          <w:tcPr>
            <w:vMerge w:val="restart"/>
            <w:tcBorders>
              <w:left w:color="000000" w:space="0" w:sz="6" w:val="single"/>
              <w:right w:color="000000" w:space="0" w:sz="6" w:val="single"/>
            </w:tcBorders>
            <w:shd w:fill="d9d9d9" w:val="clear"/>
          </w:tcPr>
          <w:p w:rsidR="00000000" w:rsidDel="00000000" w:rsidP="00000000" w:rsidRDefault="00000000" w:rsidRPr="00000000" w14:paraId="0000000C">
            <w:pPr>
              <w:spacing w:line="240" w:lineRule="auto"/>
              <w:ind w:firstLine="0"/>
              <w:jc w:val="left"/>
              <w:rPr/>
            </w:pPr>
            <w:r w:rsidDel="00000000" w:rsidR="00000000" w:rsidRPr="00000000">
              <w:rPr>
                <w:rtl w:val="0"/>
              </w:rPr>
              <w:t xml:space="preserve">Topics in research questions</w:t>
            </w:r>
          </w:p>
        </w:tc>
        <w:tc>
          <w:tcPr>
            <w:gridSpan w:val="3"/>
            <w:tcBorders>
              <w:top w:color="000000" w:space="0" w:sz="6" w:val="single"/>
              <w:left w:color="000000" w:space="0" w:sz="6" w:val="single"/>
              <w:bottom w:color="000000" w:space="0" w:sz="6" w:val="single"/>
              <w:right w:color="000000" w:space="0" w:sz="6" w:val="single"/>
            </w:tcBorders>
            <w:shd w:fill="d9d9d9" w:val="clear"/>
          </w:tcPr>
          <w:p w:rsidR="00000000" w:rsidDel="00000000" w:rsidP="00000000" w:rsidRDefault="00000000" w:rsidRPr="00000000" w14:paraId="0000000D">
            <w:pPr>
              <w:spacing w:line="240" w:lineRule="auto"/>
              <w:ind w:firstLine="0"/>
              <w:jc w:val="left"/>
              <w:rPr/>
            </w:pPr>
            <w:r w:rsidDel="00000000" w:rsidR="00000000" w:rsidRPr="00000000">
              <w:rPr>
                <w:rtl w:val="0"/>
              </w:rPr>
              <w:t xml:space="preserve">Obj of study</w:t>
            </w:r>
          </w:p>
        </w:tc>
        <w:tc>
          <w:tcPr>
            <w:vMerge w:val="restart"/>
            <w:tcBorders>
              <w:top w:color="000000" w:space="0" w:sz="6" w:val="single"/>
              <w:left w:color="000000" w:space="0" w:sz="6" w:val="single"/>
              <w:right w:color="000000" w:space="0" w:sz="6" w:val="single"/>
            </w:tcBorders>
            <w:shd w:fill="d9d9d9" w:val="clear"/>
          </w:tcPr>
          <w:p w:rsidR="00000000" w:rsidDel="00000000" w:rsidP="00000000" w:rsidRDefault="00000000" w:rsidRPr="00000000" w14:paraId="00000010">
            <w:pPr>
              <w:spacing w:line="240" w:lineRule="auto"/>
              <w:ind w:firstLine="0"/>
              <w:jc w:val="left"/>
              <w:rPr>
                <w:sz w:val="18"/>
                <w:szCs w:val="18"/>
              </w:rPr>
            </w:pPr>
            <w:r w:rsidDel="00000000" w:rsidR="00000000" w:rsidRPr="00000000">
              <w:rPr>
                <w:rtl w:val="0"/>
              </w:rPr>
            </w:r>
          </w:p>
        </w:tc>
        <w:tc>
          <w:tcPr>
            <w:vMerge w:val="restart"/>
            <w:tcBorders>
              <w:top w:color="000000" w:space="0" w:sz="6" w:val="single"/>
              <w:left w:color="000000" w:space="0" w:sz="6" w:val="single"/>
              <w:right w:color="000000" w:space="0" w:sz="6" w:val="single"/>
            </w:tcBorders>
            <w:shd w:fill="d9d9d9" w:val="clear"/>
          </w:tcPr>
          <w:p w:rsidR="00000000" w:rsidDel="00000000" w:rsidP="00000000" w:rsidRDefault="00000000" w:rsidRPr="00000000" w14:paraId="00000011">
            <w:pPr>
              <w:spacing w:line="240" w:lineRule="auto"/>
              <w:ind w:firstLine="0"/>
              <w:rPr>
                <w:color w:val="000000"/>
              </w:rPr>
            </w:pPr>
            <w:r w:rsidDel="00000000" w:rsidR="00000000" w:rsidRPr="00000000">
              <w:rPr>
                <w:color w:val="000000"/>
                <w:rtl w:val="0"/>
              </w:rPr>
              <w:t xml:space="preserve">Methods of analysis</w:t>
            </w:r>
          </w:p>
        </w:tc>
        <w:tc>
          <w:tcPr>
            <w:gridSpan w:val="3"/>
            <w:tcBorders>
              <w:top w:color="000000" w:space="0" w:sz="6" w:val="single"/>
              <w:left w:color="000000" w:space="0" w:sz="6" w:val="single"/>
              <w:bottom w:color="000000" w:space="0" w:sz="6" w:val="single"/>
              <w:right w:color="000000" w:space="0" w:sz="6" w:val="single"/>
            </w:tcBorders>
            <w:shd w:fill="d9d9d9" w:val="clear"/>
          </w:tcPr>
          <w:p w:rsidR="00000000" w:rsidDel="00000000" w:rsidP="00000000" w:rsidRDefault="00000000" w:rsidRPr="00000000" w14:paraId="00000012">
            <w:pPr>
              <w:spacing w:line="240" w:lineRule="auto"/>
              <w:ind w:firstLine="0"/>
              <w:jc w:val="left"/>
              <w:rPr/>
            </w:pPr>
            <w:r w:rsidDel="00000000" w:rsidR="00000000" w:rsidRPr="00000000">
              <w:rPr>
                <w:rtl w:val="0"/>
              </w:rPr>
              <w:t xml:space="preserve">Obj of study</w:t>
            </w:r>
          </w:p>
        </w:tc>
      </w:tr>
      <w:tr>
        <w:trPr>
          <w:cantSplit w:val="0"/>
          <w:tblHeader w:val="0"/>
        </w:trPr>
        <w:tc>
          <w:tcPr>
            <w:vMerge w:val="continue"/>
            <w:tcBorders>
              <w:left w:color="000000" w:space="0" w:sz="6" w:val="single"/>
              <w:right w:color="000000" w:space="0" w:sz="6" w:val="single"/>
            </w:tcBorders>
            <w:shd w:fill="d9d9d9" w:val="clear"/>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9d9d9" w:val="clear"/>
          </w:tcPr>
          <w:p w:rsidR="00000000" w:rsidDel="00000000" w:rsidP="00000000" w:rsidRDefault="00000000" w:rsidRPr="00000000" w14:paraId="00000016">
            <w:pPr>
              <w:spacing w:line="240" w:lineRule="auto"/>
              <w:ind w:firstLine="0"/>
              <w:jc w:val="left"/>
              <w:rPr/>
            </w:pPr>
            <w:r w:rsidDel="00000000" w:rsidR="00000000" w:rsidRPr="00000000">
              <w:rPr>
                <w:rtl w:val="0"/>
              </w:rPr>
              <w:t xml:space="preserve">T</w:t>
            </w:r>
          </w:p>
        </w:tc>
        <w:tc>
          <w:tcPr>
            <w:tcBorders>
              <w:top w:color="000000" w:space="0" w:sz="6" w:val="single"/>
              <w:left w:color="000000" w:space="0" w:sz="6" w:val="single"/>
              <w:bottom w:color="000000" w:space="0" w:sz="6" w:val="single"/>
              <w:right w:color="000000" w:space="0" w:sz="6" w:val="single"/>
            </w:tcBorders>
            <w:shd w:fill="d9d9d9" w:val="clear"/>
          </w:tcPr>
          <w:p w:rsidR="00000000" w:rsidDel="00000000" w:rsidP="00000000" w:rsidRDefault="00000000" w:rsidRPr="00000000" w14:paraId="00000017">
            <w:pPr>
              <w:spacing w:line="240" w:lineRule="auto"/>
              <w:ind w:firstLine="0"/>
              <w:jc w:val="left"/>
              <w:rPr/>
            </w:pPr>
            <w:r w:rsidDel="00000000" w:rsidR="00000000" w:rsidRPr="00000000">
              <w:rPr>
                <w:rtl w:val="0"/>
              </w:rPr>
              <w:t xml:space="preserve">S</w:t>
            </w:r>
          </w:p>
        </w:tc>
        <w:tc>
          <w:tcPr>
            <w:tcBorders>
              <w:top w:color="000000" w:space="0" w:sz="6" w:val="single"/>
              <w:left w:color="000000" w:space="0" w:sz="6" w:val="single"/>
              <w:bottom w:color="000000" w:space="0" w:sz="6" w:val="single"/>
              <w:right w:color="000000" w:space="0" w:sz="6" w:val="single"/>
            </w:tcBorders>
            <w:shd w:fill="d9d9d9" w:val="clear"/>
          </w:tcPr>
          <w:p w:rsidR="00000000" w:rsidDel="00000000" w:rsidP="00000000" w:rsidRDefault="00000000" w:rsidRPr="00000000" w14:paraId="00000018">
            <w:pPr>
              <w:spacing w:line="240" w:lineRule="auto"/>
              <w:ind w:firstLine="0"/>
              <w:jc w:val="left"/>
              <w:rPr/>
            </w:pPr>
            <w:r w:rsidDel="00000000" w:rsidR="00000000" w:rsidRPr="00000000">
              <w:rPr>
                <w:rtl w:val="0"/>
              </w:rPr>
              <w:t xml:space="preserve">A</w:t>
            </w:r>
          </w:p>
        </w:tc>
        <w:tc>
          <w:tcPr>
            <w:vMerge w:val="continue"/>
            <w:tcBorders>
              <w:top w:color="000000" w:space="0" w:sz="6" w:val="single"/>
              <w:left w:color="000000" w:space="0" w:sz="6" w:val="single"/>
              <w:right w:color="000000" w:space="0" w:sz="6" w:val="single"/>
            </w:tcBorders>
            <w:shd w:fill="d9d9d9" w:val="clear"/>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6" w:val="single"/>
              <w:left w:color="000000" w:space="0" w:sz="6" w:val="single"/>
              <w:right w:color="000000" w:space="0" w:sz="6" w:val="single"/>
            </w:tcBorders>
            <w:shd w:fill="d9d9d9" w:val="clear"/>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9d9d9" w:val="clear"/>
          </w:tcPr>
          <w:p w:rsidR="00000000" w:rsidDel="00000000" w:rsidP="00000000" w:rsidRDefault="00000000" w:rsidRPr="00000000" w14:paraId="0000001B">
            <w:pPr>
              <w:spacing w:line="240" w:lineRule="auto"/>
              <w:ind w:firstLine="0"/>
              <w:jc w:val="left"/>
              <w:rPr/>
            </w:pPr>
            <w:r w:rsidDel="00000000" w:rsidR="00000000" w:rsidRPr="00000000">
              <w:rPr>
                <w:color w:val="000000"/>
                <w:rtl w:val="0"/>
              </w:rPr>
              <w:t xml:space="preserve">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9d9d9" w:val="clear"/>
          </w:tcPr>
          <w:p w:rsidR="00000000" w:rsidDel="00000000" w:rsidP="00000000" w:rsidRDefault="00000000" w:rsidRPr="00000000" w14:paraId="0000001C">
            <w:pPr>
              <w:spacing w:line="240" w:lineRule="auto"/>
              <w:ind w:firstLine="0"/>
              <w:jc w:val="left"/>
              <w:rPr/>
            </w:pPr>
            <w:r w:rsidDel="00000000" w:rsidR="00000000" w:rsidRPr="00000000">
              <w:rPr>
                <w:color w:val="000000"/>
                <w:rtl w:val="0"/>
              </w:rPr>
              <w:t xml:space="preserve">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9d9d9" w:val="clear"/>
          </w:tcPr>
          <w:p w:rsidR="00000000" w:rsidDel="00000000" w:rsidP="00000000" w:rsidRDefault="00000000" w:rsidRPr="00000000" w14:paraId="0000001D">
            <w:pPr>
              <w:spacing w:line="240" w:lineRule="auto"/>
              <w:ind w:firstLine="0"/>
              <w:jc w:val="left"/>
              <w:rPr/>
            </w:pPr>
            <w:r w:rsidDel="00000000" w:rsidR="00000000" w:rsidRPr="00000000">
              <w:rPr>
                <w:rtl w:val="0"/>
              </w:rPr>
              <w:t xml:space="preserve">A</w:t>
            </w:r>
          </w:p>
        </w:tc>
      </w:tr>
      <w:tr>
        <w:trPr>
          <w:cantSplit w:val="0"/>
          <w:tblHeader w:val="0"/>
        </w:trPr>
        <w:tc>
          <w:tcPr>
            <w:tcBorders>
              <w:left w:color="000000" w:space="0" w:sz="6" w:val="single"/>
              <w:bottom w:color="000000" w:space="0" w:sz="6" w:val="single"/>
              <w:right w:color="000000" w:space="0" w:sz="6" w:val="single"/>
            </w:tcBorders>
          </w:tcPr>
          <w:p w:rsidR="00000000" w:rsidDel="00000000" w:rsidP="00000000" w:rsidRDefault="00000000" w:rsidRPr="00000000" w14:paraId="0000001E">
            <w:pPr>
              <w:spacing w:line="240" w:lineRule="auto"/>
              <w:ind w:firstLine="0"/>
              <w:jc w:val="left"/>
              <w:rPr/>
            </w:pPr>
            <w:r w:rsidDel="00000000" w:rsidR="00000000" w:rsidRPr="00000000">
              <w:rPr>
                <w:rtl w:val="0"/>
              </w:rPr>
              <w:t xml:space="preserve">Digital activities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F">
            <w:pPr>
              <w:spacing w:line="240" w:lineRule="auto"/>
              <w:ind w:firstLine="0"/>
              <w:jc w:val="left"/>
              <w:rPr/>
            </w:pPr>
            <w:r w:rsidDel="00000000" w:rsidR="00000000" w:rsidRPr="00000000">
              <w:rPr>
                <w:rtl w:val="0"/>
              </w:rPr>
              <w:t xml:space="preserve">14</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20">
            <w:pPr>
              <w:spacing w:line="240" w:lineRule="auto"/>
              <w:ind w:firstLine="0"/>
              <w:jc w:val="left"/>
              <w:rPr/>
            </w:pPr>
            <w:r w:rsidDel="00000000" w:rsidR="00000000" w:rsidRPr="00000000">
              <w:rPr>
                <w:rtl w:val="0"/>
              </w:rPr>
              <w:t xml:space="preserve">6</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21">
            <w:pPr>
              <w:spacing w:line="240" w:lineRule="auto"/>
              <w:ind w:firstLine="0"/>
              <w:jc w:val="left"/>
              <w:rPr/>
            </w:pPr>
            <w:r w:rsidDel="00000000" w:rsidR="00000000" w:rsidRPr="00000000">
              <w:rPr>
                <w:rtl w:val="0"/>
              </w:rPr>
              <w:t xml:space="preserve">3</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22">
            <w:pPr>
              <w:spacing w:line="240" w:lineRule="auto"/>
              <w:ind w:firstLine="0"/>
              <w:jc w:val="left"/>
              <w:rPr>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23">
            <w:pPr>
              <w:spacing w:line="240" w:lineRule="auto"/>
              <w:ind w:firstLine="0"/>
              <w:jc w:val="left"/>
              <w:rPr/>
            </w:pPr>
            <w:r w:rsidDel="00000000" w:rsidR="00000000" w:rsidRPr="00000000">
              <w:rPr>
                <w:color w:val="000000"/>
                <w:rtl w:val="0"/>
              </w:rPr>
              <w:t xml:space="preserve">Thematic analysis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24">
            <w:pPr>
              <w:spacing w:line="240" w:lineRule="auto"/>
              <w:ind w:firstLine="0"/>
              <w:jc w:val="left"/>
              <w:rPr/>
            </w:pPr>
            <w:r w:rsidDel="00000000" w:rsidR="00000000" w:rsidRPr="00000000">
              <w:rPr>
                <w:color w:val="000000"/>
                <w:rtl w:val="0"/>
              </w:rPr>
              <w:t xml:space="preserve">24</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25">
            <w:pPr>
              <w:spacing w:line="240" w:lineRule="auto"/>
              <w:ind w:firstLine="0"/>
              <w:jc w:val="left"/>
              <w:rPr/>
            </w:pPr>
            <w:r w:rsidDel="00000000" w:rsidR="00000000" w:rsidRPr="00000000">
              <w:rPr>
                <w:color w:val="000000"/>
                <w:rtl w:val="0"/>
              </w:rPr>
              <w:t xml:space="preserve">11</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26">
            <w:pPr>
              <w:spacing w:line="240" w:lineRule="auto"/>
              <w:ind w:firstLine="0"/>
              <w:jc w:val="left"/>
              <w:rPr/>
            </w:pPr>
            <w:r w:rsidDel="00000000" w:rsidR="00000000" w:rsidRPr="00000000">
              <w:rPr>
                <w:color w:val="000000"/>
                <w:rtl w:val="0"/>
              </w:rPr>
              <w:t xml:space="preserve">2</w:t>
            </w:r>
            <w:r w:rsidDel="00000000" w:rsidR="00000000" w:rsidRPr="00000000">
              <w:rPr>
                <w:rtl w:val="0"/>
              </w:rPr>
            </w:r>
          </w:p>
        </w:tc>
      </w:tr>
      <w:tr>
        <w:trPr>
          <w:cantSplit w:val="0"/>
          <w:tblHeader w:val="0"/>
        </w:trPr>
        <w:tc>
          <w:tcPr>
            <w:tcBorders>
              <w:left w:color="000000" w:space="0" w:sz="6" w:val="single"/>
              <w:bottom w:color="000000" w:space="0" w:sz="6" w:val="single"/>
              <w:right w:color="000000" w:space="0" w:sz="6" w:val="single"/>
            </w:tcBorders>
          </w:tcPr>
          <w:p w:rsidR="00000000" w:rsidDel="00000000" w:rsidP="00000000" w:rsidRDefault="00000000" w:rsidRPr="00000000" w14:paraId="00000027">
            <w:pPr>
              <w:spacing w:line="240" w:lineRule="auto"/>
              <w:ind w:firstLine="0"/>
              <w:jc w:val="left"/>
              <w:rPr/>
            </w:pPr>
            <w:r w:rsidDel="00000000" w:rsidR="00000000" w:rsidRPr="00000000">
              <w:rPr>
                <w:rtl w:val="0"/>
              </w:rPr>
              <w:t xml:space="preserve">Math. communication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28">
            <w:pPr>
              <w:spacing w:line="240" w:lineRule="auto"/>
              <w:ind w:firstLine="0"/>
              <w:jc w:val="left"/>
              <w:rPr/>
            </w:pPr>
            <w:r w:rsidDel="00000000" w:rsidR="00000000" w:rsidRPr="00000000">
              <w:rPr>
                <w:rtl w:val="0"/>
              </w:rPr>
              <w:t xml:space="preserve">5</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29">
            <w:pPr>
              <w:spacing w:line="240" w:lineRule="auto"/>
              <w:ind w:firstLine="0"/>
              <w:jc w:val="left"/>
              <w:rPr/>
            </w:pPr>
            <w:r w:rsidDel="00000000" w:rsidR="00000000" w:rsidRPr="00000000">
              <w:rPr>
                <w:rtl w:val="0"/>
              </w:rPr>
              <w:t xml:space="preserve">6</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2A">
            <w:pPr>
              <w:spacing w:line="240" w:lineRule="auto"/>
              <w:ind w:firstLine="0"/>
              <w:jc w:val="left"/>
              <w:rPr/>
            </w:pPr>
            <w:r w:rsidDel="00000000" w:rsidR="00000000" w:rsidRPr="00000000">
              <w:rPr>
                <w:rtl w:val="0"/>
              </w:rPr>
              <w:t xml:space="preserve">3</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2B">
            <w:pPr>
              <w:spacing w:line="240" w:lineRule="auto"/>
              <w:ind w:firstLine="0"/>
              <w:jc w:val="left"/>
              <w:rPr>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2C">
            <w:pPr>
              <w:spacing w:line="240" w:lineRule="auto"/>
              <w:ind w:firstLine="0"/>
              <w:jc w:val="left"/>
              <w:rPr/>
            </w:pPr>
            <w:r w:rsidDel="00000000" w:rsidR="00000000" w:rsidRPr="00000000">
              <w:rPr>
                <w:color w:val="000000"/>
                <w:rtl w:val="0"/>
              </w:rPr>
              <w:t xml:space="preserve">Content analysis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2D">
            <w:pPr>
              <w:spacing w:line="240" w:lineRule="auto"/>
              <w:ind w:firstLine="0"/>
              <w:jc w:val="left"/>
              <w:rPr/>
            </w:pPr>
            <w:r w:rsidDel="00000000" w:rsidR="00000000" w:rsidRPr="00000000">
              <w:rPr>
                <w:color w:val="000000"/>
                <w:rtl w:val="0"/>
              </w:rPr>
              <w:t xml:space="preserve">13</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2E">
            <w:pPr>
              <w:spacing w:line="240" w:lineRule="auto"/>
              <w:ind w:firstLine="0"/>
              <w:jc w:val="left"/>
              <w:rPr/>
            </w:pPr>
            <w:r w:rsidDel="00000000" w:rsidR="00000000" w:rsidRPr="00000000">
              <w:rPr>
                <w:color w:val="000000"/>
                <w:rtl w:val="0"/>
              </w:rPr>
              <w:t xml:space="preserve">11</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2F">
            <w:pPr>
              <w:spacing w:line="240" w:lineRule="auto"/>
              <w:ind w:firstLine="0"/>
              <w:jc w:val="left"/>
              <w:rPr/>
            </w:pPr>
            <w:r w:rsidDel="00000000" w:rsidR="00000000" w:rsidRPr="00000000">
              <w:rPr>
                <w:color w:val="000000"/>
                <w:rtl w:val="0"/>
              </w:rPr>
              <w:t xml:space="preserve">13</w:t>
            </w:r>
            <w:r w:rsidDel="00000000" w:rsidR="00000000" w:rsidRPr="00000000">
              <w:rPr>
                <w:rtl w:val="0"/>
              </w:rPr>
            </w:r>
          </w:p>
        </w:tc>
      </w:tr>
      <w:tr>
        <w:trPr>
          <w:cantSplit w:val="0"/>
          <w:tblHeader w:val="0"/>
        </w:trPr>
        <w:tc>
          <w:tcPr>
            <w:tcBorders>
              <w:left w:color="000000" w:space="0" w:sz="6" w:val="single"/>
              <w:bottom w:color="000000" w:space="0" w:sz="6" w:val="single"/>
              <w:right w:color="000000" w:space="0" w:sz="6" w:val="single"/>
            </w:tcBorders>
          </w:tcPr>
          <w:p w:rsidR="00000000" w:rsidDel="00000000" w:rsidP="00000000" w:rsidRDefault="00000000" w:rsidRPr="00000000" w14:paraId="00000030">
            <w:pPr>
              <w:spacing w:line="240" w:lineRule="auto"/>
              <w:ind w:firstLine="0"/>
              <w:jc w:val="left"/>
              <w:rPr/>
            </w:pPr>
            <w:r w:rsidDel="00000000" w:rsidR="00000000" w:rsidRPr="00000000">
              <w:rPr>
                <w:rtl w:val="0"/>
              </w:rPr>
              <w:t xml:space="preserve">Stud. identity &amp; experience</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31">
            <w:pPr>
              <w:spacing w:line="240" w:lineRule="auto"/>
              <w:ind w:firstLine="0"/>
              <w:jc w:val="left"/>
              <w:rPr/>
            </w:pPr>
            <w:r w:rsidDel="00000000" w:rsidR="00000000" w:rsidRPr="00000000">
              <w:rPr>
                <w:rtl w:val="0"/>
              </w:rPr>
              <w:t xml:space="preserve">4</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32">
            <w:pPr>
              <w:spacing w:line="240" w:lineRule="auto"/>
              <w:ind w:firstLine="0"/>
              <w:jc w:val="left"/>
              <w:rPr/>
            </w:pPr>
            <w:r w:rsidDel="00000000" w:rsidR="00000000" w:rsidRPr="00000000">
              <w:rPr>
                <w:rtl w:val="0"/>
              </w:rPr>
              <w:t xml:space="preserve">10</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33">
            <w:pPr>
              <w:spacing w:line="240" w:lineRule="auto"/>
              <w:ind w:firstLine="0"/>
              <w:jc w:val="left"/>
              <w:rPr/>
            </w:pPr>
            <w:r w:rsidDel="00000000" w:rsidR="00000000" w:rsidRPr="00000000">
              <w:rPr>
                <w:rtl w:val="0"/>
              </w:rPr>
              <w:t xml:space="preserve">0</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34">
            <w:pPr>
              <w:spacing w:line="240" w:lineRule="auto"/>
              <w:ind w:firstLine="0"/>
              <w:jc w:val="left"/>
              <w:rPr>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35">
            <w:pPr>
              <w:spacing w:line="240" w:lineRule="auto"/>
              <w:ind w:firstLine="0"/>
              <w:jc w:val="left"/>
              <w:rPr/>
            </w:pPr>
            <w:r w:rsidDel="00000000" w:rsidR="00000000" w:rsidRPr="00000000">
              <w:rPr>
                <w:color w:val="000000"/>
                <w:rtl w:val="0"/>
              </w:rPr>
              <w:t xml:space="preserve">Statistical analysis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36">
            <w:pPr>
              <w:spacing w:line="240" w:lineRule="auto"/>
              <w:ind w:firstLine="0"/>
              <w:jc w:val="left"/>
              <w:rPr/>
            </w:pPr>
            <w:r w:rsidDel="00000000" w:rsidR="00000000" w:rsidRPr="00000000">
              <w:rPr>
                <w:color w:val="000000"/>
                <w:rtl w:val="0"/>
              </w:rPr>
              <w:t xml:space="preserve">4</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37">
            <w:pPr>
              <w:spacing w:line="240" w:lineRule="auto"/>
              <w:ind w:firstLine="0"/>
              <w:jc w:val="left"/>
              <w:rPr/>
            </w:pPr>
            <w:r w:rsidDel="00000000" w:rsidR="00000000" w:rsidRPr="00000000">
              <w:rPr>
                <w:color w:val="000000"/>
                <w:rtl w:val="0"/>
              </w:rPr>
              <w:t xml:space="preserve">11</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38">
            <w:pPr>
              <w:spacing w:line="240" w:lineRule="auto"/>
              <w:ind w:firstLine="0"/>
              <w:jc w:val="left"/>
              <w:rPr/>
            </w:pPr>
            <w:r w:rsidDel="00000000" w:rsidR="00000000" w:rsidRPr="00000000">
              <w:rPr>
                <w:color w:val="000000"/>
                <w:rtl w:val="0"/>
              </w:rPr>
              <w:t xml:space="preserve">3</w:t>
            </w:r>
            <w:r w:rsidDel="00000000" w:rsidR="00000000" w:rsidRPr="00000000">
              <w:rPr>
                <w:rtl w:val="0"/>
              </w:rPr>
            </w:r>
          </w:p>
        </w:tc>
      </w:tr>
      <w:tr>
        <w:trPr>
          <w:cantSplit w:val="0"/>
          <w:tblHeader w:val="0"/>
        </w:trPr>
        <w:tc>
          <w:tcPr>
            <w:tcBorders>
              <w:left w:color="000000" w:space="0" w:sz="6" w:val="single"/>
              <w:bottom w:color="000000" w:space="0" w:sz="6" w:val="single"/>
              <w:right w:color="000000" w:space="0" w:sz="6" w:val="single"/>
            </w:tcBorders>
          </w:tcPr>
          <w:p w:rsidR="00000000" w:rsidDel="00000000" w:rsidP="00000000" w:rsidRDefault="00000000" w:rsidRPr="00000000" w14:paraId="00000039">
            <w:pPr>
              <w:spacing w:line="240" w:lineRule="auto"/>
              <w:ind w:firstLine="0"/>
              <w:jc w:val="left"/>
              <w:rPr/>
            </w:pPr>
            <w:r w:rsidDel="00000000" w:rsidR="00000000" w:rsidRPr="00000000">
              <w:rPr>
                <w:rtl w:val="0"/>
              </w:rPr>
              <w:t xml:space="preserve">Assessment</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3A">
            <w:pPr>
              <w:spacing w:line="240" w:lineRule="auto"/>
              <w:ind w:firstLine="0"/>
              <w:jc w:val="left"/>
              <w:rPr/>
            </w:pPr>
            <w:r w:rsidDel="00000000" w:rsidR="00000000" w:rsidRPr="00000000">
              <w:rPr>
                <w:rtl w:val="0"/>
              </w:rPr>
              <w:t xml:space="preserve">7</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3B">
            <w:pPr>
              <w:spacing w:line="240" w:lineRule="auto"/>
              <w:ind w:firstLine="0"/>
              <w:jc w:val="left"/>
              <w:rPr/>
            </w:pPr>
            <w:r w:rsidDel="00000000" w:rsidR="00000000" w:rsidRPr="00000000">
              <w:rPr>
                <w:rtl w:val="0"/>
              </w:rPr>
              <w:t xml:space="preserve">2</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3C">
            <w:pPr>
              <w:spacing w:line="240" w:lineRule="auto"/>
              <w:ind w:firstLine="0"/>
              <w:jc w:val="left"/>
              <w:rPr/>
            </w:pPr>
            <w:r w:rsidDel="00000000" w:rsidR="00000000" w:rsidRPr="00000000">
              <w:rPr>
                <w:rtl w:val="0"/>
              </w:rPr>
              <w:t xml:space="preserve">3</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3D">
            <w:pPr>
              <w:spacing w:line="240" w:lineRule="auto"/>
              <w:ind w:firstLine="0"/>
              <w:jc w:val="left"/>
              <w:rPr>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3E">
            <w:pPr>
              <w:spacing w:line="240" w:lineRule="auto"/>
              <w:ind w:firstLine="0"/>
              <w:jc w:val="left"/>
              <w:rPr/>
            </w:pPr>
            <w:r w:rsidDel="00000000" w:rsidR="00000000" w:rsidRPr="00000000">
              <w:rPr>
                <w:color w:val="000000"/>
                <w:rtl w:val="0"/>
              </w:rPr>
              <w:t xml:space="preserve">Discourse analysis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3F">
            <w:pPr>
              <w:spacing w:line="240" w:lineRule="auto"/>
              <w:ind w:firstLine="0"/>
              <w:jc w:val="left"/>
              <w:rPr/>
            </w:pPr>
            <w:r w:rsidDel="00000000" w:rsidR="00000000" w:rsidRPr="00000000">
              <w:rPr>
                <w:color w:val="000000"/>
                <w:rtl w:val="0"/>
              </w:rPr>
              <w:t xml:space="preserve">3</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40">
            <w:pPr>
              <w:spacing w:line="240" w:lineRule="auto"/>
              <w:ind w:firstLine="0"/>
              <w:jc w:val="left"/>
              <w:rPr/>
            </w:pPr>
            <w:r w:rsidDel="00000000" w:rsidR="00000000" w:rsidRPr="00000000">
              <w:rPr>
                <w:color w:val="000000"/>
                <w:rtl w:val="0"/>
              </w:rPr>
              <w:t xml:space="preserve">1</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41">
            <w:pPr>
              <w:spacing w:line="240" w:lineRule="auto"/>
              <w:ind w:firstLine="0"/>
              <w:jc w:val="left"/>
              <w:rPr/>
            </w:pPr>
            <w:r w:rsidDel="00000000" w:rsidR="00000000" w:rsidRPr="00000000">
              <w:rPr>
                <w:color w:val="000000"/>
                <w:rtl w:val="0"/>
              </w:rPr>
              <w:t xml:space="preserve">2</w:t>
            </w:r>
            <w:r w:rsidDel="00000000" w:rsidR="00000000" w:rsidRPr="00000000">
              <w:rPr>
                <w:rtl w:val="0"/>
              </w:rPr>
            </w:r>
          </w:p>
        </w:tc>
      </w:tr>
      <w:tr>
        <w:trPr>
          <w:cantSplit w:val="0"/>
          <w:tblHeader w:val="0"/>
        </w:trPr>
        <w:tc>
          <w:tcPr>
            <w:tcBorders>
              <w:left w:color="000000" w:space="0" w:sz="6" w:val="single"/>
              <w:bottom w:color="000000" w:space="0" w:sz="6" w:val="single"/>
              <w:right w:color="000000" w:space="0" w:sz="6" w:val="single"/>
            </w:tcBorders>
          </w:tcPr>
          <w:p w:rsidR="00000000" w:rsidDel="00000000" w:rsidP="00000000" w:rsidRDefault="00000000" w:rsidRPr="00000000" w14:paraId="00000042">
            <w:pPr>
              <w:spacing w:line="240" w:lineRule="auto"/>
              <w:ind w:firstLine="0"/>
              <w:jc w:val="left"/>
              <w:rPr/>
            </w:pPr>
            <w:r w:rsidDel="00000000" w:rsidR="00000000" w:rsidRPr="00000000">
              <w:rPr>
                <w:rtl w:val="0"/>
              </w:rPr>
              <w:t xml:space="preserve">Problem-solving</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43">
            <w:pPr>
              <w:spacing w:line="240" w:lineRule="auto"/>
              <w:ind w:firstLine="0"/>
              <w:jc w:val="left"/>
              <w:rPr/>
            </w:pPr>
            <w:r w:rsidDel="00000000" w:rsidR="00000000" w:rsidRPr="00000000">
              <w:rPr>
                <w:rtl w:val="0"/>
              </w:rPr>
              <w:t xml:space="preserve">4</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44">
            <w:pPr>
              <w:spacing w:line="240" w:lineRule="auto"/>
              <w:ind w:firstLine="0"/>
              <w:jc w:val="left"/>
              <w:rPr/>
            </w:pPr>
            <w:r w:rsidDel="00000000" w:rsidR="00000000" w:rsidRPr="00000000">
              <w:rPr>
                <w:rtl w:val="0"/>
              </w:rPr>
              <w:t xml:space="preserve">3</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45">
            <w:pPr>
              <w:spacing w:line="240" w:lineRule="auto"/>
              <w:ind w:firstLine="0"/>
              <w:jc w:val="left"/>
              <w:rPr/>
            </w:pPr>
            <w:r w:rsidDel="00000000" w:rsidR="00000000" w:rsidRPr="00000000">
              <w:rPr>
                <w:rtl w:val="0"/>
              </w:rPr>
              <w:t xml:space="preserve">4</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46">
            <w:pPr>
              <w:spacing w:line="240" w:lineRule="auto"/>
              <w:ind w:firstLine="0"/>
              <w:jc w:val="left"/>
              <w:rPr>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47">
            <w:pPr>
              <w:spacing w:line="240" w:lineRule="auto"/>
              <w:ind w:firstLine="0"/>
              <w:jc w:val="left"/>
              <w:rPr/>
            </w:pPr>
            <w:r w:rsidDel="00000000" w:rsidR="00000000" w:rsidRPr="00000000">
              <w:rPr>
                <w:color w:val="000000"/>
                <w:rtl w:val="0"/>
              </w:rPr>
              <w:t xml:space="preserve">Phenomenography</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48">
            <w:pPr>
              <w:spacing w:line="240" w:lineRule="auto"/>
              <w:ind w:firstLine="0"/>
              <w:jc w:val="left"/>
              <w:rPr/>
            </w:pPr>
            <w:r w:rsidDel="00000000" w:rsidR="00000000" w:rsidRPr="00000000">
              <w:rPr>
                <w:color w:val="000000"/>
                <w:rtl w:val="0"/>
              </w:rPr>
              <w:t xml:space="preserve">3</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49">
            <w:pPr>
              <w:spacing w:line="240" w:lineRule="auto"/>
              <w:ind w:firstLine="0"/>
              <w:jc w:val="left"/>
              <w:rPr/>
            </w:pPr>
            <w:r w:rsidDel="00000000" w:rsidR="00000000" w:rsidRPr="00000000">
              <w:rPr>
                <w:color w:val="000000"/>
                <w:rtl w:val="0"/>
              </w:rPr>
              <w:t xml:space="preserve">1</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4A">
            <w:pPr>
              <w:spacing w:line="240" w:lineRule="auto"/>
              <w:ind w:firstLine="0"/>
              <w:jc w:val="left"/>
              <w:rPr/>
            </w:pPr>
            <w:r w:rsidDel="00000000" w:rsidR="00000000" w:rsidRPr="00000000">
              <w:rPr>
                <w:color w:val="000000"/>
                <w:rtl w:val="0"/>
              </w:rPr>
              <w:t xml:space="preserve">1</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4B">
            <w:pPr>
              <w:spacing w:line="240" w:lineRule="auto"/>
              <w:ind w:firstLine="0"/>
              <w:jc w:val="left"/>
              <w:rPr/>
            </w:pPr>
            <w:r w:rsidDel="00000000" w:rsidR="00000000" w:rsidRPr="00000000">
              <w:rPr>
                <w:rtl w:val="0"/>
              </w:rPr>
              <w:t xml:space="preserve">Math. areas, s.a. algebra</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4C">
            <w:pPr>
              <w:spacing w:line="240" w:lineRule="auto"/>
              <w:ind w:firstLine="0"/>
              <w:jc w:val="left"/>
              <w:rPr/>
            </w:pPr>
            <w:r w:rsidDel="00000000" w:rsidR="00000000" w:rsidRPr="00000000">
              <w:rPr>
                <w:rtl w:val="0"/>
              </w:rPr>
              <w:t xml:space="preserve">2</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4D">
            <w:pPr>
              <w:spacing w:line="240" w:lineRule="auto"/>
              <w:ind w:firstLine="0"/>
              <w:jc w:val="left"/>
              <w:rPr/>
            </w:pPr>
            <w:r w:rsidDel="00000000" w:rsidR="00000000" w:rsidRPr="00000000">
              <w:rPr>
                <w:rtl w:val="0"/>
              </w:rPr>
              <w:t xml:space="preserve">5</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4E">
            <w:pPr>
              <w:spacing w:line="240" w:lineRule="auto"/>
              <w:ind w:firstLine="0"/>
              <w:jc w:val="left"/>
              <w:rPr/>
            </w:pPr>
            <w:r w:rsidDel="00000000" w:rsidR="00000000" w:rsidRPr="00000000">
              <w:rPr>
                <w:rtl w:val="0"/>
              </w:rPr>
              <w:t xml:space="preserve">2</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4F">
            <w:pPr>
              <w:spacing w:line="240" w:lineRule="auto"/>
              <w:ind w:firstLine="0"/>
              <w:jc w:val="left"/>
              <w:rPr>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50">
            <w:pPr>
              <w:spacing w:line="240" w:lineRule="auto"/>
              <w:ind w:firstLine="0"/>
              <w:jc w:val="left"/>
              <w:rPr/>
            </w:pPr>
            <w:r w:rsidDel="00000000" w:rsidR="00000000" w:rsidRPr="00000000">
              <w:rPr>
                <w:color w:val="000000"/>
                <w:rtl w:val="0"/>
              </w:rPr>
              <w:t xml:space="preserve">Grounded theory</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51">
            <w:pPr>
              <w:spacing w:line="240" w:lineRule="auto"/>
              <w:ind w:firstLine="0"/>
              <w:jc w:val="left"/>
              <w:rPr/>
            </w:pPr>
            <w:r w:rsidDel="00000000" w:rsidR="00000000" w:rsidRPr="00000000">
              <w:rPr>
                <w:color w:val="000000"/>
                <w:rtl w:val="0"/>
              </w:rPr>
              <w:t xml:space="preserve">3</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52">
            <w:pPr>
              <w:spacing w:line="240" w:lineRule="auto"/>
              <w:ind w:firstLine="0"/>
              <w:jc w:val="left"/>
              <w:rPr/>
            </w:pPr>
            <w:r w:rsidDel="00000000" w:rsidR="00000000" w:rsidRPr="00000000">
              <w:rPr>
                <w:color w:val="000000"/>
                <w:rtl w:val="0"/>
              </w:rPr>
              <w:t xml:space="preserve">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53">
            <w:pPr>
              <w:spacing w:line="240" w:lineRule="auto"/>
              <w:ind w:firstLine="0"/>
              <w:jc w:val="left"/>
              <w:rPr/>
            </w:pPr>
            <w:r w:rsidDel="00000000" w:rsidR="00000000" w:rsidRPr="00000000">
              <w:rPr>
                <w:color w:val="000000"/>
                <w:rtl w:val="0"/>
              </w:rPr>
              <w:t xml:space="preserve">1</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54">
            <w:pPr>
              <w:spacing w:line="240" w:lineRule="auto"/>
              <w:ind w:firstLine="0"/>
              <w:jc w:val="left"/>
              <w:rPr/>
            </w:pPr>
            <w:r w:rsidDel="00000000" w:rsidR="00000000" w:rsidRPr="00000000">
              <w:rPr>
                <w:rtl w:val="0"/>
              </w:rPr>
              <w:t xml:space="preserve">Students’ use of textbooks</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55">
            <w:pPr>
              <w:spacing w:line="240" w:lineRule="auto"/>
              <w:ind w:firstLine="0"/>
              <w:jc w:val="left"/>
              <w:rPr/>
            </w:pPr>
            <w:r w:rsidDel="00000000" w:rsidR="00000000" w:rsidRPr="00000000">
              <w:rPr>
                <w:rtl w:val="0"/>
              </w:rPr>
              <w:t xml:space="preserve">2</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56">
            <w:pPr>
              <w:spacing w:line="240" w:lineRule="auto"/>
              <w:ind w:firstLine="0"/>
              <w:jc w:val="left"/>
              <w:rPr/>
            </w:pPr>
            <w:r w:rsidDel="00000000" w:rsidR="00000000" w:rsidRPr="00000000">
              <w:rPr>
                <w:rtl w:val="0"/>
              </w:rPr>
              <w:t xml:space="preserve">3</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57">
            <w:pPr>
              <w:spacing w:line="240" w:lineRule="auto"/>
              <w:ind w:firstLine="0"/>
              <w:jc w:val="left"/>
              <w:rPr/>
            </w:pPr>
            <w:r w:rsidDel="00000000" w:rsidR="00000000" w:rsidRPr="00000000">
              <w:rPr>
                <w:rtl w:val="0"/>
              </w:rPr>
              <w:t xml:space="preserve">3</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58">
            <w:pPr>
              <w:spacing w:line="240" w:lineRule="auto"/>
              <w:ind w:firstLine="0"/>
              <w:jc w:val="left"/>
              <w:rPr>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59">
            <w:pPr>
              <w:spacing w:line="240" w:lineRule="auto"/>
              <w:ind w:firstLine="0"/>
              <w:jc w:val="left"/>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5A">
            <w:pPr>
              <w:spacing w:line="240" w:lineRule="auto"/>
              <w:ind w:firstLine="0"/>
              <w:jc w:val="left"/>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5B">
            <w:pPr>
              <w:spacing w:line="240" w:lineRule="auto"/>
              <w:ind w:firstLine="0"/>
              <w:jc w:val="left"/>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5C">
            <w:pPr>
              <w:spacing w:line="240" w:lineRule="auto"/>
              <w:ind w:firstLine="0"/>
              <w:jc w:val="left"/>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5D">
            <w:pPr>
              <w:spacing w:line="240" w:lineRule="auto"/>
              <w:ind w:firstLine="0"/>
              <w:jc w:val="left"/>
              <w:rPr/>
            </w:pPr>
            <w:r w:rsidDel="00000000" w:rsidR="00000000" w:rsidRPr="00000000">
              <w:rPr>
                <w:rtl w:val="0"/>
              </w:rPr>
              <w:t xml:space="preserve">Students’ math. difficulties</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5E">
            <w:pPr>
              <w:spacing w:line="240" w:lineRule="auto"/>
              <w:ind w:firstLine="0"/>
              <w:jc w:val="left"/>
              <w:rPr/>
            </w:pPr>
            <w:r w:rsidDel="00000000" w:rsidR="00000000" w:rsidRPr="00000000">
              <w:rPr>
                <w:rtl w:val="0"/>
              </w:rPr>
              <w:t xml:space="preserve">2</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5F">
            <w:pPr>
              <w:spacing w:line="240" w:lineRule="auto"/>
              <w:ind w:firstLine="0"/>
              <w:jc w:val="left"/>
              <w:rPr/>
            </w:pPr>
            <w:r w:rsidDel="00000000" w:rsidR="00000000" w:rsidRPr="00000000">
              <w:rPr>
                <w:rtl w:val="0"/>
              </w:rPr>
              <w:t xml:space="preserve">3</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0">
            <w:pPr>
              <w:spacing w:line="240" w:lineRule="auto"/>
              <w:ind w:firstLine="0"/>
              <w:jc w:val="left"/>
              <w:rPr/>
            </w:pPr>
            <w:r w:rsidDel="00000000" w:rsidR="00000000" w:rsidRPr="00000000">
              <w:rPr>
                <w:rtl w:val="0"/>
              </w:rPr>
              <w:t xml:space="preserve">0</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1">
            <w:pPr>
              <w:spacing w:line="240" w:lineRule="auto"/>
              <w:ind w:firstLine="0"/>
              <w:jc w:val="left"/>
              <w:rPr>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2">
            <w:pPr>
              <w:spacing w:line="240" w:lineRule="auto"/>
              <w:ind w:firstLine="0"/>
              <w:jc w:val="left"/>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3">
            <w:pPr>
              <w:spacing w:line="240" w:lineRule="auto"/>
              <w:ind w:firstLine="0"/>
              <w:jc w:val="left"/>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4">
            <w:pPr>
              <w:spacing w:line="240" w:lineRule="auto"/>
              <w:ind w:firstLine="0"/>
              <w:jc w:val="left"/>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5">
            <w:pPr>
              <w:spacing w:line="240" w:lineRule="auto"/>
              <w:ind w:firstLine="0"/>
              <w:jc w:val="left"/>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6">
            <w:pPr>
              <w:spacing w:line="240" w:lineRule="auto"/>
              <w:ind w:firstLine="0"/>
              <w:jc w:val="left"/>
              <w:rPr/>
            </w:pPr>
            <w:r w:rsidDel="00000000" w:rsidR="00000000" w:rsidRPr="00000000">
              <w:rPr>
                <w:rtl w:val="0"/>
              </w:rPr>
              <w:t xml:space="preserve">Inclusion of all students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7">
            <w:pPr>
              <w:spacing w:line="240" w:lineRule="auto"/>
              <w:ind w:firstLine="0"/>
              <w:jc w:val="left"/>
              <w:rPr/>
            </w:pPr>
            <w:r w:rsidDel="00000000" w:rsidR="00000000" w:rsidRPr="00000000">
              <w:rPr>
                <w:rtl w:val="0"/>
              </w:rPr>
              <w:t xml:space="preserve">4</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8">
            <w:pPr>
              <w:spacing w:line="240" w:lineRule="auto"/>
              <w:ind w:firstLine="0"/>
              <w:jc w:val="left"/>
              <w:rPr/>
            </w:pPr>
            <w:r w:rsidDel="00000000" w:rsidR="00000000" w:rsidRPr="00000000">
              <w:rPr>
                <w:rtl w:val="0"/>
              </w:rPr>
              <w:t xml:space="preserve">1</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9">
            <w:pPr>
              <w:spacing w:line="240" w:lineRule="auto"/>
              <w:ind w:firstLine="0"/>
              <w:jc w:val="left"/>
              <w:rPr/>
            </w:pPr>
            <w:r w:rsidDel="00000000" w:rsidR="00000000" w:rsidRPr="00000000">
              <w:rPr>
                <w:rtl w:val="0"/>
              </w:rPr>
              <w:t xml:space="preserve">0</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A">
            <w:pPr>
              <w:spacing w:line="240" w:lineRule="auto"/>
              <w:ind w:firstLine="0"/>
              <w:jc w:val="left"/>
              <w:rPr>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B">
            <w:pPr>
              <w:spacing w:line="240" w:lineRule="auto"/>
              <w:ind w:firstLine="0"/>
              <w:jc w:val="left"/>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C">
            <w:pPr>
              <w:spacing w:line="240" w:lineRule="auto"/>
              <w:ind w:firstLine="0"/>
              <w:jc w:val="left"/>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D">
            <w:pPr>
              <w:spacing w:line="240" w:lineRule="auto"/>
              <w:ind w:firstLine="0"/>
              <w:jc w:val="left"/>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E">
            <w:pPr>
              <w:spacing w:line="240" w:lineRule="auto"/>
              <w:ind w:firstLine="0"/>
              <w:jc w:val="left"/>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F">
            <w:pPr>
              <w:spacing w:line="240" w:lineRule="auto"/>
              <w:ind w:firstLine="0"/>
              <w:jc w:val="left"/>
              <w:rPr/>
            </w:pPr>
            <w:r w:rsidDel="00000000" w:rsidR="00000000" w:rsidRPr="00000000">
              <w:rPr>
                <w:rtl w:val="0"/>
              </w:rPr>
              <w:t xml:space="preserve">Mathematical reasoning</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0">
            <w:pPr>
              <w:spacing w:line="240" w:lineRule="auto"/>
              <w:ind w:firstLine="0"/>
              <w:jc w:val="left"/>
              <w:rPr/>
            </w:pPr>
            <w:r w:rsidDel="00000000" w:rsidR="00000000" w:rsidRPr="00000000">
              <w:rPr>
                <w:rtl w:val="0"/>
              </w:rPr>
              <w:t xml:space="preserve">1</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1">
            <w:pPr>
              <w:spacing w:line="240" w:lineRule="auto"/>
              <w:ind w:firstLine="0"/>
              <w:jc w:val="left"/>
              <w:rPr/>
            </w:pPr>
            <w:r w:rsidDel="00000000" w:rsidR="00000000" w:rsidRPr="00000000">
              <w:rPr>
                <w:rtl w:val="0"/>
              </w:rPr>
              <w:t xml:space="preserve">0</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2">
            <w:pPr>
              <w:spacing w:line="240" w:lineRule="auto"/>
              <w:ind w:firstLine="0"/>
              <w:jc w:val="left"/>
              <w:rPr/>
            </w:pPr>
            <w:r w:rsidDel="00000000" w:rsidR="00000000" w:rsidRPr="00000000">
              <w:rPr>
                <w:rtl w:val="0"/>
              </w:rPr>
              <w:t xml:space="preserve">3</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3">
            <w:pPr>
              <w:spacing w:line="240" w:lineRule="auto"/>
              <w:ind w:firstLine="0"/>
              <w:jc w:val="left"/>
              <w:rPr>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4">
            <w:pPr>
              <w:spacing w:line="240" w:lineRule="auto"/>
              <w:ind w:firstLine="0"/>
              <w:jc w:val="left"/>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5">
            <w:pPr>
              <w:spacing w:line="240" w:lineRule="auto"/>
              <w:ind w:firstLine="0"/>
              <w:jc w:val="left"/>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6">
            <w:pPr>
              <w:spacing w:line="240" w:lineRule="auto"/>
              <w:ind w:firstLine="0"/>
              <w:jc w:val="left"/>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7">
            <w:pPr>
              <w:spacing w:line="240" w:lineRule="auto"/>
              <w:ind w:firstLine="0"/>
              <w:jc w:val="left"/>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8">
            <w:pPr>
              <w:spacing w:line="240" w:lineRule="auto"/>
              <w:ind w:firstLine="0"/>
              <w:jc w:val="left"/>
              <w:rPr/>
            </w:pPr>
            <w:r w:rsidDel="00000000" w:rsidR="00000000" w:rsidRPr="00000000">
              <w:rPr>
                <w:rtl w:val="0"/>
              </w:rPr>
              <w:t xml:space="preserve">Modelling</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9">
            <w:pPr>
              <w:spacing w:line="240" w:lineRule="auto"/>
              <w:ind w:firstLine="0"/>
              <w:jc w:val="left"/>
              <w:rPr/>
            </w:pPr>
            <w:r w:rsidDel="00000000" w:rsidR="00000000" w:rsidRPr="00000000">
              <w:rPr>
                <w:rtl w:val="0"/>
              </w:rPr>
              <w:t xml:space="preserve">2</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A">
            <w:pPr>
              <w:spacing w:line="240" w:lineRule="auto"/>
              <w:ind w:firstLine="0"/>
              <w:jc w:val="left"/>
              <w:rPr/>
            </w:pPr>
            <w:r w:rsidDel="00000000" w:rsidR="00000000" w:rsidRPr="00000000">
              <w:rPr>
                <w:rtl w:val="0"/>
              </w:rPr>
              <w:t xml:space="preserve">1</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B">
            <w:pPr>
              <w:spacing w:line="240" w:lineRule="auto"/>
              <w:ind w:firstLine="0"/>
              <w:jc w:val="left"/>
              <w:rPr/>
            </w:pPr>
            <w:r w:rsidDel="00000000" w:rsidR="00000000" w:rsidRPr="00000000">
              <w:rPr>
                <w:rtl w:val="0"/>
              </w:rPr>
              <w:t xml:space="preserve">1</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C">
            <w:pPr>
              <w:spacing w:line="240" w:lineRule="auto"/>
              <w:ind w:firstLine="0"/>
              <w:jc w:val="left"/>
              <w:rPr>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D">
            <w:pPr>
              <w:spacing w:line="240" w:lineRule="auto"/>
              <w:ind w:firstLine="0"/>
              <w:jc w:val="left"/>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E">
            <w:pPr>
              <w:spacing w:line="240" w:lineRule="auto"/>
              <w:ind w:firstLine="0"/>
              <w:jc w:val="left"/>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F">
            <w:pPr>
              <w:spacing w:line="240" w:lineRule="auto"/>
              <w:ind w:firstLine="0"/>
              <w:jc w:val="left"/>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0">
            <w:pPr>
              <w:spacing w:line="240" w:lineRule="auto"/>
              <w:ind w:firstLine="0"/>
              <w:jc w:val="left"/>
              <w:rPr/>
            </w:pPr>
            <w:r w:rsidDel="00000000" w:rsidR="00000000" w:rsidRPr="00000000">
              <w:rPr>
                <w:rtl w:val="0"/>
              </w:rPr>
            </w:r>
          </w:p>
        </w:tc>
      </w:tr>
    </w:tbl>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425" w:right="425"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Table 1. Topics in research questions and methods of analysis used in the theses related to objects of study (numbers of theses).</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Digital activities was shown to be the most frequently addressed topic in the theses, in contrast to Skau’s (2025) results, particularly from the perspective of teachers. Other popular topics are mathematical communication, student experiences, and assessment. Fewer theses focused on mathematical problem-solving or specific mathematical content areas. Thematic analysis and content analysis were the most employed methods, the former especially in theses with teachers as objects of study, which may be a consequence of trends in the research community. The theses reveal varied combinations and justifications of methodological frameworks, often simplified and insufficiently problematized, with several theses lacking clarity in how frameworks are combined and applied in the analysis. </w:t>
      </w:r>
    </w:p>
    <w:p w:rsidR="00000000" w:rsidDel="00000000" w:rsidP="00000000" w:rsidRDefault="00000000" w:rsidRPr="00000000" w14:paraId="00000083">
      <w:pPr>
        <w:rPr/>
      </w:pPr>
      <w:r w:rsidDel="00000000" w:rsidR="00000000" w:rsidRPr="00000000">
        <w:rPr>
          <w:rtl w:val="0"/>
        </w:rPr>
        <w:t xml:space="preserve">The results have implications for teacher education regarding content and how it is taught, particularly regarding scientific methods related to didactical practices.</w:t>
      </w:r>
    </w:p>
    <w:p w:rsidR="00000000" w:rsidDel="00000000" w:rsidP="00000000" w:rsidRDefault="00000000" w:rsidRPr="00000000" w14:paraId="00000084">
      <w:pPr>
        <w:pStyle w:val="Heading2"/>
        <w:rPr/>
      </w:pPr>
      <w:r w:rsidDel="00000000" w:rsidR="00000000" w:rsidRPr="00000000">
        <w:rPr>
          <w:rtl w:val="0"/>
        </w:rPr>
        <w:t xml:space="preserve">References</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hanging="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Juter, K. (under review). Pre-service mathematics teachers’ framework usage in degree theses.</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hanging="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Magana, A. J. (2022). The role of frameworks in engineering education research.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Journal of Engineering Education, 111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9–13. </w:t>
      </w:r>
      <w:hyperlink r:id="rId7">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https://doi.org/10.1002/jee.20443</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hanging="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Rezat, S., &amp; Sträßer, R. (2012). From the didactical triangle to the socio-didactical tetrahedron: artifacts as fundamental constituents of the didactical situation.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ZDM Mathematics Education, 44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641–651. </w:t>
      </w:r>
      <w:hyperlink r:id="rId8">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https://doi.org/10.1007/s11858-012-0448-4</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hanging="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Skau, S., Börjesson, M., Nyman, R., &amp; Thompson, W. H. (2025). Trendlines in research methodology and topics in teacher education: big data analysis of theses in Swedish teacher education between 2005 and 2023.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Scandinavian Journal of Educational Research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1–16. </w:t>
      </w:r>
      <w:hyperlink r:id="rId9">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https://doi.org/10.1080/00313831.2025.2506378</w:t>
        </w:r>
      </w:hyperlink>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hanging="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Yore, L. D., &amp; Tang, KS. (2022). Foundations, insights, and future considerations of reading in science and mathematics education.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International Journal of Science and Mathematics Education, 20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237–260. </w:t>
      </w:r>
      <w:hyperlink r:id="rId10">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https://doi.org/10.1007/s10763-022-10321-2</w:t>
        </w:r>
      </w:hyperlink>
      <w:r w:rsidDel="00000000" w:rsidR="00000000" w:rsidRPr="00000000">
        <w:rPr>
          <w:rtl w:val="0"/>
        </w:rPr>
      </w:r>
    </w:p>
    <w:sectPr>
      <w:headerReference r:id="rId11" w:type="default"/>
      <w:footerReference r:id="rId12" w:type="default"/>
      <w:footerReference r:id="rId13" w:type="even"/>
      <w:pgSz w:h="16838" w:w="11906" w:orient="portrait"/>
      <w:pgMar w:bottom="1418" w:top="1701" w:left="1418" w:right="1418"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425"/>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425"/>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425"/>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425"/>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A">
    <w:pPr>
      <w:jc w:val="right"/>
      <w:rPr/>
    </w:pPr>
    <w:r w:rsidDel="00000000" w:rsidR="00000000" w:rsidRPr="00000000">
      <w:rPr>
        <w:rtl w:val="0"/>
      </w:rPr>
    </w:r>
  </w:p>
  <w:p w:rsidR="00000000" w:rsidDel="00000000" w:rsidP="00000000" w:rsidRDefault="00000000" w:rsidRPr="00000000" w14:paraId="0000008B">
    <w:pPr>
      <w:ind w:right="36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6"/>
        <w:szCs w:val="26"/>
        <w:lang w:val="en_GB"/>
      </w:rPr>
    </w:rPrDefault>
    <w:pPrDefault>
      <w:pPr>
        <w:ind w:firstLine="425"/>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0" w:before="0" w:lineRule="auto"/>
      <w:ind w:firstLine="0"/>
      <w:jc w:val="center"/>
    </w:pPr>
    <w:rPr>
      <w:rFonts w:ascii="Times New Roman" w:cs="Times New Roman" w:eastAsia="Times New Roman" w:hAnsi="Times New Roman"/>
      <w:b w:val="0"/>
      <w:sz w:val="44"/>
      <w:szCs w:val="44"/>
    </w:rPr>
  </w:style>
  <w:style w:type="paragraph" w:styleId="Heading2">
    <w:name w:val="heading 2"/>
    <w:basedOn w:val="Normal"/>
    <w:next w:val="Normal"/>
    <w:pPr>
      <w:keepNext w:val="1"/>
      <w:spacing w:after="0" w:before="360" w:lineRule="auto"/>
      <w:ind w:firstLine="0"/>
      <w:jc w:val="left"/>
    </w:pPr>
    <w:rPr>
      <w:rFonts w:ascii="Times New Roman" w:cs="Times New Roman" w:eastAsia="Times New Roman" w:hAnsi="Times New Roman"/>
      <w:b w:val="1"/>
      <w:sz w:val="28"/>
      <w:szCs w:val="28"/>
    </w:rPr>
  </w:style>
  <w:style w:type="paragraph" w:styleId="Heading3">
    <w:name w:val="heading 3"/>
    <w:basedOn w:val="Normal"/>
    <w:next w:val="Normal"/>
    <w:pPr>
      <w:keepNext w:val="1"/>
      <w:spacing w:before="240" w:lineRule="auto"/>
      <w:ind w:firstLine="0"/>
      <w:jc w:val="left"/>
    </w:pPr>
    <w:rPr>
      <w:b w:val="1"/>
    </w:rPr>
  </w:style>
  <w:style w:type="paragraph" w:styleId="Heading4">
    <w:name w:val="heading 4"/>
    <w:basedOn w:val="Normal"/>
    <w:next w:val="Normal"/>
    <w:pPr>
      <w:keepNext w:val="1"/>
      <w:spacing w:after="0" w:before="120" w:lineRule="auto"/>
      <w:ind w:firstLine="0"/>
      <w:jc w:val="left"/>
    </w:pPr>
    <w:rPr>
      <w:rFonts w:ascii="Times New Roman" w:cs="Times New Roman" w:eastAsia="Times New Roman" w:hAnsi="Times New Roman"/>
      <w:b w:val="1"/>
      <w:i w:val="1"/>
      <w:sz w:val="26"/>
      <w:szCs w:val="26"/>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60" w:before="240" w:lineRule="auto"/>
      <w:jc w:val="center"/>
    </w:pPr>
    <w:rPr>
      <w:rFonts w:ascii="Calibri" w:cs="Calibri" w:eastAsia="Calibri" w:hAnsi="Calibri"/>
      <w:b w:val="1"/>
      <w:sz w:val="32"/>
      <w:szCs w:val="32"/>
    </w:rPr>
  </w:style>
  <w:style w:type="paragraph" w:styleId="Rubrik8">
    <w:name w:val="heading 8"/>
    <w:aliases w:val="Authors"/>
    <w:basedOn w:val="Rubrik"/>
    <w:next w:val="Normal"/>
    <w:link w:val="Rubrik8Char"/>
    <w:uiPriority w:val="9"/>
    <w:unhideWhenUsed w:val="1"/>
    <w:qFormat w:val="1"/>
    <w:rsid w:val="000C4CBD"/>
    <w:pPr>
      <w:spacing w:after="0" w:before="360"/>
      <w:ind w:firstLine="0"/>
      <w:outlineLvl w:val="7"/>
    </w:pPr>
    <w:rPr>
      <w:rFonts w:ascii="Times New Roman" w:hAnsi="Times New Roman"/>
      <w:iCs w:val="1"/>
      <w:sz w:val="28"/>
      <w:szCs w:val="24"/>
    </w:rPr>
  </w:style>
  <w:style w:type="paragraph" w:styleId="Rubrik9">
    <w:name w:val="heading 9"/>
    <w:aliases w:val="Institution"/>
    <w:basedOn w:val="Rubrik"/>
    <w:next w:val="Normal"/>
    <w:link w:val="Rubrik9Char"/>
    <w:uiPriority w:val="9"/>
    <w:unhideWhenUsed w:val="1"/>
    <w:qFormat w:val="1"/>
    <w:rsid w:val="000C4CBD"/>
    <w:pPr>
      <w:spacing w:after="720" w:before="0"/>
      <w:ind w:firstLine="0"/>
      <w:outlineLvl w:val="8"/>
    </w:pPr>
    <w:rPr>
      <w:rFonts w:ascii="Times New Roman" w:hAnsi="Times New Roman"/>
      <w:b w:val="0"/>
      <w:sz w:val="28"/>
      <w:szCs w:val="22"/>
    </w:rPr>
  </w:style>
  <w:style w:type="character" w:styleId="Standardstycketeckensnitt" w:default="1">
    <w:name w:val="Default Paragraph Font"/>
    <w:uiPriority w:val="1"/>
    <w:unhideWhenUsed w:val="1"/>
  </w:style>
  <w:style w:type="table" w:styleId="Normaltabell" w:default="1">
    <w:name w:val="Normal Table"/>
    <w:uiPriority w:val="99"/>
    <w:semiHidden w:val="1"/>
    <w:unhideWhenUsed w:val="1"/>
    <w:tblPr>
      <w:tblInd w:w="0.0" w:type="dxa"/>
      <w:tblCellMar>
        <w:top w:w="0.0" w:type="dxa"/>
        <w:left w:w="108.0" w:type="dxa"/>
        <w:bottom w:w="0.0" w:type="dxa"/>
        <w:right w:w="108.0" w:type="dxa"/>
      </w:tblCellMar>
    </w:tblPr>
  </w:style>
  <w:style w:type="numbering" w:styleId="Ingenlista" w:default="1">
    <w:name w:val="No List"/>
    <w:uiPriority w:val="99"/>
    <w:semiHidden w:val="1"/>
    <w:unhideWhenUsed w:val="1"/>
  </w:style>
  <w:style w:type="character" w:styleId="RubrikChar" w:customStyle="1">
    <w:name w:val="Rubrik Char"/>
    <w:link w:val="Rubrik"/>
    <w:uiPriority w:val="10"/>
    <w:rsid w:val="009D176C"/>
    <w:rPr>
      <w:rFonts w:ascii="Calibri" w:cs="Times New Roman" w:eastAsia="Times New Roman" w:hAnsi="Calibri"/>
      <w:b w:val="1"/>
      <w:bCs w:val="1"/>
      <w:kern w:val="28"/>
      <w:sz w:val="32"/>
      <w:szCs w:val="32"/>
      <w:lang w:eastAsia="en-US" w:val="en-GB"/>
    </w:rPr>
  </w:style>
  <w:style w:type="character" w:styleId="Rubrik8Char" w:customStyle="1">
    <w:name w:val="Rubrik 8 Char"/>
    <w:aliases w:val="Authors Char"/>
    <w:link w:val="Rubrik8"/>
    <w:uiPriority w:val="9"/>
    <w:rsid w:val="000C4CBD"/>
    <w:rPr>
      <w:rFonts w:cs="Times New Roman" w:eastAsia="Times New Roman"/>
      <w:b w:val="1"/>
      <w:bCs w:val="1"/>
      <w:iCs w:val="1"/>
      <w:kern w:val="28"/>
      <w:sz w:val="28"/>
      <w:szCs w:val="24"/>
      <w:lang w:eastAsia="en-US" w:val="en-GB"/>
    </w:rPr>
  </w:style>
  <w:style w:type="paragraph" w:styleId="Brdtext">
    <w:name w:val="Body Text"/>
    <w:aliases w:val="Bread 1"/>
    <w:basedOn w:val="Normal"/>
    <w:next w:val="Normal"/>
    <w:link w:val="BrdtextChar"/>
    <w:uiPriority w:val="99"/>
    <w:unhideWhenUsed w:val="1"/>
    <w:qFormat w:val="1"/>
    <w:rsid w:val="00FD5842"/>
    <w:pPr>
      <w:ind w:firstLine="0"/>
    </w:pPr>
  </w:style>
  <w:style w:type="character" w:styleId="BrdtextChar" w:customStyle="1">
    <w:name w:val="Brödtext Char"/>
    <w:aliases w:val="Bread 1 Char"/>
    <w:link w:val="Brdtext"/>
    <w:uiPriority w:val="99"/>
    <w:rsid w:val="00FD5842"/>
    <w:rPr>
      <w:sz w:val="26"/>
      <w:szCs w:val="28"/>
      <w:lang w:eastAsia="en-US" w:val="en-GB"/>
    </w:rPr>
  </w:style>
  <w:style w:type="character" w:styleId="Rubrik4Char" w:customStyle="1">
    <w:name w:val="Rubrik 4 Char"/>
    <w:aliases w:val="Head 3 Char"/>
    <w:link w:val="Rubrik4"/>
    <w:uiPriority w:val="9"/>
    <w:rsid w:val="00101D8A"/>
    <w:rPr>
      <w:rFonts w:cs="Times New Roman" w:eastAsia="Times New Roman"/>
      <w:b w:val="1"/>
      <w:i w:val="1"/>
      <w:kern w:val="28"/>
      <w:sz w:val="26"/>
      <w:szCs w:val="32"/>
      <w:lang w:eastAsia="en-US" w:val="en-GB"/>
    </w:rPr>
  </w:style>
  <w:style w:type="character" w:styleId="Rubrik9Char" w:customStyle="1">
    <w:name w:val="Rubrik 9 Char"/>
    <w:aliases w:val="Institution Char"/>
    <w:link w:val="Rubrik9"/>
    <w:uiPriority w:val="9"/>
    <w:rsid w:val="000C4CBD"/>
    <w:rPr>
      <w:rFonts w:cs="Times New Roman" w:eastAsia="Times New Roman"/>
      <w:bCs w:val="1"/>
      <w:kern w:val="28"/>
      <w:sz w:val="28"/>
      <w:szCs w:val="22"/>
      <w:lang w:eastAsia="en-US" w:val="en-GB"/>
    </w:rPr>
  </w:style>
  <w:style w:type="paragraph" w:styleId="Numberedtranscript" w:customStyle="1">
    <w:name w:val="Numbered transcript"/>
    <w:basedOn w:val="Normal"/>
    <w:qFormat w:val="1"/>
    <w:rsid w:val="00575777"/>
    <w:pPr>
      <w:tabs>
        <w:tab w:val="left" w:pos="1134"/>
      </w:tabs>
      <w:spacing w:after="60" w:before="60" w:line="300" w:lineRule="atLeast"/>
      <w:ind w:left="2693" w:right="425" w:hanging="2268"/>
    </w:pPr>
    <w:rPr>
      <w:szCs w:val="26"/>
    </w:rPr>
  </w:style>
  <w:style w:type="paragraph" w:styleId="Citat1" w:customStyle="1">
    <w:name w:val="Citat1"/>
    <w:basedOn w:val="Brdtext"/>
    <w:qFormat w:val="1"/>
    <w:rsid w:val="00D40F30"/>
    <w:pPr>
      <w:spacing w:after="120" w:before="120"/>
      <w:ind w:left="425" w:right="425"/>
    </w:pPr>
    <w:rPr>
      <w:sz w:val="24"/>
      <w:szCs w:val="26"/>
    </w:rPr>
  </w:style>
  <w:style w:type="paragraph" w:styleId="References" w:customStyle="1">
    <w:name w:val="References"/>
    <w:basedOn w:val="Brdtext"/>
    <w:qFormat w:val="1"/>
    <w:rsid w:val="002A0C36"/>
    <w:pPr>
      <w:spacing w:line="300" w:lineRule="atLeast"/>
      <w:ind w:left="425" w:hanging="425"/>
    </w:pPr>
    <w:rPr>
      <w:sz w:val="24"/>
    </w:rPr>
  </w:style>
  <w:style w:type="paragraph" w:styleId="Endnote" w:customStyle="1">
    <w:name w:val="Endnote"/>
    <w:basedOn w:val="Normal"/>
    <w:qFormat w:val="1"/>
    <w:rsid w:val="002A0C36"/>
    <w:pPr>
      <w:spacing w:line="300" w:lineRule="atLeast"/>
      <w:ind w:firstLine="0"/>
    </w:pPr>
    <w:rPr>
      <w:sz w:val="24"/>
      <w:szCs w:val="24"/>
    </w:rPr>
  </w:style>
  <w:style w:type="paragraph" w:styleId="Sidfot">
    <w:name w:val="footer"/>
    <w:basedOn w:val="Normal"/>
    <w:rsid w:val="008914F1"/>
    <w:pPr>
      <w:tabs>
        <w:tab w:val="center" w:pos="4320"/>
        <w:tab w:val="right" w:pos="8640"/>
      </w:tabs>
    </w:pPr>
  </w:style>
  <w:style w:type="paragraph" w:styleId="Transcript" w:customStyle="1">
    <w:name w:val="Transcript"/>
    <w:basedOn w:val="Normal"/>
    <w:qFormat w:val="1"/>
    <w:rsid w:val="00575777"/>
    <w:pPr>
      <w:spacing w:after="60" w:before="60" w:line="300" w:lineRule="atLeast"/>
      <w:ind w:left="1843" w:right="425" w:hanging="1418"/>
    </w:pPr>
    <w:rPr>
      <w:sz w:val="24"/>
      <w:szCs w:val="26"/>
    </w:rPr>
  </w:style>
  <w:style w:type="character" w:styleId="Sidnummer">
    <w:name w:val="page number"/>
    <w:basedOn w:val="Standardstycketeckensnitt"/>
    <w:rsid w:val="008914F1"/>
  </w:style>
  <w:style w:type="character" w:styleId="HeadtableChar" w:customStyle="1">
    <w:name w:val="Head table Char"/>
    <w:link w:val="Headtable"/>
    <w:rsid w:val="008B3B99"/>
    <w:rPr>
      <w:sz w:val="26"/>
      <w:szCs w:val="28"/>
      <w:lang w:eastAsia="en-US" w:val="en-GB"/>
    </w:rPr>
  </w:style>
  <w:style w:type="paragraph" w:styleId="Headtable" w:customStyle="1">
    <w:name w:val="Head table"/>
    <w:basedOn w:val="Normal"/>
    <w:next w:val="Brdtext"/>
    <w:link w:val="HeadtableChar"/>
    <w:qFormat w:val="1"/>
    <w:rsid w:val="008B3B99"/>
    <w:pPr>
      <w:spacing w:after="120" w:before="120"/>
      <w:ind w:left="425" w:right="425" w:firstLine="0"/>
      <w:jc w:val="left"/>
    </w:pPr>
  </w:style>
  <w:style w:type="paragraph" w:styleId="Abstract" w:customStyle="1">
    <w:name w:val="Abstract"/>
    <w:basedOn w:val="Brdtext"/>
    <w:link w:val="AbstractChar"/>
    <w:rsid w:val="00084739"/>
    <w:rPr>
      <w:i w:val="1"/>
    </w:rPr>
  </w:style>
  <w:style w:type="character" w:styleId="AbstractChar" w:customStyle="1">
    <w:name w:val="Abstract Char"/>
    <w:basedOn w:val="BrdtextChar"/>
    <w:link w:val="Abstract"/>
    <w:rsid w:val="00084739"/>
    <w:rPr>
      <w:i w:val="1"/>
      <w:sz w:val="26"/>
      <w:szCs w:val="28"/>
      <w:lang w:eastAsia="en-US" w:val="en-GB"/>
    </w:rPr>
  </w:style>
  <w:style w:type="paragraph" w:styleId="Sidhuvud">
    <w:name w:val="header"/>
    <w:basedOn w:val="Normal"/>
    <w:link w:val="SidhuvudChar"/>
    <w:semiHidden w:val="1"/>
    <w:unhideWhenUsed w:val="1"/>
    <w:rsid w:val="007628ED"/>
    <w:pPr>
      <w:tabs>
        <w:tab w:val="center" w:pos="4536"/>
        <w:tab w:val="right" w:pos="9072"/>
      </w:tabs>
      <w:spacing w:line="240" w:lineRule="auto"/>
    </w:pPr>
  </w:style>
  <w:style w:type="character" w:styleId="SidhuvudChar" w:customStyle="1">
    <w:name w:val="Sidhuvud Char"/>
    <w:basedOn w:val="Standardstycketeckensnitt"/>
    <w:link w:val="Sidhuvud"/>
    <w:semiHidden w:val="1"/>
    <w:rsid w:val="007628ED"/>
    <w:rPr>
      <w:sz w:val="26"/>
      <w:szCs w:val="28"/>
      <w:lang w:eastAsia="en-US" w:val="en-GB"/>
    </w:rPr>
  </w:style>
  <w:style w:type="character" w:styleId="Kommentarsreferens">
    <w:name w:val="annotation reference"/>
    <w:basedOn w:val="Standardstycketeckensnitt"/>
    <w:semiHidden w:val="1"/>
    <w:unhideWhenUsed w:val="1"/>
    <w:rsid w:val="00432E05"/>
    <w:rPr>
      <w:sz w:val="16"/>
      <w:szCs w:val="16"/>
    </w:rPr>
  </w:style>
  <w:style w:type="paragraph" w:styleId="Kommentarer">
    <w:name w:val="annotation text"/>
    <w:basedOn w:val="Normal"/>
    <w:link w:val="KommentarerChar"/>
    <w:unhideWhenUsed w:val="1"/>
    <w:rsid w:val="00432E05"/>
    <w:pPr>
      <w:spacing w:line="240" w:lineRule="auto"/>
    </w:pPr>
    <w:rPr>
      <w:sz w:val="20"/>
      <w:szCs w:val="20"/>
    </w:rPr>
  </w:style>
  <w:style w:type="character" w:styleId="KommentarerChar" w:customStyle="1">
    <w:name w:val="Kommentarer Char"/>
    <w:basedOn w:val="Standardstycketeckensnitt"/>
    <w:link w:val="Kommentarer"/>
    <w:rsid w:val="00432E05"/>
    <w:rPr>
      <w:lang w:eastAsia="en-US" w:val="en-GB"/>
    </w:rPr>
  </w:style>
  <w:style w:type="character" w:styleId="Hyperlnk">
    <w:name w:val="Hyperlink"/>
    <w:basedOn w:val="Standardstycketeckensnitt"/>
    <w:uiPriority w:val="99"/>
    <w:unhideWhenUsed w:val="1"/>
    <w:rsid w:val="002C7348"/>
    <w:rPr>
      <w:color w:val="0000ff"/>
      <w:u w:val="single"/>
    </w:rPr>
  </w:style>
  <w:style w:type="paragraph" w:styleId="Kommentarsmne">
    <w:name w:val="annotation subject"/>
    <w:basedOn w:val="Kommentarer"/>
    <w:next w:val="Kommentarer"/>
    <w:link w:val="KommentarsmneChar"/>
    <w:semiHidden w:val="1"/>
    <w:unhideWhenUsed w:val="1"/>
    <w:rsid w:val="006257EE"/>
    <w:rPr>
      <w:b w:val="1"/>
      <w:bCs w:val="1"/>
    </w:rPr>
  </w:style>
  <w:style w:type="character" w:styleId="KommentarsmneChar" w:customStyle="1">
    <w:name w:val="Kommentarsämne Char"/>
    <w:basedOn w:val="KommentarerChar"/>
    <w:link w:val="Kommentarsmne"/>
    <w:semiHidden w:val="1"/>
    <w:rsid w:val="006257EE"/>
    <w:rPr>
      <w:b w:val="1"/>
      <w:bCs w:val="1"/>
      <w:lang w:eastAsia="en-US" w:val="en-GB"/>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https://doi.org/10.1007/s10763-022-10321-2" TargetMode="External"/><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i.org/10.1080/00313831.2025.2506378"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oi.org/10.1002/jee.20443" TargetMode="External"/><Relationship Id="rId8" Type="http://schemas.openxmlformats.org/officeDocument/2006/relationships/hyperlink" Target="https://doi.org/10.1007/s11858-012-0448-4"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yRvhrH7BrU9ezp51twqV3shmUg==">CgMxLjA4AHIhMXVZTVp5WmwySmxxbm83Z21QTURFU0pqWXNQYklnRndD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2025-09-14T13:17:00Z</dcterms:created>
  <dc:creator>Kristina Juter</dc:creator>
</cp:coreProperties>
</file>