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71FE14E0" w:rsidR="00F5400D" w:rsidRPr="00BC022A" w:rsidRDefault="00BB2F0C" w:rsidP="00BB2F0C">
      <w:pPr>
        <w:pStyle w:val="Rubrik1"/>
      </w:pPr>
      <w:r w:rsidRPr="00BC022A">
        <w:t xml:space="preserve">Who owns the mathematics in pre-school? </w:t>
      </w:r>
    </w:p>
    <w:p w14:paraId="080E0699" w14:textId="2B7D1280" w:rsidR="00CE6A6A" w:rsidRPr="00BC022A" w:rsidRDefault="009F743F" w:rsidP="00CE6A6A">
      <w:pPr>
        <w:pStyle w:val="Rubrik8"/>
      </w:pPr>
      <w:r w:rsidRPr="00BC022A">
        <w:t>Anna Wernberg and Maria Johansson</w:t>
      </w:r>
    </w:p>
    <w:p w14:paraId="1D1FC312" w14:textId="32154F5D" w:rsidR="00CE6A6A" w:rsidRPr="00BC022A" w:rsidRDefault="009F743F" w:rsidP="00CE6A6A">
      <w:pPr>
        <w:pStyle w:val="Rubrik9"/>
      </w:pPr>
      <w:r w:rsidRPr="00BC022A">
        <w:t xml:space="preserve">Malmö University, </w:t>
      </w:r>
      <w:proofErr w:type="spellStart"/>
      <w:r w:rsidRPr="00BC022A">
        <w:t>Luleå</w:t>
      </w:r>
      <w:proofErr w:type="spellEnd"/>
      <w:r w:rsidR="004332BF" w:rsidRPr="00BC022A">
        <w:t xml:space="preserve"> University of technology</w:t>
      </w:r>
    </w:p>
    <w:p w14:paraId="4271DAC2" w14:textId="3077043D" w:rsidR="00BC022A" w:rsidRPr="00BC022A" w:rsidRDefault="00BC022A" w:rsidP="00DA5AD7">
      <w:pPr>
        <w:pStyle w:val="Abstract"/>
        <w:rPr>
          <w:i w:val="0"/>
          <w:iCs/>
        </w:rPr>
      </w:pPr>
      <w:r w:rsidRPr="00BC022A">
        <w:rPr>
          <w:i w:val="0"/>
          <w:iCs/>
        </w:rPr>
        <w:t xml:space="preserve">In this presentation we </w:t>
      </w:r>
      <w:r w:rsidR="001C24C4">
        <w:rPr>
          <w:i w:val="0"/>
          <w:iCs/>
        </w:rPr>
        <w:t xml:space="preserve">will </w:t>
      </w:r>
      <w:r w:rsidRPr="00BC022A">
        <w:rPr>
          <w:i w:val="0"/>
          <w:iCs/>
        </w:rPr>
        <w:t>present how mathematical teaching and learning emerge during planned and spontaneous play situations in preschool, and how ownership of the play and the learning process is negotiated between teachers and children, using Helenius’ (2018) dimensions of teaching and Stensson’s (2022) concept of attention as analytical frameworks</w:t>
      </w:r>
      <w:r w:rsidR="00E9269A">
        <w:rPr>
          <w:i w:val="0"/>
          <w:iCs/>
        </w:rPr>
        <w:t>.</w:t>
      </w:r>
    </w:p>
    <w:p w14:paraId="6FA00819" w14:textId="77777777" w:rsidR="00DA5AD7" w:rsidRPr="00BC022A" w:rsidRDefault="00DA5AD7" w:rsidP="00DA5AD7">
      <w:pPr>
        <w:pStyle w:val="Rubrik2"/>
      </w:pPr>
      <w:r w:rsidRPr="00BC022A">
        <w:t>Background</w:t>
      </w:r>
    </w:p>
    <w:p w14:paraId="48A2349E" w14:textId="06330DAB" w:rsidR="004A456A" w:rsidRPr="00BC022A" w:rsidRDefault="004A456A" w:rsidP="00DA5AD7">
      <w:pPr>
        <w:pStyle w:val="Brdtext"/>
      </w:pPr>
      <w:r w:rsidRPr="00BC022A">
        <w:t>Mathematical competencies at pre-school are highly relevant for learning outcomes at school. In a meta-analytic regression, maths competencies in kindergarten, i.e. number recognition, number sequence, counting, ordinality, relative size, addition and subtraction were found to be the strongest predictors for later school achievement (Duncan et al. 2007).</w:t>
      </w:r>
      <w:r w:rsidR="00B96EEF" w:rsidRPr="00BC022A">
        <w:t xml:space="preserve"> Whilst there is a growing awareness that children need to be supported in their mathematical learning in pre-school, there is little consensus about the pedagogical approach.</w:t>
      </w:r>
    </w:p>
    <w:p w14:paraId="7084B87A" w14:textId="7C6C8A89" w:rsidR="005C76E3" w:rsidRPr="00BC022A" w:rsidRDefault="002943DC" w:rsidP="004A456A">
      <w:r w:rsidRPr="00BC022A">
        <w:t>Play-based pedagogy has increased in pre-school during the last decade (se for example Chukwudi Ekeh, 2023)</w:t>
      </w:r>
      <w:r w:rsidR="0046608A" w:rsidRPr="00BC022A">
        <w:t xml:space="preserve">. In Sweden, pre-school mathematics has a tradition of being taught through a play-based approach. </w:t>
      </w:r>
      <w:r w:rsidR="00452E5B" w:rsidRPr="00BC022A">
        <w:t xml:space="preserve">1998 the pre-school got the first national curriculum with goals for the pre-school mathematic teaching and learning but with no evaluation of the children´s achievement. Lately there has been a shift towards a pedagogy </w:t>
      </w:r>
      <w:r w:rsidR="009213D2" w:rsidRPr="00BC022A">
        <w:t>where</w:t>
      </w:r>
      <w:r w:rsidR="00452E5B" w:rsidRPr="00BC022A">
        <w:t xml:space="preserve"> pre-school teachers should interact more with the </w:t>
      </w:r>
      <w:r w:rsidR="00520A5D" w:rsidRPr="00BC022A">
        <w:t xml:space="preserve">children to challenge them in mathematics. In the curriculum this can be </w:t>
      </w:r>
      <w:r w:rsidR="009213D2" w:rsidRPr="00BC022A">
        <w:t>noticed</w:t>
      </w:r>
      <w:r w:rsidR="00520A5D" w:rsidRPr="00BC022A">
        <w:t xml:space="preserve"> by the word teaching being </w:t>
      </w:r>
      <w:r w:rsidR="005C76E3" w:rsidRPr="00BC022A">
        <w:t>stated</w:t>
      </w:r>
      <w:r w:rsidR="00CE72FC" w:rsidRPr="00BC022A">
        <w:t xml:space="preserve"> </w:t>
      </w:r>
      <w:r w:rsidR="001B70EF" w:rsidRPr="00BC022A">
        <w:t>(</w:t>
      </w:r>
      <w:proofErr w:type="spellStart"/>
      <w:r w:rsidR="001B70EF" w:rsidRPr="00BC022A">
        <w:t>Skolverket</w:t>
      </w:r>
      <w:proofErr w:type="spellEnd"/>
      <w:r w:rsidR="001B70EF" w:rsidRPr="00BC022A">
        <w:t>, 2019)</w:t>
      </w:r>
      <w:r w:rsidR="005C76E3" w:rsidRPr="00BC022A">
        <w:t>.</w:t>
      </w:r>
      <w:r w:rsidR="00520A5D" w:rsidRPr="00BC022A">
        <w:t xml:space="preserve"> </w:t>
      </w:r>
      <w:r w:rsidR="00452E5B" w:rsidRPr="00BC022A">
        <w:t xml:space="preserve"> </w:t>
      </w:r>
    </w:p>
    <w:p w14:paraId="556808CA" w14:textId="1D4ADAA3" w:rsidR="00E1082B" w:rsidRPr="00BC022A" w:rsidRDefault="00BB2F0C" w:rsidP="00CE72FC">
      <w:r w:rsidRPr="00BC022A">
        <w:t xml:space="preserve">Helenius (2018) </w:t>
      </w:r>
      <w:r w:rsidR="00166B97" w:rsidRPr="00BC022A">
        <w:t>writes</w:t>
      </w:r>
      <w:r w:rsidR="004540DA" w:rsidRPr="00BC022A">
        <w:t xml:space="preserve"> about the move in Sweden towards a more teacher-driven and formalised pedagog</w:t>
      </w:r>
      <w:r w:rsidR="003D5EA9">
        <w:t>y</w:t>
      </w:r>
      <w:r w:rsidR="004540DA" w:rsidRPr="00BC022A">
        <w:t xml:space="preserve"> and present conceptual framework in order not to push Swedish pre-schools in such direction whilst still maintaining a focus on teaching.</w:t>
      </w:r>
      <w:r w:rsidR="00166B97" w:rsidRPr="00BC022A">
        <w:t xml:space="preserve"> </w:t>
      </w:r>
      <w:r w:rsidR="00725508" w:rsidRPr="00BC022A">
        <w:t xml:space="preserve">He </w:t>
      </w:r>
      <w:r w:rsidR="00293B65" w:rsidRPr="00BC022A">
        <w:t>calls</w:t>
      </w:r>
      <w:r w:rsidR="00725508" w:rsidRPr="00BC022A">
        <w:t xml:space="preserve"> for visibility of teaching in preschool being more than planned situations</w:t>
      </w:r>
      <w:r w:rsidR="00902960" w:rsidRPr="00BC022A">
        <w:t>. I</w:t>
      </w:r>
      <w:r w:rsidR="00166B97" w:rsidRPr="00BC022A">
        <w:t xml:space="preserve">n line with Helenius </w:t>
      </w:r>
      <w:r w:rsidR="00725508" w:rsidRPr="00BC022A">
        <w:t>research,</w:t>
      </w:r>
      <w:r w:rsidR="00166B97" w:rsidRPr="00BC022A">
        <w:t xml:space="preserve"> we draw on </w:t>
      </w:r>
      <w:r w:rsidR="007F2592" w:rsidRPr="00BC022A">
        <w:t>four</w:t>
      </w:r>
      <w:r w:rsidR="00166B97" w:rsidRPr="00BC022A">
        <w:t xml:space="preserve"> short episodes to see how the dimensions change during unplanned session with </w:t>
      </w:r>
      <w:r w:rsidR="00725508" w:rsidRPr="00BC022A">
        <w:t xml:space="preserve">children </w:t>
      </w:r>
      <w:r w:rsidR="00166B97" w:rsidRPr="00BC022A">
        <w:t>in a preschool setting</w:t>
      </w:r>
      <w:r w:rsidR="00725508" w:rsidRPr="00BC022A">
        <w:t>.</w:t>
      </w:r>
    </w:p>
    <w:p w14:paraId="74ED07D4" w14:textId="11F818F8" w:rsidR="007F2592" w:rsidRPr="00BC022A" w:rsidRDefault="007F2592" w:rsidP="007F2592">
      <w:pPr>
        <w:pStyle w:val="Rubrik2"/>
      </w:pPr>
      <w:r w:rsidRPr="00BC022A">
        <w:t>Method</w:t>
      </w:r>
    </w:p>
    <w:p w14:paraId="4D2F1314" w14:textId="382A90A6" w:rsidR="005D7BEC" w:rsidRPr="00BC022A" w:rsidRDefault="005D7BEC" w:rsidP="005D7BEC">
      <w:pPr>
        <w:ind w:firstLine="0"/>
      </w:pPr>
      <w:proofErr w:type="spellStart"/>
      <w:r w:rsidRPr="00BC022A">
        <w:t>Björklund</w:t>
      </w:r>
      <w:proofErr w:type="spellEnd"/>
      <w:r w:rsidRPr="00BC022A">
        <w:t xml:space="preserve"> (2008) and Lynch and Stanley (2018) outline the benefits and use of video when examining the actions of very young children. </w:t>
      </w:r>
      <w:proofErr w:type="spellStart"/>
      <w:r w:rsidRPr="00BC022A">
        <w:t>Björklund</w:t>
      </w:r>
      <w:proofErr w:type="spellEnd"/>
      <w:r w:rsidRPr="00BC022A">
        <w:t xml:space="preserve"> (2008) states that using video enables a more thorough examination of the actions, often in a more natural or everyday environment. Both </w:t>
      </w:r>
      <w:proofErr w:type="spellStart"/>
      <w:r w:rsidRPr="00BC022A">
        <w:t>Björklund</w:t>
      </w:r>
      <w:proofErr w:type="spellEnd"/>
      <w:r w:rsidRPr="00BC022A">
        <w:t xml:space="preserve"> (2008) and Lynch and Stanley (2018) espouse the capacity of video to be viewed and reviewed when being analysed. </w:t>
      </w:r>
    </w:p>
    <w:p w14:paraId="3A32BB81" w14:textId="763F6F36" w:rsidR="00E1082B" w:rsidRPr="00BC022A" w:rsidRDefault="005D7BEC" w:rsidP="00782308">
      <w:pPr>
        <w:pStyle w:val="Rubrik3"/>
      </w:pPr>
      <w:r w:rsidRPr="00BC022A">
        <w:lastRenderedPageBreak/>
        <w:t>Participants and situation</w:t>
      </w:r>
    </w:p>
    <w:p w14:paraId="058202B2" w14:textId="3B117617" w:rsidR="005D7BEC" w:rsidRPr="00BC022A" w:rsidRDefault="005D7BEC" w:rsidP="005D7BEC">
      <w:pPr>
        <w:pStyle w:val="Brdtext"/>
      </w:pPr>
      <w:r w:rsidRPr="00BC022A">
        <w:t xml:space="preserve">The research was undertaken in a private preschool in a large city in southern Sweden. Filming was undertaken with different groups over several days. In this </w:t>
      </w:r>
      <w:r w:rsidR="00B84454" w:rsidRPr="00BC022A">
        <w:t>presentation</w:t>
      </w:r>
      <w:r w:rsidRPr="00BC022A">
        <w:t xml:space="preserve"> we report on </w:t>
      </w:r>
      <w:r w:rsidR="00B84454" w:rsidRPr="00BC022A">
        <w:t>4</w:t>
      </w:r>
      <w:r w:rsidRPr="00BC022A">
        <w:t xml:space="preserve"> episodes of play</w:t>
      </w:r>
      <w:r w:rsidRPr="000F6D87">
        <w:t xml:space="preserve">. Although initially the teacher had not nominated it as being a mathematical activity, this focus became evident as the children engaged in the situations. Therefore, they were chosen because </w:t>
      </w:r>
      <w:r w:rsidR="003D5EA9" w:rsidRPr="000F6D87">
        <w:t>they</w:t>
      </w:r>
      <w:r w:rsidRPr="000F6D87">
        <w:t xml:space="preserve"> exemplified how the activity was developed from the children’s own interests.</w:t>
      </w:r>
      <w:r w:rsidRPr="00BC022A">
        <w:t xml:space="preserve"> </w:t>
      </w:r>
    </w:p>
    <w:p w14:paraId="1CA2E818" w14:textId="623969C1" w:rsidR="00293B65" w:rsidRPr="00BC022A" w:rsidRDefault="00293B65" w:rsidP="00293B65">
      <w:proofErr w:type="gramStart"/>
      <w:r w:rsidRPr="00BC022A">
        <w:t>In order to</w:t>
      </w:r>
      <w:proofErr w:type="gramEnd"/>
      <w:r w:rsidRPr="00BC022A">
        <w:t xml:space="preserve"> </w:t>
      </w:r>
      <w:r w:rsidR="003D5EA9" w:rsidRPr="00BC022A">
        <w:t>analyse</w:t>
      </w:r>
      <w:r w:rsidRPr="00BC022A">
        <w:t xml:space="preserve"> the </w:t>
      </w:r>
      <w:r w:rsidR="003D5EA9" w:rsidRPr="00BC022A">
        <w:t>material,</w:t>
      </w:r>
      <w:r w:rsidRPr="00BC022A">
        <w:t xml:space="preserve"> we used a table</w:t>
      </w:r>
      <w:r w:rsidR="00B35C10" w:rsidRPr="00BC022A">
        <w:t xml:space="preserve"> to note what happened</w:t>
      </w:r>
      <w:r w:rsidR="00565E6D" w:rsidRPr="00BC022A">
        <w:t xml:space="preserve"> during the episodes. Se table 1 for example.</w:t>
      </w:r>
    </w:p>
    <w:p w14:paraId="433863D0" w14:textId="77777777" w:rsidR="00293B65" w:rsidRPr="00BC022A" w:rsidRDefault="00293B65" w:rsidP="00293B65"/>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C21E6A" w:rsidRPr="00BC022A" w14:paraId="7219DE0B" w14:textId="77F6FE1D" w:rsidTr="00C21E6A">
        <w:trPr>
          <w:jc w:val="center"/>
        </w:trPr>
        <w:tc>
          <w:tcPr>
            <w:tcW w:w="2268" w:type="dxa"/>
            <w:gridSpan w:val="2"/>
            <w:tcBorders>
              <w:top w:val="single" w:sz="6" w:space="0" w:color="auto"/>
              <w:left w:val="single" w:sz="6" w:space="0" w:color="auto"/>
              <w:bottom w:val="single" w:sz="6" w:space="0" w:color="auto"/>
              <w:right w:val="single" w:sz="6" w:space="0" w:color="auto"/>
            </w:tcBorders>
          </w:tcPr>
          <w:p w14:paraId="46AD0CF9" w14:textId="6E67BA52" w:rsidR="00C21E6A" w:rsidRPr="00BC022A" w:rsidRDefault="00C21E6A" w:rsidP="00565E6D">
            <w:pPr>
              <w:pStyle w:val="Brdtext"/>
              <w:jc w:val="center"/>
              <w:rPr>
                <w:b/>
                <w:bCs/>
                <w:sz w:val="22"/>
                <w:szCs w:val="22"/>
              </w:rPr>
            </w:pPr>
            <w:r w:rsidRPr="00BC022A">
              <w:rPr>
                <w:b/>
                <w:bCs/>
                <w:sz w:val="22"/>
                <w:szCs w:val="22"/>
              </w:rPr>
              <w:t>A dimension of pedagogic explication</w:t>
            </w:r>
          </w:p>
        </w:tc>
        <w:tc>
          <w:tcPr>
            <w:tcW w:w="2268" w:type="dxa"/>
            <w:gridSpan w:val="2"/>
            <w:tcBorders>
              <w:top w:val="single" w:sz="6" w:space="0" w:color="auto"/>
              <w:left w:val="single" w:sz="6" w:space="0" w:color="auto"/>
              <w:bottom w:val="single" w:sz="6" w:space="0" w:color="auto"/>
              <w:right w:val="single" w:sz="6" w:space="0" w:color="auto"/>
            </w:tcBorders>
          </w:tcPr>
          <w:p w14:paraId="77D783E5" w14:textId="543FD0F0" w:rsidR="00C21E6A" w:rsidRPr="00BC022A" w:rsidRDefault="00C21E6A" w:rsidP="00565E6D">
            <w:pPr>
              <w:pStyle w:val="Brdtext"/>
              <w:jc w:val="center"/>
              <w:rPr>
                <w:b/>
                <w:bCs/>
                <w:sz w:val="22"/>
                <w:szCs w:val="22"/>
              </w:rPr>
            </w:pPr>
            <w:r w:rsidRPr="00BC022A">
              <w:rPr>
                <w:b/>
                <w:bCs/>
                <w:sz w:val="22"/>
                <w:szCs w:val="22"/>
              </w:rPr>
              <w:t xml:space="preserve">A dimension </w:t>
            </w:r>
            <w:r w:rsidR="00B35C10" w:rsidRPr="00BC022A">
              <w:rPr>
                <w:b/>
                <w:bCs/>
                <w:sz w:val="22"/>
                <w:szCs w:val="22"/>
              </w:rPr>
              <w:t>of teacher</w:t>
            </w:r>
            <w:r w:rsidRPr="00BC022A">
              <w:rPr>
                <w:b/>
                <w:bCs/>
                <w:sz w:val="22"/>
                <w:szCs w:val="22"/>
              </w:rPr>
              <w:t xml:space="preserve"> participation</w:t>
            </w:r>
          </w:p>
        </w:tc>
        <w:tc>
          <w:tcPr>
            <w:tcW w:w="2268" w:type="dxa"/>
            <w:gridSpan w:val="2"/>
            <w:tcBorders>
              <w:top w:val="single" w:sz="6" w:space="0" w:color="auto"/>
              <w:left w:val="single" w:sz="6" w:space="0" w:color="auto"/>
              <w:bottom w:val="single" w:sz="6" w:space="0" w:color="auto"/>
              <w:right w:val="single" w:sz="6" w:space="0" w:color="auto"/>
            </w:tcBorders>
          </w:tcPr>
          <w:p w14:paraId="21EBE76C" w14:textId="3CE13693" w:rsidR="00C21E6A" w:rsidRPr="00BC022A" w:rsidRDefault="00C21E6A" w:rsidP="00565E6D">
            <w:pPr>
              <w:pStyle w:val="Brdtext"/>
              <w:jc w:val="center"/>
              <w:rPr>
                <w:b/>
                <w:bCs/>
                <w:sz w:val="22"/>
                <w:szCs w:val="22"/>
              </w:rPr>
            </w:pPr>
            <w:r w:rsidRPr="00BC022A">
              <w:rPr>
                <w:b/>
                <w:bCs/>
                <w:sz w:val="22"/>
                <w:szCs w:val="22"/>
              </w:rPr>
              <w:t>A dimension of situational planning</w:t>
            </w:r>
          </w:p>
        </w:tc>
        <w:tc>
          <w:tcPr>
            <w:tcW w:w="2268" w:type="dxa"/>
            <w:gridSpan w:val="2"/>
            <w:tcBorders>
              <w:top w:val="single" w:sz="6" w:space="0" w:color="auto"/>
              <w:left w:val="single" w:sz="6" w:space="0" w:color="auto"/>
              <w:bottom w:val="single" w:sz="6" w:space="0" w:color="auto"/>
              <w:right w:val="single" w:sz="6" w:space="0" w:color="auto"/>
            </w:tcBorders>
          </w:tcPr>
          <w:p w14:paraId="597FA794" w14:textId="0BCC6D69" w:rsidR="00C21E6A" w:rsidRPr="00BC022A" w:rsidRDefault="00C21E6A" w:rsidP="00565E6D">
            <w:pPr>
              <w:pStyle w:val="Brdtext"/>
              <w:jc w:val="center"/>
              <w:rPr>
                <w:b/>
                <w:bCs/>
                <w:sz w:val="22"/>
                <w:szCs w:val="22"/>
              </w:rPr>
            </w:pPr>
            <w:r w:rsidRPr="00BC022A">
              <w:rPr>
                <w:b/>
                <w:bCs/>
                <w:sz w:val="22"/>
                <w:szCs w:val="22"/>
              </w:rPr>
              <w:t>Attention</w:t>
            </w:r>
          </w:p>
        </w:tc>
      </w:tr>
      <w:tr w:rsidR="00565E6D" w:rsidRPr="00BC022A" w14:paraId="211A081A" w14:textId="114CBB26" w:rsidTr="003251F1">
        <w:trPr>
          <w:jc w:val="center"/>
        </w:trPr>
        <w:tc>
          <w:tcPr>
            <w:tcW w:w="1134" w:type="dxa"/>
            <w:tcBorders>
              <w:top w:val="single" w:sz="6" w:space="0" w:color="auto"/>
              <w:left w:val="single" w:sz="6" w:space="0" w:color="auto"/>
              <w:bottom w:val="single" w:sz="6" w:space="0" w:color="auto"/>
              <w:right w:val="single" w:sz="6" w:space="0" w:color="auto"/>
            </w:tcBorders>
          </w:tcPr>
          <w:p w14:paraId="4398046D" w14:textId="1B446FF9" w:rsidR="00565E6D" w:rsidRPr="00BC022A" w:rsidRDefault="00565E6D" w:rsidP="00565E6D">
            <w:pPr>
              <w:pStyle w:val="Brdtext"/>
              <w:jc w:val="center"/>
              <w:rPr>
                <w:b/>
                <w:bCs/>
                <w:sz w:val="13"/>
                <w:szCs w:val="13"/>
              </w:rPr>
            </w:pPr>
            <w:r w:rsidRPr="00BC022A">
              <w:rPr>
                <w:b/>
                <w:bCs/>
                <w:sz w:val="13"/>
                <w:szCs w:val="13"/>
              </w:rPr>
              <w:t>Pedagogical</w:t>
            </w:r>
          </w:p>
        </w:tc>
        <w:tc>
          <w:tcPr>
            <w:tcW w:w="1134" w:type="dxa"/>
            <w:tcBorders>
              <w:top w:val="single" w:sz="6" w:space="0" w:color="auto"/>
              <w:left w:val="single" w:sz="6" w:space="0" w:color="auto"/>
              <w:bottom w:val="single" w:sz="6" w:space="0" w:color="auto"/>
              <w:right w:val="single" w:sz="6" w:space="0" w:color="auto"/>
            </w:tcBorders>
          </w:tcPr>
          <w:p w14:paraId="69B69AEF" w14:textId="6AD9A257" w:rsidR="00565E6D" w:rsidRPr="00BC022A" w:rsidRDefault="00565E6D" w:rsidP="00565E6D">
            <w:pPr>
              <w:pStyle w:val="Brdtext"/>
              <w:jc w:val="center"/>
              <w:rPr>
                <w:b/>
                <w:bCs/>
                <w:sz w:val="13"/>
                <w:szCs w:val="13"/>
              </w:rPr>
            </w:pPr>
            <w:r w:rsidRPr="00BC022A">
              <w:rPr>
                <w:b/>
                <w:bCs/>
                <w:sz w:val="13"/>
                <w:szCs w:val="13"/>
              </w:rPr>
              <w:t>Instrumental</w:t>
            </w:r>
          </w:p>
        </w:tc>
        <w:tc>
          <w:tcPr>
            <w:tcW w:w="1134" w:type="dxa"/>
            <w:tcBorders>
              <w:top w:val="single" w:sz="6" w:space="0" w:color="auto"/>
              <w:left w:val="single" w:sz="6" w:space="0" w:color="auto"/>
              <w:bottom w:val="single" w:sz="6" w:space="0" w:color="auto"/>
              <w:right w:val="single" w:sz="6" w:space="0" w:color="auto"/>
            </w:tcBorders>
          </w:tcPr>
          <w:p w14:paraId="029FE8BD" w14:textId="47D434BA" w:rsidR="00565E6D" w:rsidRPr="00BC022A" w:rsidRDefault="00565E6D" w:rsidP="00565E6D">
            <w:pPr>
              <w:pStyle w:val="Brdtext"/>
              <w:jc w:val="center"/>
              <w:rPr>
                <w:b/>
                <w:bCs/>
                <w:sz w:val="13"/>
                <w:szCs w:val="13"/>
              </w:rPr>
            </w:pPr>
            <w:r w:rsidRPr="00BC022A">
              <w:rPr>
                <w:b/>
                <w:bCs/>
                <w:sz w:val="13"/>
                <w:szCs w:val="13"/>
              </w:rPr>
              <w:t>Participation</w:t>
            </w:r>
          </w:p>
        </w:tc>
        <w:tc>
          <w:tcPr>
            <w:tcW w:w="1134" w:type="dxa"/>
            <w:tcBorders>
              <w:top w:val="single" w:sz="6" w:space="0" w:color="auto"/>
              <w:left w:val="single" w:sz="6" w:space="0" w:color="auto"/>
              <w:bottom w:val="single" w:sz="6" w:space="0" w:color="auto"/>
              <w:right w:val="single" w:sz="6" w:space="0" w:color="auto"/>
            </w:tcBorders>
          </w:tcPr>
          <w:p w14:paraId="1D62BC5C" w14:textId="3B43CE71" w:rsidR="00565E6D" w:rsidRPr="00BC022A" w:rsidRDefault="00565E6D" w:rsidP="00565E6D">
            <w:pPr>
              <w:pStyle w:val="Brdtext"/>
              <w:jc w:val="center"/>
              <w:rPr>
                <w:b/>
                <w:bCs/>
                <w:sz w:val="13"/>
                <w:szCs w:val="13"/>
              </w:rPr>
            </w:pPr>
            <w:r w:rsidRPr="00BC022A">
              <w:rPr>
                <w:b/>
                <w:bCs/>
                <w:sz w:val="13"/>
                <w:szCs w:val="13"/>
              </w:rPr>
              <w:t>No participation</w:t>
            </w:r>
          </w:p>
        </w:tc>
        <w:tc>
          <w:tcPr>
            <w:tcW w:w="1134" w:type="dxa"/>
            <w:tcBorders>
              <w:top w:val="single" w:sz="6" w:space="0" w:color="auto"/>
              <w:left w:val="single" w:sz="6" w:space="0" w:color="auto"/>
              <w:bottom w:val="single" w:sz="6" w:space="0" w:color="auto"/>
              <w:right w:val="single" w:sz="6" w:space="0" w:color="auto"/>
            </w:tcBorders>
          </w:tcPr>
          <w:p w14:paraId="253A6A78" w14:textId="7F8DCCD6" w:rsidR="00565E6D" w:rsidRPr="00BC022A" w:rsidRDefault="00565E6D" w:rsidP="00565E6D">
            <w:pPr>
              <w:pStyle w:val="Brdtext"/>
              <w:jc w:val="center"/>
              <w:rPr>
                <w:b/>
                <w:bCs/>
                <w:sz w:val="13"/>
                <w:szCs w:val="13"/>
              </w:rPr>
            </w:pPr>
            <w:r w:rsidRPr="00BC022A">
              <w:rPr>
                <w:b/>
                <w:bCs/>
                <w:sz w:val="13"/>
                <w:szCs w:val="13"/>
              </w:rPr>
              <w:t>In moment</w:t>
            </w:r>
          </w:p>
        </w:tc>
        <w:tc>
          <w:tcPr>
            <w:tcW w:w="1134" w:type="dxa"/>
            <w:tcBorders>
              <w:top w:val="single" w:sz="6" w:space="0" w:color="auto"/>
              <w:left w:val="single" w:sz="6" w:space="0" w:color="auto"/>
              <w:bottom w:val="single" w:sz="6" w:space="0" w:color="auto"/>
              <w:right w:val="single" w:sz="6" w:space="0" w:color="auto"/>
            </w:tcBorders>
          </w:tcPr>
          <w:p w14:paraId="6FE0E0B9" w14:textId="6EBABBED" w:rsidR="00565E6D" w:rsidRPr="00BC022A" w:rsidRDefault="00565E6D" w:rsidP="00565E6D">
            <w:pPr>
              <w:pStyle w:val="Brdtext"/>
              <w:jc w:val="center"/>
              <w:rPr>
                <w:b/>
                <w:bCs/>
                <w:sz w:val="13"/>
                <w:szCs w:val="13"/>
              </w:rPr>
            </w:pPr>
            <w:r w:rsidRPr="00BC022A">
              <w:rPr>
                <w:b/>
                <w:bCs/>
                <w:sz w:val="13"/>
                <w:szCs w:val="13"/>
              </w:rPr>
              <w:t>Formally</w:t>
            </w:r>
          </w:p>
        </w:tc>
        <w:tc>
          <w:tcPr>
            <w:tcW w:w="1134" w:type="dxa"/>
            <w:tcBorders>
              <w:top w:val="single" w:sz="6" w:space="0" w:color="auto"/>
              <w:left w:val="single" w:sz="6" w:space="0" w:color="auto"/>
              <w:bottom w:val="single" w:sz="6" w:space="0" w:color="auto"/>
              <w:right w:val="single" w:sz="6" w:space="0" w:color="auto"/>
            </w:tcBorders>
          </w:tcPr>
          <w:p w14:paraId="56FFBB97" w14:textId="77F265D8" w:rsidR="00565E6D" w:rsidRPr="00BC022A" w:rsidRDefault="00565E6D" w:rsidP="00565E6D">
            <w:pPr>
              <w:pStyle w:val="Brdtext"/>
              <w:jc w:val="center"/>
              <w:rPr>
                <w:b/>
                <w:bCs/>
                <w:sz w:val="13"/>
                <w:szCs w:val="13"/>
              </w:rPr>
            </w:pPr>
            <w:r w:rsidRPr="00BC022A">
              <w:rPr>
                <w:b/>
                <w:bCs/>
                <w:sz w:val="13"/>
                <w:szCs w:val="13"/>
              </w:rPr>
              <w:t>Shared</w:t>
            </w:r>
          </w:p>
        </w:tc>
        <w:tc>
          <w:tcPr>
            <w:tcW w:w="1134" w:type="dxa"/>
            <w:tcBorders>
              <w:top w:val="single" w:sz="6" w:space="0" w:color="auto"/>
              <w:left w:val="single" w:sz="6" w:space="0" w:color="auto"/>
              <w:bottom w:val="single" w:sz="6" w:space="0" w:color="auto"/>
              <w:right w:val="single" w:sz="6" w:space="0" w:color="auto"/>
            </w:tcBorders>
          </w:tcPr>
          <w:p w14:paraId="47B4673D" w14:textId="332DCB9E" w:rsidR="00565E6D" w:rsidRPr="00BC022A" w:rsidRDefault="00565E6D" w:rsidP="00565E6D">
            <w:pPr>
              <w:pStyle w:val="Brdtext"/>
              <w:jc w:val="center"/>
              <w:rPr>
                <w:b/>
                <w:bCs/>
                <w:sz w:val="13"/>
                <w:szCs w:val="13"/>
              </w:rPr>
            </w:pPr>
            <w:r w:rsidRPr="00BC022A">
              <w:rPr>
                <w:b/>
                <w:bCs/>
                <w:sz w:val="13"/>
                <w:szCs w:val="13"/>
              </w:rPr>
              <w:t>Non shared</w:t>
            </w:r>
          </w:p>
        </w:tc>
      </w:tr>
      <w:tr w:rsidR="00565E6D" w:rsidRPr="00BC022A" w14:paraId="6C9A99E3" w14:textId="77777777" w:rsidTr="00CF40DF">
        <w:trPr>
          <w:jc w:val="center"/>
        </w:trPr>
        <w:tc>
          <w:tcPr>
            <w:tcW w:w="1134" w:type="dxa"/>
            <w:tcBorders>
              <w:top w:val="single" w:sz="6" w:space="0" w:color="auto"/>
              <w:left w:val="single" w:sz="6" w:space="0" w:color="auto"/>
              <w:bottom w:val="single" w:sz="6" w:space="0" w:color="auto"/>
              <w:right w:val="single" w:sz="6" w:space="0" w:color="auto"/>
            </w:tcBorders>
          </w:tcPr>
          <w:p w14:paraId="20161254" w14:textId="77777777" w:rsidR="00565E6D" w:rsidRPr="00BC022A" w:rsidRDefault="00565E6D" w:rsidP="00445C53">
            <w:pPr>
              <w:jc w:val="left"/>
            </w:pPr>
          </w:p>
        </w:tc>
        <w:tc>
          <w:tcPr>
            <w:tcW w:w="1134" w:type="dxa"/>
            <w:tcBorders>
              <w:top w:val="single" w:sz="6" w:space="0" w:color="auto"/>
              <w:left w:val="single" w:sz="6" w:space="0" w:color="auto"/>
              <w:bottom w:val="single" w:sz="6" w:space="0" w:color="auto"/>
              <w:right w:val="single" w:sz="6" w:space="0" w:color="auto"/>
            </w:tcBorders>
          </w:tcPr>
          <w:p w14:paraId="09C9D2F2"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1EAE4AC2"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1F76BAD6"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28EA6CB9"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4459CBE6"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5EB41775" w14:textId="77777777" w:rsidR="00565E6D" w:rsidRPr="00BC022A" w:rsidRDefault="00565E6D" w:rsidP="00445C53"/>
        </w:tc>
        <w:tc>
          <w:tcPr>
            <w:tcW w:w="1134" w:type="dxa"/>
            <w:tcBorders>
              <w:top w:val="single" w:sz="6" w:space="0" w:color="auto"/>
              <w:left w:val="single" w:sz="6" w:space="0" w:color="auto"/>
              <w:bottom w:val="single" w:sz="6" w:space="0" w:color="auto"/>
              <w:right w:val="single" w:sz="6" w:space="0" w:color="auto"/>
            </w:tcBorders>
          </w:tcPr>
          <w:p w14:paraId="43F01677" w14:textId="6E7D79BC" w:rsidR="00565E6D" w:rsidRPr="00BC022A" w:rsidRDefault="00565E6D" w:rsidP="00445C53"/>
        </w:tc>
      </w:tr>
    </w:tbl>
    <w:p w14:paraId="61EC1D83" w14:textId="77777777" w:rsidR="001B70EF" w:rsidRPr="00BC022A" w:rsidRDefault="00293B65" w:rsidP="00B84454">
      <w:pPr>
        <w:pStyle w:val="Headtable"/>
      </w:pPr>
      <w:r w:rsidRPr="00BC022A">
        <w:t xml:space="preserve">Table 1. </w:t>
      </w:r>
      <w:r w:rsidR="0034019E" w:rsidRPr="00BC022A">
        <w:t>Analyses of situation</w:t>
      </w:r>
    </w:p>
    <w:p w14:paraId="03030AB5" w14:textId="2600754D" w:rsidR="00DA5AD7" w:rsidRPr="00BC022A" w:rsidRDefault="00DA5AD7" w:rsidP="00DA5AD7">
      <w:pPr>
        <w:pStyle w:val="Rubrik2"/>
      </w:pPr>
      <w:r w:rsidRPr="00BC022A">
        <w:t>Result</w:t>
      </w:r>
    </w:p>
    <w:p w14:paraId="35E0499C" w14:textId="3927B430" w:rsidR="0034019E" w:rsidRPr="00BC022A" w:rsidRDefault="00782308" w:rsidP="00782308">
      <w:pPr>
        <w:pStyle w:val="Brdtext"/>
      </w:pPr>
      <w:r w:rsidRPr="00BC022A">
        <w:t>The analysis of the four episodes shows that the didactic dimensions – pedagogical explication, teacher participation, situational planning, and attention – are all present in various forms during spontaneous activities in preschool. These dimensions are not static but shift dynamically throughout the course of the activity. In summary, the results show that mathematics teaching in preschool does not necessarily need to be formally planned to be effective but rather depends on the teacher’s ability to recogni</w:t>
      </w:r>
      <w:r w:rsidR="003D5EA9">
        <w:t>s</w:t>
      </w:r>
      <w:r w:rsidRPr="00BC022A">
        <w:t>e and build on the mathematical opportunities that emerge in children's play and exploration.</w:t>
      </w:r>
    </w:p>
    <w:p w14:paraId="6F203C91" w14:textId="6F639A43" w:rsidR="00CE6A6A" w:rsidRPr="00BC022A" w:rsidRDefault="00CE6A6A">
      <w:pPr>
        <w:pStyle w:val="Rubrik2"/>
      </w:pPr>
      <w:r w:rsidRPr="00BC022A">
        <w:t>References</w:t>
      </w:r>
    </w:p>
    <w:p w14:paraId="2B29D655" w14:textId="37E5D97B" w:rsidR="006153BE" w:rsidRPr="00BC022A" w:rsidRDefault="006153BE" w:rsidP="006153BE">
      <w:pPr>
        <w:pStyle w:val="References"/>
      </w:pPr>
      <w:proofErr w:type="spellStart"/>
      <w:r w:rsidRPr="00BC022A">
        <w:t>Björklund</w:t>
      </w:r>
      <w:proofErr w:type="spellEnd"/>
      <w:r w:rsidRPr="00BC022A">
        <w:t xml:space="preserve">, C. (2008). Toddlers’ opportunities to learn mathematics. </w:t>
      </w:r>
      <w:r w:rsidRPr="00BC022A">
        <w:rPr>
          <w:i/>
          <w:iCs/>
        </w:rPr>
        <w:t>International Journal of Early Childhood, 40</w:t>
      </w:r>
      <w:r w:rsidRPr="00BC022A">
        <w:t xml:space="preserve">(1), 81–95. </w:t>
      </w:r>
      <w:hyperlink r:id="rId7" w:history="1">
        <w:r w:rsidR="00902960" w:rsidRPr="00BC022A">
          <w:rPr>
            <w:rStyle w:val="Hyperlnk"/>
          </w:rPr>
          <w:t>https://doi.org/10.1007/BF03168365</w:t>
        </w:r>
      </w:hyperlink>
    </w:p>
    <w:p w14:paraId="19CBAB4F" w14:textId="2820DB66" w:rsidR="00DE6DED" w:rsidRPr="00BC022A" w:rsidRDefault="00DE6DED" w:rsidP="006153BE">
      <w:pPr>
        <w:pStyle w:val="References"/>
      </w:pPr>
      <w:r w:rsidRPr="00BC022A">
        <w:t xml:space="preserve">Duncan GJ, Dowsett CJ, Claessens A, Magnuson K, Huston AC, Klebanov P, Pagani LS, Feinstein L, Engel M, Brooks-Gunn J, Sexton H, Duckworth K, </w:t>
      </w:r>
      <w:proofErr w:type="spellStart"/>
      <w:r w:rsidRPr="00BC022A">
        <w:t>Japel</w:t>
      </w:r>
      <w:proofErr w:type="spellEnd"/>
      <w:r w:rsidRPr="00BC022A">
        <w:t xml:space="preserve"> C. School readiness and later achievement. Dev Psychol. 2007 Nov;43(6):1428-1446. </w:t>
      </w:r>
      <w:proofErr w:type="spellStart"/>
      <w:r w:rsidRPr="00BC022A">
        <w:t>doi</w:t>
      </w:r>
      <w:proofErr w:type="spellEnd"/>
      <w:r w:rsidRPr="00BC022A">
        <w:t xml:space="preserve">: 10.1037/0012-1649.43.6.1428. Erratum in: Dev Psychol. 2008 Jan;44(1):232. </w:t>
      </w:r>
      <w:proofErr w:type="spellStart"/>
      <w:r w:rsidRPr="00BC022A">
        <w:t>PMID</w:t>
      </w:r>
      <w:proofErr w:type="spellEnd"/>
      <w:r w:rsidRPr="00BC022A">
        <w:t>: 18020822.</w:t>
      </w:r>
    </w:p>
    <w:p w14:paraId="2F9AAA83" w14:textId="77777777" w:rsidR="006153BE" w:rsidRPr="00BC022A" w:rsidRDefault="006153BE" w:rsidP="006153BE">
      <w:pPr>
        <w:pStyle w:val="References"/>
      </w:pPr>
      <w:r w:rsidRPr="00BC022A">
        <w:t>Helenius, O. (2018). Explicating professional modes of action for teaching preschool mathematics. </w:t>
      </w:r>
      <w:r w:rsidRPr="00BC022A">
        <w:rPr>
          <w:i/>
          <w:iCs/>
        </w:rPr>
        <w:t>Research in Mathematics Education, 20</w:t>
      </w:r>
      <w:r w:rsidRPr="00BC022A">
        <w:t>(2), 183-199.</w:t>
      </w:r>
    </w:p>
    <w:p w14:paraId="2D70FE65" w14:textId="77777777" w:rsidR="006153BE" w:rsidRPr="00BC022A" w:rsidRDefault="006153BE" w:rsidP="006153BE">
      <w:pPr>
        <w:pStyle w:val="References"/>
      </w:pPr>
      <w:r w:rsidRPr="00BC022A">
        <w:t>Lynch, H., &amp; Stanley, M. (2018). Beyond words: Using qualitative video methods for researching occupation with young children. </w:t>
      </w:r>
      <w:proofErr w:type="spellStart"/>
      <w:r w:rsidRPr="00BC022A">
        <w:rPr>
          <w:i/>
          <w:iCs/>
        </w:rPr>
        <w:t>OTJR</w:t>
      </w:r>
      <w:proofErr w:type="spellEnd"/>
      <w:r w:rsidRPr="00BC022A">
        <w:rPr>
          <w:i/>
          <w:iCs/>
        </w:rPr>
        <w:t>: occupation, participation and health</w:t>
      </w:r>
      <w:r w:rsidRPr="00BC022A">
        <w:t>, </w:t>
      </w:r>
      <w:r w:rsidRPr="00BC022A">
        <w:rPr>
          <w:i/>
          <w:iCs/>
        </w:rPr>
        <w:t>38</w:t>
      </w:r>
      <w:r w:rsidRPr="00BC022A">
        <w:t xml:space="preserve">(1): 56–66. </w:t>
      </w:r>
      <w:hyperlink r:id="rId8" w:history="1">
        <w:r w:rsidRPr="00BC022A">
          <w:rPr>
            <w:rStyle w:val="Hyperlnk"/>
          </w:rPr>
          <w:t>http://doi.org/10.1177/1539449217718504</w:t>
        </w:r>
      </w:hyperlink>
    </w:p>
    <w:p w14:paraId="59F40580" w14:textId="0F35AC9F" w:rsidR="001B70EF" w:rsidRPr="00BC022A" w:rsidRDefault="001B70EF" w:rsidP="001B70EF">
      <w:pPr>
        <w:pStyle w:val="References"/>
      </w:pPr>
      <w:proofErr w:type="spellStart"/>
      <w:r w:rsidRPr="00BC022A">
        <w:t>Skolverket</w:t>
      </w:r>
      <w:proofErr w:type="spellEnd"/>
      <w:r w:rsidRPr="00BC022A">
        <w:t xml:space="preserve"> (2019). </w:t>
      </w:r>
      <w:r w:rsidRPr="00BC022A">
        <w:rPr>
          <w:i/>
          <w:iCs/>
        </w:rPr>
        <w:t>Curriculum for the pre-school (Lpfö18</w:t>
      </w:r>
      <w:r w:rsidRPr="00BC022A">
        <w:t>).</w:t>
      </w:r>
    </w:p>
    <w:p w14:paraId="3EBAD461" w14:textId="6572B02F" w:rsidR="00BC022A" w:rsidRPr="00BC022A" w:rsidRDefault="006153BE" w:rsidP="00BC022A">
      <w:pPr>
        <w:pStyle w:val="References"/>
        <w:rPr>
          <w:i/>
          <w:iCs/>
        </w:rPr>
      </w:pPr>
      <w:r w:rsidRPr="00BC022A">
        <w:t xml:space="preserve">Stensson, C. (2022). </w:t>
      </w:r>
      <w:proofErr w:type="spellStart"/>
      <w:r w:rsidRPr="00BC022A">
        <w:t>Didaktik</w:t>
      </w:r>
      <w:proofErr w:type="spellEnd"/>
      <w:r w:rsidRPr="00BC022A">
        <w:t xml:space="preserve"> attention: Preschool teaching from a </w:t>
      </w:r>
      <w:proofErr w:type="spellStart"/>
      <w:r w:rsidRPr="00BC022A">
        <w:t>didaktik</w:t>
      </w:r>
      <w:proofErr w:type="spellEnd"/>
      <w:r w:rsidRPr="00BC022A">
        <w:t xml:space="preserve"> and variation theory perspective using examples of mathematical aspects of pr</w:t>
      </w:r>
      <w:r w:rsidR="00902960" w:rsidRPr="00BC022A">
        <w:t>o</w:t>
      </w:r>
      <w:r w:rsidRPr="00BC022A">
        <w:t xml:space="preserve">gramming. </w:t>
      </w:r>
      <w:proofErr w:type="spellStart"/>
      <w:r w:rsidRPr="00BC022A">
        <w:rPr>
          <w:i/>
          <w:iCs/>
        </w:rPr>
        <w:t>Educare</w:t>
      </w:r>
      <w:proofErr w:type="spellEnd"/>
      <w:r w:rsidR="00902960" w:rsidRPr="00BC022A">
        <w:rPr>
          <w:i/>
          <w:iCs/>
        </w:rPr>
        <w:t>.</w:t>
      </w:r>
    </w:p>
    <w:sectPr w:rsidR="00BC022A" w:rsidRPr="00BC022A" w:rsidSect="000761F4">
      <w:headerReference w:type="default" r:id="rId9"/>
      <w:footerReference w:type="even" r:id="rId10"/>
      <w:footerReference w:type="default" r:id="rId11"/>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8890" w14:textId="77777777" w:rsidR="00C45C79" w:rsidRDefault="00C45C79">
      <w:pPr>
        <w:spacing w:line="240" w:lineRule="auto"/>
      </w:pPr>
      <w:r>
        <w:separator/>
      </w:r>
    </w:p>
  </w:endnote>
  <w:endnote w:type="continuationSeparator" w:id="0">
    <w:p w14:paraId="088DE572" w14:textId="77777777" w:rsidR="00C45C79" w:rsidRDefault="00C45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07A5" w14:textId="77777777" w:rsidR="00C45C79" w:rsidRDefault="00C45C79">
      <w:pPr>
        <w:spacing w:line="240" w:lineRule="auto"/>
      </w:pPr>
      <w:r>
        <w:separator/>
      </w:r>
    </w:p>
  </w:footnote>
  <w:footnote w:type="continuationSeparator" w:id="0">
    <w:p w14:paraId="5955E42C" w14:textId="77777777" w:rsidR="00C45C79" w:rsidRDefault="00C45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53461"/>
    <w:rsid w:val="00064A57"/>
    <w:rsid w:val="000761F4"/>
    <w:rsid w:val="00084739"/>
    <w:rsid w:val="000D2258"/>
    <w:rsid w:val="000F6D87"/>
    <w:rsid w:val="000F7629"/>
    <w:rsid w:val="000F7BC9"/>
    <w:rsid w:val="00117643"/>
    <w:rsid w:val="0012798B"/>
    <w:rsid w:val="00133F5F"/>
    <w:rsid w:val="00166B97"/>
    <w:rsid w:val="00187B97"/>
    <w:rsid w:val="001B70EF"/>
    <w:rsid w:val="001C24C4"/>
    <w:rsid w:val="001F1129"/>
    <w:rsid w:val="00235B66"/>
    <w:rsid w:val="002478E9"/>
    <w:rsid w:val="00253267"/>
    <w:rsid w:val="002824CB"/>
    <w:rsid w:val="00293B65"/>
    <w:rsid w:val="002943DC"/>
    <w:rsid w:val="002A38E1"/>
    <w:rsid w:val="002C5E58"/>
    <w:rsid w:val="002C65E6"/>
    <w:rsid w:val="0034019E"/>
    <w:rsid w:val="0038603C"/>
    <w:rsid w:val="003B13D5"/>
    <w:rsid w:val="003B2647"/>
    <w:rsid w:val="003D5EA9"/>
    <w:rsid w:val="00405D8A"/>
    <w:rsid w:val="0043305D"/>
    <w:rsid w:val="004332BF"/>
    <w:rsid w:val="00445C53"/>
    <w:rsid w:val="00452E5B"/>
    <w:rsid w:val="004540DA"/>
    <w:rsid w:val="00461D61"/>
    <w:rsid w:val="0046608A"/>
    <w:rsid w:val="0048547A"/>
    <w:rsid w:val="004A456A"/>
    <w:rsid w:val="004B4570"/>
    <w:rsid w:val="004E6BFD"/>
    <w:rsid w:val="00520A5D"/>
    <w:rsid w:val="00565E6D"/>
    <w:rsid w:val="00567E52"/>
    <w:rsid w:val="005710F8"/>
    <w:rsid w:val="0059652F"/>
    <w:rsid w:val="005A363B"/>
    <w:rsid w:val="005B20F5"/>
    <w:rsid w:val="005C76E3"/>
    <w:rsid w:val="005D3EEB"/>
    <w:rsid w:val="005D7BEC"/>
    <w:rsid w:val="005E3911"/>
    <w:rsid w:val="006153BE"/>
    <w:rsid w:val="00672077"/>
    <w:rsid w:val="006C4A80"/>
    <w:rsid w:val="00713E1F"/>
    <w:rsid w:val="00725508"/>
    <w:rsid w:val="007308CE"/>
    <w:rsid w:val="00737C28"/>
    <w:rsid w:val="0075497C"/>
    <w:rsid w:val="00767280"/>
    <w:rsid w:val="00782308"/>
    <w:rsid w:val="007E7F38"/>
    <w:rsid w:val="007F2592"/>
    <w:rsid w:val="00842F58"/>
    <w:rsid w:val="00855A41"/>
    <w:rsid w:val="008C4C60"/>
    <w:rsid w:val="008F254A"/>
    <w:rsid w:val="00902960"/>
    <w:rsid w:val="0091579A"/>
    <w:rsid w:val="009213D2"/>
    <w:rsid w:val="00933A03"/>
    <w:rsid w:val="009828BA"/>
    <w:rsid w:val="009B5983"/>
    <w:rsid w:val="009C103B"/>
    <w:rsid w:val="009F3460"/>
    <w:rsid w:val="009F743F"/>
    <w:rsid w:val="00A2654B"/>
    <w:rsid w:val="00A97DDD"/>
    <w:rsid w:val="00B13C57"/>
    <w:rsid w:val="00B320A0"/>
    <w:rsid w:val="00B35C10"/>
    <w:rsid w:val="00B84454"/>
    <w:rsid w:val="00B9617A"/>
    <w:rsid w:val="00B96EEF"/>
    <w:rsid w:val="00BB2F0C"/>
    <w:rsid w:val="00BC022A"/>
    <w:rsid w:val="00C20788"/>
    <w:rsid w:val="00C21E6A"/>
    <w:rsid w:val="00C32D6E"/>
    <w:rsid w:val="00C45C79"/>
    <w:rsid w:val="00C66BD1"/>
    <w:rsid w:val="00C82B9A"/>
    <w:rsid w:val="00CB4BF0"/>
    <w:rsid w:val="00CE6A6A"/>
    <w:rsid w:val="00CE72FC"/>
    <w:rsid w:val="00CF1856"/>
    <w:rsid w:val="00D16341"/>
    <w:rsid w:val="00D72F63"/>
    <w:rsid w:val="00D827A1"/>
    <w:rsid w:val="00D834DC"/>
    <w:rsid w:val="00DA5AD7"/>
    <w:rsid w:val="00DE1488"/>
    <w:rsid w:val="00DE6DED"/>
    <w:rsid w:val="00E1082B"/>
    <w:rsid w:val="00E57676"/>
    <w:rsid w:val="00E90B43"/>
    <w:rsid w:val="00E9269A"/>
    <w:rsid w:val="00E961CC"/>
    <w:rsid w:val="00EA7EDB"/>
    <w:rsid w:val="00EB5E45"/>
    <w:rsid w:val="00ED2199"/>
    <w:rsid w:val="00ED4F58"/>
    <w:rsid w:val="00F31A52"/>
    <w:rsid w:val="00F42DFA"/>
    <w:rsid w:val="00F44F67"/>
    <w:rsid w:val="00F5400D"/>
    <w:rsid w:val="00F6328B"/>
    <w:rsid w:val="00F84046"/>
    <w:rsid w:val="00FD2C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character" w:styleId="Hyperlnk">
    <w:name w:val="Hyperlink"/>
    <w:basedOn w:val="Standardstycketeckensnitt"/>
    <w:uiPriority w:val="99"/>
    <w:unhideWhenUsed/>
    <w:rsid w:val="005D7BEC"/>
    <w:rPr>
      <w:color w:val="0000FF" w:themeColor="hyperlink"/>
      <w:u w:val="single"/>
    </w:rPr>
  </w:style>
  <w:style w:type="character" w:styleId="Olstomnmnande">
    <w:name w:val="Unresolved Mention"/>
    <w:basedOn w:val="Standardstycketeckensnitt"/>
    <w:uiPriority w:val="99"/>
    <w:semiHidden/>
    <w:unhideWhenUsed/>
    <w:rsid w:val="00615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77/15394492177185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BF031683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4473</Characters>
  <Application>Microsoft Office Word</Application>
  <DocSecurity>0</DocSecurity>
  <Lines>104</Lines>
  <Paragraphs>48</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2025-12-01T09:11:00Z</dcterms:created>
  <dcterms:modified xsi:type="dcterms:W3CDTF">2025-12-01T09:11:00Z</dcterms:modified>
  <cp:category/>
</cp:coreProperties>
</file>