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Review of mathematical generalisation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Palm Kaplan, K., Eriksson, H., Gustafsson, B</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University of Gävle, Stockholm University, Karlstad University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This presentation focuses on a pilot study for a review of research on mathematical generalisation, MG, in school algebra. MG is an important step when going from the mathematical context through detecting a mathematical pattern, to developing algebraic thinking (Sibgatullin, et. al. 2022). Effects of technology on algebraic thinking – including making generalisations – have been reviewed (Mustaffa et al., 2015) as well as theoretical considerations and processes of generalisation (Malara, 2012). However, reviews focussing on MG seem scarce. Given that the ability to make MGs for a long time has been claimed to be crucial knowledge and of vital importance for developing algebraic thinking, there is a need for a more overarching research review.</w:t>
      </w:r>
    </w:p>
    <w:p w:rsidR="00000000" w:rsidDel="00000000" w:rsidP="00000000" w:rsidRDefault="00000000" w:rsidRPr="00000000" w14:paraId="00000005">
      <w:pPr>
        <w:rPr/>
      </w:pPr>
      <w:r w:rsidDel="00000000" w:rsidR="00000000" w:rsidRPr="00000000">
        <w:rPr>
          <w:rtl w:val="0"/>
        </w:rPr>
        <w:t xml:space="preserve">In this pilot study we delineate and compare different views on MG in research on school algebra. More specifically, we ask:</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45"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methods characterise empirical research on MG in school algebra?</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145" w:right="0" w:hanging="360"/>
        <w:jc w:val="both"/>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What characterises the relation between MG and school algebra in this empirical research?</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In our presentation we would like to discuss these questions and alternative ways to approach our material.</w:t>
      </w:r>
    </w:p>
    <w:p w:rsidR="00000000" w:rsidDel="00000000" w:rsidP="00000000" w:rsidRDefault="00000000" w:rsidRPr="00000000" w14:paraId="00000009">
      <w:pPr>
        <w:pStyle w:val="Heading2"/>
        <w:rPr/>
      </w:pPr>
      <w:r w:rsidDel="00000000" w:rsidR="00000000" w:rsidRPr="00000000">
        <w:rPr>
          <w:rtl w:val="0"/>
        </w:rPr>
        <w:t xml:space="preserve">Theoretical and analytical frames, and methods of analysis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Developing awareness of MG has been explained as enhancing “seeing a generality through the particular and seeing the particular in the general” (Mason, 1996, p. 65). MG can thus be seen as a process which may be developed in many directions, and has been expressed differently by different researchers (Mason, 1996). Choosing an already fixed analytical framework would have included presumptions about how MG can be depicted in relation to school algebra. Therefore, we have chosen an inductive thematic approach. Our focus has been the object of study in the papers and its relation to MG. Three positions were identified: MG as the object of study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in the study’s fore-ground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MG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in the study’s background</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with something else, e.g., algebraic thinking, as the object of study; and MG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in relation to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something else as the object of study.</w:t>
      </w:r>
    </w:p>
    <w:p w:rsidR="00000000" w:rsidDel="00000000" w:rsidP="00000000" w:rsidRDefault="00000000" w:rsidRPr="00000000" w14:paraId="0000000B">
      <w:pPr>
        <w:rPr/>
      </w:pPr>
      <w:r w:rsidDel="00000000" w:rsidR="00000000" w:rsidRPr="00000000">
        <w:rPr>
          <w:rtl w:val="0"/>
        </w:rPr>
        <w:t xml:space="preserve">ERIC and Scopus were used for data collection. The search terms were combinations of </w:t>
      </w:r>
      <w:r w:rsidDel="00000000" w:rsidR="00000000" w:rsidRPr="00000000">
        <w:rPr>
          <w:i w:val="1"/>
          <w:rtl w:val="0"/>
        </w:rPr>
        <w:t xml:space="preserve">generali</w:t>
      </w:r>
      <w:r w:rsidDel="00000000" w:rsidR="00000000" w:rsidRPr="00000000">
        <w:rPr>
          <w:rtl w:val="0"/>
        </w:rPr>
        <w:t xml:space="preserve">*, </w:t>
      </w:r>
      <w:r w:rsidDel="00000000" w:rsidR="00000000" w:rsidRPr="00000000">
        <w:rPr>
          <w:i w:val="1"/>
          <w:rtl w:val="0"/>
        </w:rPr>
        <w:t xml:space="preserve">arithmetic</w:t>
      </w:r>
      <w:r w:rsidDel="00000000" w:rsidR="00000000" w:rsidRPr="00000000">
        <w:rPr>
          <w:rtl w:val="0"/>
        </w:rPr>
        <w:t xml:space="preserve">*, </w:t>
      </w:r>
      <w:r w:rsidDel="00000000" w:rsidR="00000000" w:rsidRPr="00000000">
        <w:rPr>
          <w:i w:val="1"/>
          <w:rtl w:val="0"/>
        </w:rPr>
        <w:t xml:space="preserve">algebra</w:t>
      </w:r>
      <w:r w:rsidDel="00000000" w:rsidR="00000000" w:rsidRPr="00000000">
        <w:rPr>
          <w:rtl w:val="0"/>
        </w:rPr>
        <w:t xml:space="preserve">* and </w:t>
      </w:r>
      <w:r w:rsidDel="00000000" w:rsidR="00000000" w:rsidRPr="00000000">
        <w:rPr>
          <w:i w:val="1"/>
          <w:rtl w:val="0"/>
        </w:rPr>
        <w:t xml:space="preserve">abstract reasoning. </w:t>
      </w:r>
      <w:r w:rsidDel="00000000" w:rsidR="00000000" w:rsidRPr="00000000">
        <w:rPr>
          <w:rtl w:val="0"/>
        </w:rPr>
        <w:t xml:space="preserve">Studies on higher education and teachers were not included. In total, 654 records were identified in Scopus and 902 in ERIC, whereof 186 were selected. A flow chart of the selecting process is lifted in the presentation. For this pilot, 31 papers (every sixth paper, chronologically) of the 186 were selected for full reading. Three papers were then excluded due to the wrong population. All researchers coded all papers with respect to educational level, methods of analysis, and the object of study. Citations of the studies’ aims and results were then thematised inductively (Braun &amp; Clarke, 2021). </w:t>
      </w:r>
    </w:p>
    <w:p w:rsidR="00000000" w:rsidDel="00000000" w:rsidP="00000000" w:rsidRDefault="00000000" w:rsidRPr="00000000" w14:paraId="0000000C">
      <w:pPr>
        <w:pStyle w:val="Heading2"/>
        <w:rPr/>
      </w:pPr>
      <w:r w:rsidDel="00000000" w:rsidR="00000000" w:rsidRPr="00000000">
        <w:rPr>
          <w:rtl w:val="0"/>
        </w:rPr>
        <w:t xml:space="preserve">Results and discussion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Studies that involved middle school were common (11 of 29, ages 11-13). Seven studies involved several educational levels, mostly both lower and upper primary school (ages 6-10). Only a handful of studies involved high school (ages 14-18), none kindergarten (ages 0-5). Content analysis is the main research method (12 studies). Eight papers employ a combination of methods; often content analysis paired with descriptive statistics. Three studies use only quantitative methods. Finally, MG is in the study’s foreground in seven papers and studied in relation to something else in six papers; but MG is mainly in the study’s background (15 papers). Studies about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Technology, problem solving, and modelling</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frequently sought to identify different aspects of mathematical content in tasks, students’ solutions, strategies or reasoning, while studies on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Algebraic thinking, reasoning and structure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predominantly concerned students’ learning trajectories or mathematical development.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Patterns, functional thinking, and generalized arithmetic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mostly concerned either students’ learning trajectories or mathematical development, or students’ perceptions of mathematical content. The theme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Representational aspects</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was identified in all kinds of studies. </w:t>
      </w:r>
    </w:p>
    <w:p w:rsidR="00000000" w:rsidDel="00000000" w:rsidP="00000000" w:rsidRDefault="00000000" w:rsidRPr="00000000" w14:paraId="0000000E">
      <w:pPr>
        <w:rPr/>
      </w:pPr>
      <w:r w:rsidDel="00000000" w:rsidR="00000000" w:rsidRPr="00000000">
        <w:rPr>
          <w:rtl w:val="0"/>
        </w:rPr>
        <w:t xml:space="preserve">Sibgatullin et al. (2022) seem to conceptualise MG as a backdrop to algebraic thinking, but this pilot points out other possible conceptualisations. The review has an empirical focus and can thus be regarded as a complement to Malara’s (2021) theoretical considerations on MG. Compared to Mustaffa et al. (2015), who focus on technology in relation to algebra, we have identified other themes as well. </w:t>
      </w:r>
    </w:p>
    <w:p w:rsidR="00000000" w:rsidDel="00000000" w:rsidP="00000000" w:rsidRDefault="00000000" w:rsidRPr="00000000" w14:paraId="0000000F">
      <w:pPr>
        <w:pStyle w:val="Heading2"/>
        <w:rPr/>
      </w:pPr>
      <w:r w:rsidDel="00000000" w:rsidR="00000000" w:rsidRPr="00000000">
        <w:rPr>
          <w:rtl w:val="0"/>
        </w:rPr>
        <w:t xml:space="preserve">References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Braun, V. &amp; Clarke, V. (2021). One size fits all? What counts as quality practice in (reflexive) thematic analysis?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Psychology,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328–352. </w:t>
      </w: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doi.org/10.1080/14780887.2020.1769238</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Malara, N. (2012). Generalization Processes In The Teaching/Learning Of Algebra: Students Behaviours And Teacher Role. In B. Maj-Tatsis &amp; K. Tatsis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Generalization In Mathematics At All Educational Levels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 57–90). Wydawnictwo Uniwersytetu Rzeszowskiego.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Mason, J. (1996). Expressing generality and roots of algebra. In N. Berdnarz, C. Kieran, &amp; L. Lee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Approaches to algebra: Perspectives for research and teaching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65–86). Kluwer.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Mustaffa, N., Ismail, Z., Tasir, Z. &amp; Said, M. N. H. M. (2015). A Review on the Developing Algebraic Thinking.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Advanced Science Letters, 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 3381–3383</w:t>
      </w:r>
      <w:r w:rsidDel="00000000" w:rsidR="00000000" w:rsidRPr="00000000">
        <w:rPr>
          <w:sz w:val="24"/>
          <w:szCs w:val="24"/>
          <w:rtl w:val="0"/>
        </w:rPr>
        <w:br w:type="textWrapping"/>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doi.org/10.1166/asl.2015.6511</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Sibgatullin, I. R.,Korzhuev, a. V., Khairullina, E. R., Sadykova, A. R., Baturina, R. V., &amp; Chauzova, V. (2022). A Systematic Review on Algebraic Thinking in Education.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EURASIA Journal of Mathematics, Science and Technology Education,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1–15.</w:t>
      </w:r>
      <w:r w:rsidDel="00000000" w:rsidR="00000000" w:rsidRPr="00000000">
        <w:rPr>
          <w:sz w:val="24"/>
          <w:szCs w:val="24"/>
          <w:rtl w:val="0"/>
        </w:rPr>
        <w:br w:type="textWrapping"/>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doi.org/10.29333/ejmste/11486</w:t>
        </w:r>
      </w:hyperlink>
      <w:r w:rsidDel="00000000" w:rsidR="00000000" w:rsidRPr="00000000">
        <w:rPr>
          <w:rtl w:val="0"/>
        </w:rPr>
      </w:r>
    </w:p>
    <w:sectPr>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145" w:hanging="360"/>
      </w:pPr>
      <w:rPr>
        <w:rFonts w:ascii="Noto Sans Symbols" w:cs="Noto Sans Symbols" w:eastAsia="Noto Sans Symbols" w:hAnsi="Noto Sans Symbols"/>
      </w:rPr>
    </w:lvl>
    <w:lvl w:ilvl="1">
      <w:start w:val="1"/>
      <w:numFmt w:val="bullet"/>
      <w:lvlText w:val="o"/>
      <w:lvlJc w:val="left"/>
      <w:pPr>
        <w:ind w:left="1865" w:hanging="360"/>
      </w:pPr>
      <w:rPr>
        <w:rFonts w:ascii="Courier New" w:cs="Courier New" w:eastAsia="Courier New" w:hAnsi="Courier New"/>
      </w:rPr>
    </w:lvl>
    <w:lvl w:ilvl="2">
      <w:start w:val="1"/>
      <w:numFmt w:val="bullet"/>
      <w:lvlText w:val="▪"/>
      <w:lvlJc w:val="left"/>
      <w:pPr>
        <w:ind w:left="2585" w:hanging="360"/>
      </w:pPr>
      <w:rPr>
        <w:rFonts w:ascii="Noto Sans Symbols" w:cs="Noto Sans Symbols" w:eastAsia="Noto Sans Symbols" w:hAnsi="Noto Sans Symbols"/>
      </w:rPr>
    </w:lvl>
    <w:lvl w:ilvl="3">
      <w:start w:val="1"/>
      <w:numFmt w:val="bullet"/>
      <w:lvlText w:val="●"/>
      <w:lvlJc w:val="left"/>
      <w:pPr>
        <w:ind w:left="3305" w:hanging="360"/>
      </w:pPr>
      <w:rPr>
        <w:rFonts w:ascii="Noto Sans Symbols" w:cs="Noto Sans Symbols" w:eastAsia="Noto Sans Symbols" w:hAnsi="Noto Sans Symbols"/>
      </w:rPr>
    </w:lvl>
    <w:lvl w:ilvl="4">
      <w:start w:val="1"/>
      <w:numFmt w:val="bullet"/>
      <w:lvlText w:val="o"/>
      <w:lvlJc w:val="left"/>
      <w:pPr>
        <w:ind w:left="4025" w:hanging="360"/>
      </w:pPr>
      <w:rPr>
        <w:rFonts w:ascii="Courier New" w:cs="Courier New" w:eastAsia="Courier New" w:hAnsi="Courier New"/>
      </w:rPr>
    </w:lvl>
    <w:lvl w:ilvl="5">
      <w:start w:val="1"/>
      <w:numFmt w:val="bullet"/>
      <w:lvlText w:val="▪"/>
      <w:lvlJc w:val="left"/>
      <w:pPr>
        <w:ind w:left="4745" w:hanging="360"/>
      </w:pPr>
      <w:rPr>
        <w:rFonts w:ascii="Noto Sans Symbols" w:cs="Noto Sans Symbols" w:eastAsia="Noto Sans Symbols" w:hAnsi="Noto Sans Symbols"/>
      </w:rPr>
    </w:lvl>
    <w:lvl w:ilvl="6">
      <w:start w:val="1"/>
      <w:numFmt w:val="bullet"/>
      <w:lvlText w:val="●"/>
      <w:lvlJc w:val="left"/>
      <w:pPr>
        <w:ind w:left="5465" w:hanging="360"/>
      </w:pPr>
      <w:rPr>
        <w:rFonts w:ascii="Noto Sans Symbols" w:cs="Noto Sans Symbols" w:eastAsia="Noto Sans Symbols" w:hAnsi="Noto Sans Symbols"/>
      </w:rPr>
    </w:lvl>
    <w:lvl w:ilvl="7">
      <w:start w:val="1"/>
      <w:numFmt w:val="bullet"/>
      <w:lvlText w:val="o"/>
      <w:lvlJc w:val="left"/>
      <w:pPr>
        <w:ind w:left="6185" w:hanging="360"/>
      </w:pPr>
      <w:rPr>
        <w:rFonts w:ascii="Courier New" w:cs="Courier New" w:eastAsia="Courier New" w:hAnsi="Courier New"/>
      </w:rPr>
    </w:lvl>
    <w:lvl w:ilvl="8">
      <w:start w:val="1"/>
      <w:numFmt w:val="bullet"/>
      <w:lvlText w:val="▪"/>
      <w:lvlJc w:val="left"/>
      <w:pPr>
        <w:ind w:left="6905"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sz w:val="28"/>
      <w:szCs w:val="28"/>
    </w:rPr>
  </w:style>
  <w:style w:type="paragraph" w:styleId="Heading3">
    <w:name w:val="heading 3"/>
    <w:basedOn w:val="Normal"/>
    <w:next w:val="Normal"/>
    <w:pPr>
      <w:keepNext w:val="1"/>
      <w:spacing w:before="240" w:lineRule="auto"/>
      <w:ind w:firstLine="0"/>
      <w:jc w:val="left"/>
    </w:pPr>
    <w:rPr>
      <w:b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i w:val="1"/>
      <w:sz w:val="26"/>
      <w:szCs w:val="2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Rubrik8">
    <w:name w:val="heading 8"/>
    <w:aliases w:val="Authors"/>
    <w:basedOn w:val="Rubrik"/>
    <w:next w:val="Normal"/>
    <w:link w:val="Rubrik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Rubrik9">
    <w:name w:val="heading 9"/>
    <w:aliases w:val="Institution"/>
    <w:basedOn w:val="Rubrik"/>
    <w:next w:val="Normal"/>
    <w:link w:val="Rubrik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Char" w:customStyle="1">
    <w:name w:val="Rubrik Char"/>
    <w:link w:val="Rubrik"/>
    <w:uiPriority w:val="10"/>
    <w:rsid w:val="009D176C"/>
    <w:rPr>
      <w:rFonts w:ascii="Calibri" w:cs="Times New Roman" w:eastAsia="Times New Roman" w:hAnsi="Calibri"/>
      <w:b w:val="1"/>
      <w:bCs w:val="1"/>
      <w:kern w:val="28"/>
      <w:sz w:val="32"/>
      <w:szCs w:val="32"/>
      <w:lang w:eastAsia="en-US" w:val="en-GB"/>
    </w:rPr>
  </w:style>
  <w:style w:type="character" w:styleId="Rubrik8Char" w:customStyle="1">
    <w:name w:val="Rubrik 8 Char"/>
    <w:aliases w:val="Authors Char"/>
    <w:link w:val="Rubrik8"/>
    <w:uiPriority w:val="9"/>
    <w:rsid w:val="000C4CBD"/>
    <w:rPr>
      <w:rFonts w:cs="Times New Roman" w:eastAsia="Times New Roman"/>
      <w:b w:val="1"/>
      <w:bCs w:val="1"/>
      <w:iCs w:val="1"/>
      <w:kern w:val="28"/>
      <w:sz w:val="28"/>
      <w:szCs w:val="24"/>
      <w:lang w:eastAsia="en-US" w:val="en-GB"/>
    </w:rPr>
  </w:style>
  <w:style w:type="paragraph" w:styleId="Brdtext">
    <w:name w:val="Body Text"/>
    <w:aliases w:val="Bread 1"/>
    <w:basedOn w:val="Normal"/>
    <w:next w:val="Normal"/>
    <w:link w:val="BrdtextChar"/>
    <w:uiPriority w:val="99"/>
    <w:unhideWhenUsed w:val="1"/>
    <w:qFormat w:val="1"/>
    <w:rsid w:val="00FD5842"/>
    <w:pPr>
      <w:ind w:firstLine="0"/>
    </w:pPr>
  </w:style>
  <w:style w:type="character" w:styleId="BrdtextChar" w:customStyle="1">
    <w:name w:val="Brödtext Char"/>
    <w:aliases w:val="Bread 1 Char"/>
    <w:link w:val="Brdtext"/>
    <w:uiPriority w:val="99"/>
    <w:rsid w:val="00FD5842"/>
    <w:rPr>
      <w:sz w:val="26"/>
      <w:szCs w:val="28"/>
      <w:lang w:eastAsia="en-US" w:val="en-GB"/>
    </w:rPr>
  </w:style>
  <w:style w:type="character" w:styleId="Rubrik4Char" w:customStyle="1">
    <w:name w:val="Rubrik 4 Char"/>
    <w:aliases w:val="Head 3 Char"/>
    <w:link w:val="Rubrik4"/>
    <w:uiPriority w:val="9"/>
    <w:rsid w:val="00101D8A"/>
    <w:rPr>
      <w:rFonts w:cs="Times New Roman" w:eastAsia="Times New Roman"/>
      <w:b w:val="1"/>
      <w:i w:val="1"/>
      <w:kern w:val="28"/>
      <w:sz w:val="26"/>
      <w:szCs w:val="32"/>
      <w:lang w:eastAsia="en-US" w:val="en-GB"/>
    </w:rPr>
  </w:style>
  <w:style w:type="character" w:styleId="Rubrik9Char" w:customStyle="1">
    <w:name w:val="Rubrik 9 Char"/>
    <w:aliases w:val="Institution Char"/>
    <w:link w:val="Rubrik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rdtext"/>
    <w:qFormat w:val="1"/>
    <w:rsid w:val="00D40F30"/>
    <w:pPr>
      <w:spacing w:after="120" w:before="120"/>
      <w:ind w:left="425" w:right="425"/>
    </w:pPr>
    <w:rPr>
      <w:sz w:val="24"/>
      <w:szCs w:val="26"/>
    </w:rPr>
  </w:style>
  <w:style w:type="paragraph" w:styleId="References" w:customStyle="1">
    <w:name w:val="References"/>
    <w:basedOn w:val="Brd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Sidnummer">
    <w:name w:val="page number"/>
    <w:basedOn w:val="Standardstycketeckensnit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rdtext"/>
    <w:link w:val="HeadtableChar"/>
    <w:qFormat w:val="1"/>
    <w:rsid w:val="008B3B99"/>
    <w:pPr>
      <w:spacing w:after="120" w:before="120"/>
      <w:ind w:left="425" w:right="425" w:firstLine="0"/>
      <w:jc w:val="left"/>
    </w:pPr>
  </w:style>
  <w:style w:type="paragraph" w:styleId="Abstract" w:customStyle="1">
    <w:name w:val="Abstract"/>
    <w:basedOn w:val="Brdtext"/>
    <w:link w:val="AbstractChar"/>
    <w:rsid w:val="00084739"/>
    <w:rPr>
      <w:i w:val="1"/>
    </w:rPr>
  </w:style>
  <w:style w:type="character" w:styleId="AbstractChar" w:customStyle="1">
    <w:name w:val="Abstract Char"/>
    <w:basedOn w:val="BrdtextChar"/>
    <w:link w:val="Abstract"/>
    <w:rsid w:val="00084739"/>
    <w:rPr>
      <w:i w:val="1"/>
      <w:sz w:val="26"/>
      <w:szCs w:val="28"/>
      <w:lang w:eastAsia="en-US" w:val="en-GB"/>
    </w:rPr>
  </w:style>
  <w:style w:type="paragraph" w:styleId="Sidhuvud">
    <w:name w:val="header"/>
    <w:basedOn w:val="Normal"/>
    <w:link w:val="SidhuvudChar"/>
    <w:unhideWhenUsed w:val="1"/>
    <w:rsid w:val="007628ED"/>
    <w:pPr>
      <w:tabs>
        <w:tab w:val="center" w:pos="4536"/>
        <w:tab w:val="right" w:pos="9072"/>
      </w:tabs>
      <w:spacing w:line="240" w:lineRule="auto"/>
    </w:pPr>
  </w:style>
  <w:style w:type="character" w:styleId="SidhuvudChar" w:customStyle="1">
    <w:name w:val="Sidhuvud Char"/>
    <w:basedOn w:val="Standardstycketeckensnitt"/>
    <w:link w:val="Sidhuvud"/>
    <w:rsid w:val="007628ED"/>
    <w:rPr>
      <w:sz w:val="26"/>
      <w:szCs w:val="28"/>
      <w:lang w:eastAsia="en-US" w:val="en-GB"/>
    </w:rPr>
  </w:style>
  <w:style w:type="paragraph" w:styleId="Liststycke">
    <w:name w:val="List Paragraph"/>
    <w:basedOn w:val="Normal"/>
    <w:rsid w:val="008440A9"/>
    <w:pPr>
      <w:ind w:left="720"/>
      <w:contextualSpacing w:val="1"/>
    </w:pPr>
  </w:style>
  <w:style w:type="paragraph" w:styleId="Brdtextmedindrag2">
    <w:name w:val="Body Text Indent 2"/>
    <w:basedOn w:val="Normal"/>
    <w:link w:val="Brdtextmedindrag2Char"/>
    <w:rsid w:val="004D6602"/>
    <w:pPr>
      <w:spacing w:after="120" w:line="480" w:lineRule="auto"/>
      <w:ind w:left="283"/>
    </w:pPr>
  </w:style>
  <w:style w:type="character" w:styleId="Brdtextmedindrag2Char" w:customStyle="1">
    <w:name w:val="Brödtext med indrag 2 Char"/>
    <w:basedOn w:val="Standardstycketeckensnitt"/>
    <w:link w:val="Brdtextmedindrag2"/>
    <w:rsid w:val="004D6602"/>
    <w:rPr>
      <w:sz w:val="26"/>
      <w:szCs w:val="28"/>
      <w:lang w:eastAsia="en-US" w:val="en-GB"/>
    </w:rPr>
  </w:style>
  <w:style w:type="character" w:styleId="Hyperlnk">
    <w:name w:val="Hyperlink"/>
    <w:basedOn w:val="Standardstycketeckensnitt"/>
    <w:unhideWhenUsed w:val="1"/>
    <w:rsid w:val="004D6602"/>
    <w:rPr>
      <w:color w:val="0000ff" w:themeColor="hyperlink"/>
      <w:u w:val="single"/>
    </w:rPr>
  </w:style>
  <w:style w:type="character" w:styleId="Olstomnmnande">
    <w:name w:val="Unresolved Mention"/>
    <w:basedOn w:val="Standardstycketeckensnitt"/>
    <w:uiPriority w:val="99"/>
    <w:semiHidden w:val="1"/>
    <w:unhideWhenUsed w:val="1"/>
    <w:rsid w:val="004D6602"/>
    <w:rPr>
      <w:color w:val="605e5c"/>
      <w:shd w:color="auto" w:fill="e1dfdd" w:val="clear"/>
    </w:rPr>
  </w:style>
  <w:style w:type="character" w:styleId="Kommentarsreferens">
    <w:name w:val="annotation reference"/>
    <w:basedOn w:val="Standardstycketeckensnitt"/>
    <w:semiHidden w:val="1"/>
    <w:unhideWhenUsed w:val="1"/>
    <w:rsid w:val="007928F5"/>
    <w:rPr>
      <w:sz w:val="16"/>
      <w:szCs w:val="16"/>
    </w:rPr>
  </w:style>
  <w:style w:type="paragraph" w:styleId="Kommentarer">
    <w:name w:val="annotation text"/>
    <w:basedOn w:val="Normal"/>
    <w:link w:val="KommentarerChar"/>
    <w:unhideWhenUsed w:val="1"/>
    <w:rsid w:val="007928F5"/>
    <w:pPr>
      <w:spacing w:line="240" w:lineRule="auto"/>
    </w:pPr>
    <w:rPr>
      <w:sz w:val="20"/>
      <w:szCs w:val="20"/>
    </w:rPr>
  </w:style>
  <w:style w:type="character" w:styleId="KommentarerChar" w:customStyle="1">
    <w:name w:val="Kommentarer Char"/>
    <w:basedOn w:val="Standardstycketeckensnitt"/>
    <w:link w:val="Kommentarer"/>
    <w:rsid w:val="007928F5"/>
    <w:rPr>
      <w:lang w:eastAsia="en-US" w:val="en-GB"/>
    </w:rPr>
  </w:style>
  <w:style w:type="paragraph" w:styleId="Kommentarsmne">
    <w:name w:val="annotation subject"/>
    <w:basedOn w:val="Kommentarer"/>
    <w:next w:val="Kommentarer"/>
    <w:link w:val="KommentarsmneChar"/>
    <w:semiHidden w:val="1"/>
    <w:unhideWhenUsed w:val="1"/>
    <w:rsid w:val="007928F5"/>
    <w:rPr>
      <w:b w:val="1"/>
      <w:bCs w:val="1"/>
    </w:rPr>
  </w:style>
  <w:style w:type="character" w:styleId="KommentarsmneChar" w:customStyle="1">
    <w:name w:val="Kommentarsämne Char"/>
    <w:basedOn w:val="KommentarerChar"/>
    <w:link w:val="Kommentarsmne"/>
    <w:semiHidden w:val="1"/>
    <w:rsid w:val="007928F5"/>
    <w:rPr>
      <w:b w:val="1"/>
      <w:bCs w:val="1"/>
      <w:lang w:eastAsia="en-US" w:val="en-GB"/>
    </w:rPr>
  </w:style>
  <w:style w:type="paragraph" w:styleId="Revision">
    <w:name w:val="Revision"/>
    <w:hidden w:val="1"/>
    <w:semiHidden w:val="1"/>
    <w:rsid w:val="00F66000"/>
    <w:rPr>
      <w:sz w:val="26"/>
      <w:szCs w:val="28"/>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29333/ejmste/1148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80/14780887.2020.1769238" TargetMode="External"/><Relationship Id="rId8" Type="http://schemas.openxmlformats.org/officeDocument/2006/relationships/hyperlink" Target="https://doi.org/10.1166/asl.2015.651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8DG1WhSeFrhoak6LRJZb1eQatg==">CgMxLjA4AHIhMTdkd29FMEV3d1lpelc3ZHF3Q1Y0MjFneGl3YzRHNnFT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2025-09-12T06:37:00Z</dcterms:created>
</cp:coreProperties>
</file>