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Training pre-service teachers to teach statistics: What can they learn from their degree project?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Karin Landtblom och Abdel Seidouvy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Institutionen för Ämnesdidaktik Stockholms universitet</w:t>
      </w:r>
    </w:p>
    <w:p w:rsidR="00000000" w:rsidDel="00000000" w:rsidP="00000000" w:rsidRDefault="00000000" w:rsidRPr="00000000" w14:paraId="00000005">
      <w:pPr>
        <w:ind w:firstLine="0"/>
        <w:rPr/>
      </w:pPr>
      <w:r w:rsidDel="00000000" w:rsidR="00000000" w:rsidRPr="00000000">
        <w:rPr>
          <w:color w:val="000000"/>
          <w:sz w:val="27"/>
          <w:szCs w:val="27"/>
          <w:rtl w:val="0"/>
        </w:rPr>
        <w:t xml:space="preserve">This presentation outlines initial results on how pre-service teachers analyse and present quantitative data in degree projects at an advanced level. Degree projects from a period of seven semesters are analysed.</w:t>
      </w:r>
      <w:r w:rsidDel="00000000" w:rsidR="00000000" w:rsidRPr="00000000">
        <w:rPr>
          <w:rtl w:val="0"/>
        </w:rPr>
        <w:t xml:space="preserve"> </w:t>
      </w:r>
      <w:r w:rsidDel="00000000" w:rsidR="00000000" w:rsidRPr="00000000">
        <w:rPr>
          <w:color w:val="000000"/>
          <w:sz w:val="27"/>
          <w:szCs w:val="27"/>
          <w:rtl w:val="0"/>
        </w:rPr>
        <w:t xml:space="preserve">The guiding research question was: What statistical elements can be identified in degree projects in science and mathematics education? The results show that statistical engagement was present in only a small proportion of the projects and was confined to basic descriptive forms, rather than analytical ones, which limited opportunities for deeper interpretation. The purpose of this short communication is to raise the question of how teacher education can find ways to foster statistical engagement in degree projects, moving beyond algorithmic approaches and supporting higher-quality student research.</w:t>
      </w:r>
      <w:r w:rsidDel="00000000" w:rsidR="00000000" w:rsidRPr="00000000">
        <w:rPr>
          <w:rtl w:val="0"/>
        </w:rPr>
      </w:r>
    </w:p>
    <w:p w:rsidR="00000000" w:rsidDel="00000000" w:rsidP="00000000" w:rsidRDefault="00000000" w:rsidRPr="00000000" w14:paraId="00000006">
      <w:pPr>
        <w:pStyle w:val="Heading3"/>
        <w:rPr/>
      </w:pPr>
      <w:r w:rsidDel="00000000" w:rsidR="00000000" w:rsidRPr="00000000">
        <w:rPr>
          <w:rtl w:val="0"/>
        </w:rPr>
        <w:t xml:space="preserve">Developing data literacy through data treatment in degree project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the 21st century, data literacy has developed as an extension of statistical literacy, requiring not only an understanding of statistical concepts but also the ability to critically engage with data across various contexts (Schreiter et al., 2024). There is a need to become both a consumer and a producer of data (Gould, 2017). Pre-service teachers need authentic experiences that foster inference skills and enhance statistical reasoning, thereby moving beyond algorithmic approaches that restrict interpretative abilities. These experiences can be practised as part of a degree project.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degree project holds a privileged place in higher education, as it is the culmination of students’ studies, providing a space to integrate theory, research, methodology, and analysis, and fostering independent and in-depth learning (Hemmings, 2001). One of the learning objectives in the degree project is to conduct a study where the collected data are systematically analysed and the results are reported in a well-structured manner (</w:t>
      </w:r>
      <w:r w:rsidDel="00000000" w:rsidR="00000000" w:rsidRPr="00000000">
        <w:rPr>
          <w:rFonts w:ascii="Times New Roman" w:cs="Times New Roman" w:eastAsia="Times New Roman" w:hAnsi="Times New Roman"/>
          <w:b w:val="0"/>
          <w:i w:val="0"/>
          <w:smallCaps w:val="0"/>
          <w:strike w:val="0"/>
          <w:color w:val="212121"/>
          <w:sz w:val="24"/>
          <w:szCs w:val="24"/>
          <w:highlight w:val="white"/>
          <w:u w:val="none"/>
          <w:vertAlign w:val="baseline"/>
          <w:rtl w:val="0"/>
        </w:rPr>
        <w:t xml:space="preserve">Stockholm University, 2020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Participating in research projects and designing statistical investigations during their training can provide valuable practical experience, enabling teachers to promote inquiry-based learning in their classrooms (Batanero et al., 2011; Gould, 2013). Expanding statistical literacy in this way better prepares teachers and students to navigate a data-driven world and address the complex challenges of interpretation and decision-making. The preparation of teachers remains central to advancing education. Strengthening teachers’ competencies, fostering the development of tailored pedagogical approaches, and sustaining systematic research are essential for shaping education (Schreiter et al., 2024).</w:t>
      </w:r>
    </w:p>
    <w:p w:rsidR="00000000" w:rsidDel="00000000" w:rsidP="00000000" w:rsidRDefault="00000000" w:rsidRPr="00000000" w14:paraId="00000009">
      <w:pPr>
        <w:pStyle w:val="Heading2"/>
        <w:rPr/>
      </w:pPr>
      <w:r w:rsidDel="00000000" w:rsidR="00000000" w:rsidRPr="00000000">
        <w:rPr>
          <w:rtl w:val="0"/>
        </w:rPr>
        <w:t xml:space="preserve">Method</w:t>
      </w:r>
    </w:p>
    <w:p w:rsidR="00000000" w:rsidDel="00000000" w:rsidP="00000000" w:rsidRDefault="00000000" w:rsidRPr="00000000" w14:paraId="0000000A">
      <w:pPr>
        <w:ind w:firstLine="0"/>
        <w:rPr/>
      </w:pPr>
      <w:r w:rsidDel="00000000" w:rsidR="00000000" w:rsidRPr="00000000">
        <w:rPr>
          <w:rtl w:val="0"/>
        </w:rPr>
        <w:t xml:space="preserve">The data comprised degree projects completed within teacher education at the Department of Education, Stockholm University, during the past seven semesters. From this total corpus, we identified 185 projects within science and mathematics education. In a second step, we included only those projects that contained elements of statistical content, resulting in a subset of 43 projects. These were analysed using a coding schema aligned with the research questions, in which “statistical elements” were classified as descriptive (data handling, summaries, graphs) or analytic (inferential tests).</w:t>
      </w:r>
    </w:p>
    <w:p w:rsidR="00000000" w:rsidDel="00000000" w:rsidP="00000000" w:rsidRDefault="00000000" w:rsidRPr="00000000" w14:paraId="0000000B">
      <w:pPr>
        <w:pStyle w:val="Heading2"/>
        <w:rPr/>
      </w:pPr>
      <w:r w:rsidDel="00000000" w:rsidR="00000000" w:rsidRPr="00000000">
        <w:rPr>
          <w:rtl w:val="0"/>
        </w:rPr>
        <w:t xml:space="preserve">Preliminary results and conclusions </w:t>
      </w:r>
    </w:p>
    <w:p w:rsidR="00000000" w:rsidDel="00000000" w:rsidP="00000000" w:rsidRDefault="00000000" w:rsidRPr="00000000" w14:paraId="0000000C">
      <w:pPr>
        <w:ind w:firstLine="0"/>
        <w:rPr/>
      </w:pPr>
      <w:r w:rsidDel="00000000" w:rsidR="00000000" w:rsidRPr="00000000">
        <w:rPr>
          <w:b w:val="0"/>
          <w:rtl w:val="0"/>
        </w:rPr>
        <w:t xml:space="preserve">Only a small proportion of the examined degree projects included statistical processing of results, amounting to 23% percent of the corpus</w:t>
      </w:r>
      <w:r w:rsidDel="00000000" w:rsidR="00000000" w:rsidRPr="00000000">
        <w:rPr>
          <w:b w:val="1"/>
          <w:rtl w:val="0"/>
        </w:rPr>
        <w:t xml:space="preserve">.</w:t>
      </w:r>
      <w:r w:rsidDel="00000000" w:rsidR="00000000" w:rsidRPr="00000000">
        <w:rPr>
          <w:rtl w:val="0"/>
        </w:rPr>
        <w:t xml:space="preserve"> The statistical elements that did appear were almost exclusively descriptive, typically limited to nominal data, frequency counts, tables, and simple bar charts. In some cases, graphs seemed to be included decoratively, without a clear analytical purpose or alignment with the stated research questions. While the qualitative orientation of many projects was well justified, keeping statistical use at such a low descriptive level restricted the possibility of drawing more nuanced or robust conclusions from the data. Engaging even with basic analytical approaches would allow students to interpret and critically engage with their results more fully, thereby strengthening both the validity of their findings and the educational value of their projects. This raises the question of how teacher education might more fully integrate statistical engagement in degree projects, moving beyond algorithmic approaches that restrict interpretation, and contribute to more robust and higher-quality research experiences (Gould, 2013, 2017; Schreiter et al., 2024).</w:t>
      </w:r>
    </w:p>
    <w:p w:rsidR="00000000" w:rsidDel="00000000" w:rsidP="00000000" w:rsidRDefault="00000000" w:rsidRPr="00000000" w14:paraId="0000000D">
      <w:pPr>
        <w:pStyle w:val="Heading2"/>
        <w:rPr/>
      </w:pPr>
      <w:r w:rsidDel="00000000" w:rsidR="00000000" w:rsidRPr="00000000">
        <w:rPr>
          <w:rtl w:val="0"/>
        </w:rPr>
        <w:t xml:space="preserve">References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563c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Batanero, C., Burrill, G., &amp; Reading, C. (2011b). Overview: challenges for teaching statistics in school mathematics and preparing mathematics teachers. In: Batanero, C., Burrill, G., &amp; Reading, C.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ICMI/IASE Study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 14, pp. 407–418). Springer.</w:t>
      </w:r>
      <w:r w:rsidDel="00000000" w:rsidR="00000000" w:rsidRPr="00000000">
        <w:rPr>
          <w:sz w:val="24"/>
          <w:szCs w:val="24"/>
          <w:rtl w:val="0"/>
        </w:rPr>
        <w:br w:type="textWrapping"/>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https://doi.org/10.1007/978-94-007-1131-0</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Hemmings, S. (2001). The place of the dissertation in learning to research.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Learning to research: resources for learning and teaching in sociology and social policy. Sheffield, SSP2000/Teaching and Learning Network for Sociology and Social Policy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ff"/>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Gould, R. (2017). Data literacy is statistical literacy.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Statistics Education Research 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22–25.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https://doi.org/10.52041/serj.v16i1.209</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Schreiter, S., Friedrich, A., Fuhr, H., Malone, S., Brünken, R., Kuhn, J., &amp; Vogel, M. (2024). Teaching for statistical and data literacy in K-12 STEM education: a systematic review on teacher variables, teacher education, and impacts on classroom practice. </w:t>
      </w:r>
      <w:r w:rsidDel="00000000" w:rsidR="00000000" w:rsidRPr="00000000">
        <w:rPr>
          <w:rFonts w:ascii="Times New Roman" w:cs="Times New Roman" w:eastAsia="Times New Roman" w:hAnsi="Times New Roman"/>
          <w:b w:val="0"/>
          <w:i w:val="1"/>
          <w:smallCaps w:val="0"/>
          <w:strike w:val="0"/>
          <w:color w:val="222222"/>
          <w:sz w:val="24"/>
          <w:szCs w:val="24"/>
          <w:highlight w:val="white"/>
          <w:u w:val="none"/>
          <w:vertAlign w:val="baseline"/>
          <w:rtl w:val="0"/>
        </w:rPr>
        <w:t xml:space="preserve">ZDM–Mathematics Education</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22222"/>
          <w:sz w:val="24"/>
          <w:szCs w:val="24"/>
          <w:highlight w:val="white"/>
          <w:u w:val="none"/>
          <w:vertAlign w:val="baseline"/>
          <w:rtl w:val="0"/>
        </w:rPr>
        <w:t xml:space="preserve">56</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(1), 31</w:t>
      </w:r>
      <w:r w:rsidDel="00000000" w:rsidR="00000000" w:rsidRPr="00000000">
        <w:rPr>
          <w:color w:val="222222"/>
          <w:sz w:val="24"/>
          <w:szCs w:val="24"/>
          <w:highlight w:val="white"/>
          <w:rtl w:val="0"/>
        </w:rPr>
        <w:t xml:space="preserve">–</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45.</w:t>
      </w:r>
      <w:r w:rsidDel="00000000" w:rsidR="00000000" w:rsidRPr="00000000">
        <w:rPr>
          <w:color w:val="222222"/>
          <w:sz w:val="24"/>
          <w:szCs w:val="24"/>
          <w:highlight w:val="white"/>
          <w:rtl w:val="0"/>
        </w:rPr>
        <w:br w:type="textWrapping"/>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https://doi.org/10.1007/s11858-023-01531-1</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212121"/>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highlight w:val="white"/>
          <w:u w:val="none"/>
          <w:vertAlign w:val="baseline"/>
          <w:rtl w:val="0"/>
        </w:rPr>
        <w:t xml:space="preserve">Stockholm University (2020).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Mathematics Education, School Years 4-6, Degree Project II, 15 ECTS credits.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UM9020.</w:t>
      </w:r>
      <w:r w:rsidDel="00000000" w:rsidR="00000000" w:rsidRPr="00000000">
        <w:rPr>
          <w:rtl w:val="0"/>
        </w:rPr>
      </w:r>
    </w:p>
    <w:p w:rsidR="00000000" w:rsidDel="00000000" w:rsidP="00000000" w:rsidRDefault="00000000" w:rsidRPr="00000000" w14:paraId="00000013">
      <w:pPr>
        <w:ind w:firstLine="0"/>
        <w:rPr/>
      </w:pPr>
      <w:r w:rsidDel="00000000" w:rsidR="00000000" w:rsidRPr="00000000">
        <w:rPr>
          <w:rtl w:val="0"/>
        </w:rPr>
      </w:r>
    </w:p>
    <w:p w:rsidR="00000000" w:rsidDel="00000000" w:rsidP="00000000" w:rsidRDefault="00000000" w:rsidRPr="00000000" w14:paraId="00000014">
      <w:pPr>
        <w:ind w:firstLine="0"/>
        <w:rPr/>
      </w:pPr>
      <w:r w:rsidDel="00000000" w:rsidR="00000000" w:rsidRPr="00000000">
        <w:rPr>
          <w:rtl w:val="0"/>
        </w:rPr>
      </w:r>
    </w:p>
    <w:sectPr>
      <w:headerReference r:id="rId10" w:type="default"/>
      <w:footerReference r:id="rId11" w:type="default"/>
      <w:footerReference r:id="rId12"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right"/>
      <w:rPr/>
    </w:pPr>
    <w:r w:rsidDel="00000000" w:rsidR="00000000" w:rsidRPr="00000000">
      <w:rPr>
        <w:rtl w:val="0"/>
      </w:rPr>
    </w:r>
  </w:p>
  <w:p w:rsidR="00000000" w:rsidDel="00000000" w:rsidP="00000000" w:rsidRDefault="00000000" w:rsidRPr="00000000" w14:paraId="00000016">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sz w:val="28"/>
      <w:szCs w:val="28"/>
    </w:rPr>
  </w:style>
  <w:style w:type="paragraph" w:styleId="Heading3">
    <w:name w:val="heading 3"/>
    <w:basedOn w:val="Normal"/>
    <w:next w:val="Normal"/>
    <w:pPr>
      <w:keepNext w:val="1"/>
      <w:spacing w:before="240" w:lineRule="auto"/>
      <w:ind w:firstLine="0"/>
      <w:jc w:val="left"/>
    </w:pPr>
    <w:rPr>
      <w:b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i w:val="1"/>
      <w:sz w:val="26"/>
      <w:szCs w:val="2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Rubrik8">
    <w:name w:val="heading 8"/>
    <w:aliases w:val="Authors"/>
    <w:basedOn w:val="Rubrik"/>
    <w:next w:val="Normal"/>
    <w:link w:val="Rubrik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 w:val="24"/>
      <w:szCs w:val="26"/>
    </w:rPr>
  </w:style>
  <w:style w:type="paragraph" w:styleId="References" w:customStyle="1">
    <w:name w:val="References"/>
    <w:basedOn w:val="Brd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paragraph" w:styleId="Sidhuvud">
    <w:name w:val="header"/>
    <w:basedOn w:val="Normal"/>
    <w:link w:val="SidhuvudChar"/>
    <w:semiHidden w:val="1"/>
    <w:unhideWhenUsed w:val="1"/>
    <w:rsid w:val="007628ED"/>
    <w:pPr>
      <w:tabs>
        <w:tab w:val="center" w:pos="4536"/>
        <w:tab w:val="right" w:pos="9072"/>
      </w:tabs>
      <w:spacing w:line="240" w:lineRule="auto"/>
    </w:pPr>
  </w:style>
  <w:style w:type="character" w:styleId="SidhuvudChar" w:customStyle="1">
    <w:name w:val="Sidhuvud Char"/>
    <w:basedOn w:val="Standardstycketeckensnitt"/>
    <w:link w:val="Sidhuvud"/>
    <w:semiHidden w:val="1"/>
    <w:rsid w:val="007628ED"/>
    <w:rPr>
      <w:sz w:val="26"/>
      <w:szCs w:val="28"/>
      <w:lang w:eastAsia="en-US" w:val="en-GB"/>
    </w:rPr>
  </w:style>
  <w:style w:type="character" w:styleId="Hyperlnk">
    <w:name w:val="Hyperlink"/>
    <w:basedOn w:val="Standardstycketeckensnitt"/>
    <w:uiPriority w:val="99"/>
    <w:unhideWhenUsed w:val="1"/>
    <w:rsid w:val="00680BB5"/>
    <w:rPr>
      <w:color w:val="0000ff" w:themeColor="hyperlink"/>
      <w:u w:val="single"/>
    </w:rPr>
  </w:style>
  <w:style w:type="character" w:styleId="Kommentarsreferens">
    <w:name w:val="annotation reference"/>
    <w:basedOn w:val="Standardstycketeckensnitt"/>
    <w:semiHidden w:val="1"/>
    <w:unhideWhenUsed w:val="1"/>
    <w:rsid w:val="00BA2E1E"/>
    <w:rPr>
      <w:sz w:val="16"/>
      <w:szCs w:val="16"/>
    </w:rPr>
  </w:style>
  <w:style w:type="paragraph" w:styleId="Kommentarer">
    <w:name w:val="annotation text"/>
    <w:basedOn w:val="Normal"/>
    <w:link w:val="KommentarerChar"/>
    <w:semiHidden w:val="1"/>
    <w:unhideWhenUsed w:val="1"/>
    <w:rsid w:val="00BA2E1E"/>
    <w:pPr>
      <w:spacing w:line="240" w:lineRule="auto"/>
    </w:pPr>
    <w:rPr>
      <w:sz w:val="20"/>
      <w:szCs w:val="20"/>
    </w:rPr>
  </w:style>
  <w:style w:type="character" w:styleId="KommentarerChar" w:customStyle="1">
    <w:name w:val="Kommentarer Char"/>
    <w:basedOn w:val="Standardstycketeckensnitt"/>
    <w:link w:val="Kommentarer"/>
    <w:semiHidden w:val="1"/>
    <w:rsid w:val="00BA2E1E"/>
    <w:rPr>
      <w:lang w:eastAsia="en-US" w:val="en-GB"/>
    </w:rPr>
  </w:style>
  <w:style w:type="paragraph" w:styleId="Kommentarsmne">
    <w:name w:val="annotation subject"/>
    <w:basedOn w:val="Kommentarer"/>
    <w:next w:val="Kommentarer"/>
    <w:link w:val="KommentarsmneChar"/>
    <w:semiHidden w:val="1"/>
    <w:unhideWhenUsed w:val="1"/>
    <w:rsid w:val="00BA2E1E"/>
    <w:rPr>
      <w:b w:val="1"/>
      <w:bCs w:val="1"/>
    </w:rPr>
  </w:style>
  <w:style w:type="character" w:styleId="KommentarsmneChar" w:customStyle="1">
    <w:name w:val="Kommentarsämne Char"/>
    <w:basedOn w:val="KommentarerChar"/>
    <w:link w:val="Kommentarsmne"/>
    <w:semiHidden w:val="1"/>
    <w:rsid w:val="00BA2E1E"/>
    <w:rPr>
      <w:b w:val="1"/>
      <w:bCs w:val="1"/>
      <w:lang w:eastAsia="en-US" w:val="en-GB"/>
    </w:rPr>
  </w:style>
  <w:style w:type="character" w:styleId="Olstomnmnande">
    <w:name w:val="Unresolved Mention"/>
    <w:basedOn w:val="Standardstycketeckensnitt"/>
    <w:uiPriority w:val="99"/>
    <w:semiHidden w:val="1"/>
    <w:unhideWhenUsed w:val="1"/>
    <w:rsid w:val="00A763C3"/>
    <w:rPr>
      <w:color w:val="605e5c"/>
      <w:shd w:color="auto" w:fill="e1dfdd" w:val="clear"/>
    </w:rPr>
  </w:style>
  <w:style w:type="paragraph" w:styleId="Liststycke">
    <w:name w:val="List Paragraph"/>
    <w:basedOn w:val="Normal"/>
    <w:rsid w:val="00313CB0"/>
    <w:pPr>
      <w:ind w:left="720"/>
      <w:contextualSpacing w:val="1"/>
    </w:pPr>
  </w:style>
  <w:style w:type="character" w:styleId="Stark">
    <w:name w:val="Strong"/>
    <w:basedOn w:val="Standardstycketeckensnitt"/>
    <w:uiPriority w:val="22"/>
    <w:qFormat w:val="1"/>
    <w:rsid w:val="002C700B"/>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s://doi.org/10.1007/s11858-023-01531-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07/978-94-007-1131-0" TargetMode="External"/><Relationship Id="rId8" Type="http://schemas.openxmlformats.org/officeDocument/2006/relationships/hyperlink" Target="https://doi.org/10.52041/serj.v16i1.20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w5B+RDN+/imdETj+a/UM7f9EPQ==">CgMxLjA4AHIhMTdiNzA5eGlmeTJWUWZjV3Jic1pveGxjRE1HNU9kUzYx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2025-09-12T13:52:00Z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461f9af1-9432-4a7c-8ab9-888d2d6a9eb5</vt:lpwstr>
  </property>
</Properties>
</file>