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Relationship between teaching experience and teachers’ use of teacher guide content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Marcus Gustafsson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of Mathematics and Computer Science, Karlstad University</w:t>
      </w:r>
    </w:p>
    <w:p w:rsidR="00000000" w:rsidDel="00000000" w:rsidP="00000000" w:rsidRDefault="00000000" w:rsidRPr="00000000" w14:paraId="00000004">
      <w:pPr>
        <w:pStyle w:val="Heading2"/>
        <w:rPr/>
      </w:pPr>
      <w:r w:rsidDel="00000000" w:rsidR="00000000" w:rsidRPr="00000000">
        <w:rPr>
          <w:rtl w:val="0"/>
        </w:rPr>
        <w:t xml:space="preserve">Introduction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presentation reports on preliminary findings of a research project where Swedish upper-secondary school teachers used a designed topic-centered research-based teacher guide for teaching quadratic equations. The project is situated within the vast field of research on teachers’ use of curriculum materials (Remillard, 2005). Even though research has identified that this use relates to contextual factors and teacher variables such as teaching experience, less research has targeted the relationship with specific usages of different features of teacher guides. A first design cycle showed some patterns of use for 6 teachers (Gustafsson, 2025). In the second cycle, 55 teachers of various experience used the guide, allowing for the investigation of usage patterns.</w:t>
      </w:r>
    </w:p>
    <w:p w:rsidR="00000000" w:rsidDel="00000000" w:rsidP="00000000" w:rsidRDefault="00000000" w:rsidRPr="00000000" w14:paraId="00000006">
      <w:pPr>
        <w:rPr/>
      </w:pPr>
      <w:r w:rsidDel="00000000" w:rsidR="00000000" w:rsidRPr="00000000">
        <w:rPr>
          <w:rtl w:val="0"/>
        </w:rPr>
        <w:t xml:space="preserve">The overarching question addressed in this presentation is: what is the relationship between teachers’ use of teacher guide content and teaching experience?</w:t>
      </w:r>
    </w:p>
    <w:p w:rsidR="00000000" w:rsidDel="00000000" w:rsidP="00000000" w:rsidRDefault="00000000" w:rsidRPr="00000000" w14:paraId="00000007">
      <w:pPr>
        <w:pStyle w:val="Heading2"/>
        <w:rPr/>
      </w:pPr>
      <w:r w:rsidDel="00000000" w:rsidR="00000000" w:rsidRPr="00000000">
        <w:rPr>
          <w:rtl w:val="0"/>
        </w:rPr>
        <w:t xml:space="preserve">Methods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teacher guide was designed and distributed to teachers in a second cycle of a design research project in spring 2025. It consisted of 3 expository texts, 5 lesson activities, and 4 types of tasks, representing content designed to be possibly educative (Davis et al., 2017). Expository texts consisted of a research summary, suggestions on possible implications for teaching, and curriculum information, all for quadratic equations. The activities were designed to meet issues raised in the texts, and included rationale for their use. Tasks included old national exam tasks, challenging tasks, exit tickets and a quick reference. Teachers were recruited by mail through principals, and 68 teachers answered a post-use survey, out of which 55 teachers from 49 different schools stated to have used some part of the guide. Self-reported items from the survey on teaching experience and content use constitute the data. Statistical analysis, frequentist and Bayesian, was performed in JASP v0.95.1 (Marsman &amp; Wagenmakers, 2017).</w:t>
      </w:r>
    </w:p>
    <w:p w:rsidR="00000000" w:rsidDel="00000000" w:rsidP="00000000" w:rsidRDefault="00000000" w:rsidRPr="00000000" w14:paraId="00000009">
      <w:pPr>
        <w:pStyle w:val="Heading2"/>
        <w:rPr/>
      </w:pPr>
      <w:r w:rsidDel="00000000" w:rsidR="00000000" w:rsidRPr="00000000">
        <w:rPr>
          <w:rtl w:val="0"/>
        </w:rPr>
        <w:t xml:space="preserve">Theoretical framing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Teachers’ curriculum use is here seen as teachers perceiving and mobilizing the resources available to them in designing instruction (Brown, 2009). In this work, they distribute their agency between themselves and the resources through different degrees of artifact appropriation, termed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offload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adapt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improvising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Perceiving an affordance can result in such forms of mobilization, representing a decreasing spectrum of agency transfer from teacher to resource.</w:t>
      </w:r>
    </w:p>
    <w:p w:rsidR="00000000" w:rsidDel="00000000" w:rsidP="00000000" w:rsidRDefault="00000000" w:rsidRPr="00000000" w14:paraId="0000000B">
      <w:pPr>
        <w:pStyle w:val="Heading2"/>
        <w:rPr/>
      </w:pPr>
      <w:bookmarkStart w:colFirst="0" w:colLast="0" w:name="_heading=h.mssjrhw2q60w" w:id="0"/>
      <w:bookmarkEnd w:id="0"/>
      <w:r w:rsidDel="00000000" w:rsidR="00000000" w:rsidRPr="00000000">
        <w:rPr>
          <w:rtl w:val="0"/>
        </w:rPr>
        <w:t xml:space="preserve">Preliminary findings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Teaching experience (EXP) measured in years taught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14,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10), were used as the independent variable. Dependent variables were describing aspects of use: what texts were read and how thorough, what activities and tasks were used, and in what way. </w:t>
      </w:r>
    </w:p>
    <w:p w:rsidR="00000000" w:rsidDel="00000000" w:rsidP="00000000" w:rsidRDefault="00000000" w:rsidRPr="00000000" w14:paraId="0000000D">
      <w:pPr>
        <w:rPr/>
      </w:pPr>
      <w:r w:rsidDel="00000000" w:rsidR="00000000" w:rsidRPr="00000000">
        <w:rPr>
          <w:rtl w:val="0"/>
        </w:rPr>
        <w:t xml:space="preserve">In terms of relations, statistical analysis indicated negligible correlations between EXP and the thoroughness of expository texts read, and between EXP and the offloading, adapting or improvising behaviour in using activities. Trivial to small correlations were found between EXP and the number of activities and tasks used, positive and negative respectively, cautiously suggesting that more experienced teachers in the sample tended to use activities more and tasks less. However, none of these correlations were statistically significant, and Bayes factors provided moderate evidence for no relationships, and weak evidence regarding task use.</w:t>
      </w:r>
    </w:p>
    <w:p w:rsidR="00000000" w:rsidDel="00000000" w:rsidP="00000000" w:rsidRDefault="00000000" w:rsidRPr="00000000" w14:paraId="0000000E">
      <w:pPr>
        <w:rPr/>
      </w:pPr>
      <w:r w:rsidDel="00000000" w:rsidR="00000000" w:rsidRPr="00000000">
        <w:rPr>
          <w:rtl w:val="0"/>
        </w:rPr>
        <w:t xml:space="preserve">To investigate patterns in use of individual activities and tasks, logistic regressions were conducted for each activity and task. Results indicated that EXP was a significant predictor for only the first activity, with a one-year increase in experience associated with a 7% increase in the odds ratio. Bayes factor also indicated weak evidence for this relation, but weak evidence was also found for no relationships between EXP and the other activities and tasks, providing inconclusive findings.</w:t>
      </w:r>
    </w:p>
    <w:p w:rsidR="00000000" w:rsidDel="00000000" w:rsidP="00000000" w:rsidRDefault="00000000" w:rsidRPr="00000000" w14:paraId="0000000F">
      <w:pPr>
        <w:rPr/>
      </w:pPr>
      <w:r w:rsidDel="00000000" w:rsidR="00000000" w:rsidRPr="00000000">
        <w:rPr>
          <w:rtl w:val="0"/>
        </w:rPr>
        <w:t xml:space="preserve">Separate ordinal logistic regressions were conducted to examine whether EXP predicted the extent to which participants read each text, but it did not significantly predict the odds of teachers reporting greater thoroughness in reading any of the texts.</w:t>
      </w:r>
    </w:p>
    <w:p w:rsidR="00000000" w:rsidDel="00000000" w:rsidP="00000000" w:rsidRDefault="00000000" w:rsidRPr="00000000" w14:paraId="00000010">
      <w:pPr>
        <w:pStyle w:val="Heading2"/>
        <w:rPr/>
      </w:pPr>
      <w:r w:rsidDel="00000000" w:rsidR="00000000" w:rsidRPr="00000000">
        <w:rPr>
          <w:rtl w:val="0"/>
        </w:rPr>
        <w:t xml:space="preserve">Discussion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results, suggesting that teaching experience has weak or no relation to different usages of teacher guide content, require further investigation. They also raise methodological questions in relation to certainty of findings constructed from analysis. </w:t>
      </w:r>
    </w:p>
    <w:p w:rsidR="00000000" w:rsidDel="00000000" w:rsidP="00000000" w:rsidRDefault="00000000" w:rsidRPr="00000000" w14:paraId="00000012">
      <w:pPr>
        <w:pStyle w:val="Heading2"/>
        <w:rPr/>
      </w:pPr>
      <w:r w:rsidDel="00000000" w:rsidR="00000000" w:rsidRPr="00000000">
        <w:rPr>
          <w:rtl w:val="0"/>
        </w:rPr>
        <w:t xml:space="preserve">References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 M. W. (2009). The teacher–tool relationship: Theorizing the design and use of curriculum materials. In J. T. Remillard, B. A. Herbel-Eisenmann, &amp; G. M. Lloyd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Mathematics teachers at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17–36). Routledge.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Davis, E. A., Palincsar, A. S., Smith, P. S., Arias, A. M., &amp; Kademian, S. M. (2017). Educative curriculum materials: Uptake, impact, and implications for research and design.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Educational Researcher, 46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293</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w:t>
      </w:r>
      <w:r w:rsidDel="00000000" w:rsidR="00000000" w:rsidRPr="00000000">
        <w:rPr>
          <w:sz w:val="24"/>
          <w:szCs w:val="24"/>
          <w:rtl w:val="0"/>
        </w:rPr>
        <w:br w:type="textWrapping"/>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https://doi.org/10.3102/0013189X17727502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Gustafsson, M. (2025, February 4</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Upper-secondary school mathematics teachers’ use of a topic-centered research-based teacher guide.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[Paper presentation]. CERME14. Bozen-Bolzano, Italy.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Marsman, M., &amp; Wagenmakers, E. J. (2017). Bayesian benefits with JASP.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European Journal of Developmental Psychology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 545</w:t>
      </w:r>
      <w:r w:rsidDel="00000000" w:rsidR="00000000" w:rsidRPr="00000000">
        <w:rPr>
          <w:sz w:val="24"/>
          <w:szCs w:val="24"/>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555.</w:t>
      </w:r>
      <w:r w:rsidDel="00000000" w:rsidR="00000000" w:rsidRPr="00000000">
        <w:rPr>
          <w:sz w:val="24"/>
          <w:szCs w:val="24"/>
          <w:rtl w:val="0"/>
        </w:rPr>
        <w:br w:type="textWrapping"/>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https://doi.org/10.1080/17405629.2016.1259614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Remillard, J. T. (2005). Examining key concepts in research on teachers’ use of mathematics curricula.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Educational Research, 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211</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246.</w:t>
      </w:r>
      <w:r w:rsidDel="00000000" w:rsidR="00000000" w:rsidRPr="00000000">
        <w:rPr>
          <w:sz w:val="24"/>
          <w:szCs w:val="24"/>
          <w:rtl w:val="0"/>
        </w:rPr>
        <w:br w:type="textWrapping"/>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https://doi.org/10.3102/00346543075002211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headerReference r:id="rId10" w:type="default"/>
      <w:footerReference r:id="rId11" w:type="default"/>
      <w:footerReference r:id="rId12"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pPr>
    <w:r w:rsidDel="00000000" w:rsidR="00000000" w:rsidRPr="00000000">
      <w:rPr>
        <w:rtl w:val="0"/>
      </w:rPr>
    </w:r>
  </w:p>
  <w:p w:rsidR="00000000" w:rsidDel="00000000" w:rsidP="00000000" w:rsidRDefault="00000000" w:rsidRPr="00000000" w14:paraId="00000019">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Heading8">
    <w:name w:val="heading 8"/>
    <w:aliases w:val="Authors"/>
    <w:basedOn w:val="Title"/>
    <w:next w:val="Normal"/>
    <w:link w:val="Heading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Heading9">
    <w:name w:val="heading 9"/>
    <w:aliases w:val="Institution"/>
    <w:basedOn w:val="Title"/>
    <w:next w:val="Normal"/>
    <w:link w:val="Heading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link w:val="Title"/>
    <w:uiPriority w:val="10"/>
    <w:rsid w:val="009D176C"/>
    <w:rPr>
      <w:rFonts w:ascii="Calibri" w:cs="Times New Roman" w:eastAsia="Times New Roman" w:hAnsi="Calibri"/>
      <w:b w:val="1"/>
      <w:bCs w:val="1"/>
      <w:kern w:val="28"/>
      <w:sz w:val="32"/>
      <w:szCs w:val="32"/>
      <w:lang w:eastAsia="en-US" w:val="en-GB"/>
    </w:rPr>
  </w:style>
  <w:style w:type="character" w:styleId="Heading8Char" w:customStyle="1">
    <w:name w:val="Heading 8 Char"/>
    <w:aliases w:val="Authors Char"/>
    <w:link w:val="Heading8"/>
    <w:uiPriority w:val="9"/>
    <w:rsid w:val="000C4CBD"/>
    <w:rPr>
      <w:rFonts w:cs="Times New Roman" w:eastAsia="Times New Roman"/>
      <w:b w:val="1"/>
      <w:bCs w:val="1"/>
      <w:iCs w:val="1"/>
      <w:kern w:val="28"/>
      <w:sz w:val="28"/>
      <w:szCs w:val="24"/>
      <w:lang w:eastAsia="en-US" w:val="en-GB"/>
    </w:rPr>
  </w:style>
  <w:style w:type="paragraph" w:styleId="BodyText">
    <w:name w:val="Body Text"/>
    <w:aliases w:val="Bread 1"/>
    <w:basedOn w:val="Normal"/>
    <w:next w:val="Normal"/>
    <w:link w:val="BodyTextChar"/>
    <w:uiPriority w:val="99"/>
    <w:unhideWhenUsed w:val="1"/>
    <w:qFormat w:val="1"/>
    <w:rsid w:val="00FD5842"/>
    <w:pPr>
      <w:ind w:firstLine="0"/>
    </w:pPr>
  </w:style>
  <w:style w:type="character" w:styleId="BodyTextChar" w:customStyle="1">
    <w:name w:val="Body Text Char"/>
    <w:aliases w:val="Bread 1 Char"/>
    <w:link w:val="BodyText"/>
    <w:uiPriority w:val="99"/>
    <w:rsid w:val="00FD5842"/>
    <w:rPr>
      <w:sz w:val="26"/>
      <w:szCs w:val="28"/>
      <w:lang w:eastAsia="en-US" w:val="en-GB"/>
    </w:rPr>
  </w:style>
  <w:style w:type="character" w:styleId="Heading4Char" w:customStyle="1">
    <w:name w:val="Heading 4 Char"/>
    <w:aliases w:val="Head 3 Char"/>
    <w:link w:val="Heading4"/>
    <w:uiPriority w:val="9"/>
    <w:rsid w:val="00101D8A"/>
    <w:rPr>
      <w:rFonts w:cs="Times New Roman" w:eastAsia="Times New Roman"/>
      <w:b w:val="1"/>
      <w:i w:val="1"/>
      <w:kern w:val="28"/>
      <w:sz w:val="26"/>
      <w:szCs w:val="32"/>
      <w:lang w:eastAsia="en-US" w:val="en-GB"/>
    </w:rPr>
  </w:style>
  <w:style w:type="character" w:styleId="Heading9Char" w:customStyle="1">
    <w:name w:val="Heading 9 Char"/>
    <w:aliases w:val="Institution Char"/>
    <w:link w:val="Heading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odyText"/>
    <w:qFormat w:val="1"/>
    <w:rsid w:val="00D40F30"/>
    <w:pPr>
      <w:spacing w:after="120" w:before="120"/>
      <w:ind w:left="425" w:right="425"/>
    </w:pPr>
    <w:rPr>
      <w:sz w:val="24"/>
      <w:szCs w:val="26"/>
    </w:rPr>
  </w:style>
  <w:style w:type="paragraph" w:styleId="References" w:customStyle="1">
    <w:name w:val="References"/>
    <w:basedOn w:val="Body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Footer">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PageNumber">
    <w:name w:val="page number"/>
    <w:basedOn w:val="DefaultParagraphFon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odyText"/>
    <w:link w:val="HeadtableChar"/>
    <w:qFormat w:val="1"/>
    <w:rsid w:val="008B3B99"/>
    <w:pPr>
      <w:spacing w:after="120" w:before="120"/>
      <w:ind w:left="425" w:right="425" w:firstLine="0"/>
      <w:jc w:val="left"/>
    </w:pPr>
  </w:style>
  <w:style w:type="paragraph" w:styleId="Abstract" w:customStyle="1">
    <w:name w:val="Abstract"/>
    <w:basedOn w:val="BodyText"/>
    <w:link w:val="AbstractChar"/>
    <w:rsid w:val="00084739"/>
    <w:rPr>
      <w:i w:val="1"/>
    </w:rPr>
  </w:style>
  <w:style w:type="character" w:styleId="AbstractChar" w:customStyle="1">
    <w:name w:val="Abstract Char"/>
    <w:basedOn w:val="BodyTextChar"/>
    <w:link w:val="Abstract"/>
    <w:rsid w:val="00084739"/>
    <w:rPr>
      <w:i w:val="1"/>
      <w:sz w:val="26"/>
      <w:szCs w:val="28"/>
      <w:lang w:eastAsia="en-US" w:val="en-GB"/>
    </w:rPr>
  </w:style>
  <w:style w:type="paragraph" w:styleId="Header">
    <w:name w:val="header"/>
    <w:basedOn w:val="Normal"/>
    <w:link w:val="HeaderChar"/>
    <w:semiHidden w:val="1"/>
    <w:unhideWhenUsed w:val="1"/>
    <w:rsid w:val="007628ED"/>
    <w:pPr>
      <w:tabs>
        <w:tab w:val="center" w:pos="4536"/>
        <w:tab w:val="right" w:pos="9072"/>
      </w:tabs>
      <w:spacing w:line="240" w:lineRule="auto"/>
    </w:pPr>
  </w:style>
  <w:style w:type="character" w:styleId="HeaderChar" w:customStyle="1">
    <w:name w:val="Header Char"/>
    <w:basedOn w:val="DefaultParagraphFont"/>
    <w:link w:val="Header"/>
    <w:semiHidden w:val="1"/>
    <w:rsid w:val="007628ED"/>
    <w:rPr>
      <w:sz w:val="26"/>
      <w:szCs w:val="28"/>
      <w:lang w:eastAsia="en-US" w:val="en-GB"/>
    </w:rPr>
  </w:style>
  <w:style w:type="character" w:styleId="CommentReference">
    <w:name w:val="annotation reference"/>
    <w:basedOn w:val="DefaultParagraphFont"/>
    <w:semiHidden w:val="1"/>
    <w:unhideWhenUsed w:val="1"/>
    <w:rsid w:val="00380643"/>
    <w:rPr>
      <w:sz w:val="16"/>
      <w:szCs w:val="16"/>
    </w:rPr>
  </w:style>
  <w:style w:type="paragraph" w:styleId="CommentText">
    <w:name w:val="annotation text"/>
    <w:basedOn w:val="Normal"/>
    <w:link w:val="CommentTextChar"/>
    <w:semiHidden w:val="1"/>
    <w:unhideWhenUsed w:val="1"/>
    <w:rsid w:val="00380643"/>
    <w:pPr>
      <w:spacing w:line="240" w:lineRule="auto"/>
    </w:pPr>
    <w:rPr>
      <w:sz w:val="20"/>
      <w:szCs w:val="20"/>
    </w:rPr>
  </w:style>
  <w:style w:type="character" w:styleId="CommentTextChar" w:customStyle="1">
    <w:name w:val="Comment Text Char"/>
    <w:basedOn w:val="DefaultParagraphFont"/>
    <w:link w:val="CommentText"/>
    <w:semiHidden w:val="1"/>
    <w:rsid w:val="00380643"/>
    <w:rPr>
      <w:lang w:eastAsia="en-US" w:val="en-GB"/>
    </w:rPr>
  </w:style>
  <w:style w:type="paragraph" w:styleId="CommentSubject">
    <w:name w:val="annotation subject"/>
    <w:basedOn w:val="CommentText"/>
    <w:next w:val="CommentText"/>
    <w:link w:val="CommentSubjectChar"/>
    <w:semiHidden w:val="1"/>
    <w:unhideWhenUsed w:val="1"/>
    <w:rsid w:val="00380643"/>
    <w:rPr>
      <w:b w:val="1"/>
      <w:bCs w:val="1"/>
    </w:rPr>
  </w:style>
  <w:style w:type="character" w:styleId="CommentSubjectChar" w:customStyle="1">
    <w:name w:val="Comment Subject Char"/>
    <w:basedOn w:val="CommentTextChar"/>
    <w:link w:val="CommentSubject"/>
    <w:semiHidden w:val="1"/>
    <w:rsid w:val="00380643"/>
    <w:rPr>
      <w:b w:val="1"/>
      <w:bCs w:val="1"/>
      <w:lang w:eastAsia="en-US" w:val="en-GB"/>
    </w:rPr>
  </w:style>
  <w:style w:type="character" w:styleId="Hyperlink">
    <w:name w:val="Hyperlink"/>
    <w:basedOn w:val="DefaultParagraphFont"/>
    <w:unhideWhenUsed w:val="1"/>
    <w:rsid w:val="00946522"/>
    <w:rPr>
      <w:color w:val="0000ff" w:themeColor="hyperlink"/>
      <w:u w:val="single"/>
    </w:rPr>
  </w:style>
  <w:style w:type="character" w:styleId="UnresolvedMention">
    <w:name w:val="Unresolved Mention"/>
    <w:basedOn w:val="DefaultParagraphFont"/>
    <w:uiPriority w:val="99"/>
    <w:semiHidden w:val="1"/>
    <w:unhideWhenUsed w:val="1"/>
    <w:rsid w:val="0094652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i.org/10.3102/0034654307500221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3102/0013189X17727502" TargetMode="External"/><Relationship Id="rId8" Type="http://schemas.openxmlformats.org/officeDocument/2006/relationships/hyperlink" Target="https://doi.org/10.1080/17405629.2016.125961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HgXPpWiBOHOxXKXg+6jEuY2Jg==">CgMxLjAyDmgubXNzanJodzJxNjB3OAByITF6ZlMwT1JQY2NvYlVXTzNIeGtlXzhieXZERTNTcFAtbQ==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2025-09-11T08:31:00Z</dcterms:created>
</cp:coreProperties>
</file>