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rPr>
      </w:pPr>
      <w:r w:rsidDel="00000000" w:rsidR="00000000" w:rsidRPr="00000000">
        <w:rPr>
          <w:rtl w:val="0"/>
        </w:rPr>
        <w:t xml:space="preserve">The relation between mathematical reasoning and communication: How teachers describe it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Lotta Wedman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1,2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Lotta Vingsle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Magnus Österholm</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br w:type="textWrapping"/>
        <w:t xml:space="preserve">Ewa Bergqvist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Jill Adler</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and Candia Morgan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Umeå University,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Dalarna University,</w:t>
        <w:br w:type="textWrapp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University of Witwatersrand,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UCL Institute of Education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present study is part of a project studying the role of reasoning in mathematics education in Sweden and England. Here, we focus on how Swedish teachers in different school years describe mathematical reasoning in relation to communication. Reasoning is commonly seen as central to mathematics, both in research-based frameworks and in curriculum documents (see e.g., Niss &amp; Højgaard, 2011; Skolverket, 2024). However, the concept is seldom explicitly defined and, as shown by Herbert et al. (2015), teachers can have different views on what mathematical reasoning actually entails. In addition, the different competencies in frameworks and curriculum documents sometimes overlap (Niss &amp; Højgaard, 2011). </w:t>
      </w:r>
    </w:p>
    <w:p w:rsidR="00000000" w:rsidDel="00000000" w:rsidP="00000000" w:rsidRDefault="00000000" w:rsidRPr="00000000" w14:paraId="00000005">
      <w:pPr>
        <w:rPr/>
      </w:pPr>
      <w:r w:rsidDel="00000000" w:rsidR="00000000" w:rsidRPr="00000000">
        <w:rPr>
          <w:rtl w:val="0"/>
        </w:rPr>
        <w:t xml:space="preserve">According to the Swedish curriculum (Skolverket, 2024), students are supposed to develop “the ability to carry out and understand mathematical reasoning” (Sw. ‘resonemang’). Reasoning is not explicitly defined, although it is exemplified to some extent. Being able to communicate about/with mathematics is included as a separate goal. However, the grading criteria connected to reasoning include actions such as “asking and answering questions” (Year 3) and “putting forward and responding to claims” (Years 6 and 9), which are activities that include communication, at least in an everyday sense. It is therefore possible that Swedish teachers interpret and implement reasoning in different ways, especially regarding its relation to communication. </w:t>
      </w:r>
    </w:p>
    <w:p w:rsidR="00000000" w:rsidDel="00000000" w:rsidP="00000000" w:rsidRDefault="00000000" w:rsidRPr="00000000" w14:paraId="00000006">
      <w:pPr>
        <w:rPr/>
      </w:pPr>
      <w:r w:rsidDel="00000000" w:rsidR="00000000" w:rsidRPr="00000000">
        <w:rPr>
          <w:rtl w:val="0"/>
        </w:rPr>
        <w:t xml:space="preserve">The purpose of the present study is therefore to increase the understanding of how Swedish teachers at different school years relate mathematical reasoning to communication.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RQ1. In what ways do teachers relate mathematical reasoning to communication?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RQ2.</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there differences in how teachers across different school years relate mathematical reasoning to communication?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We interviewed 15 experienced (&gt;3 years) teachers, five from each of school years 3, 6 and 9, and from different parts of Sweden. The interviews lasted 15–45 minutes and all questions concerned reasoning in mathematics education. In particular, it focused on the teachers’ views on, and instructional practices related to, mathematical reasoning. Examples of questions are ‘It would be interesting to know what mathematical reasoning is for you?’ and ‘Can you describe how you as a teacher work with mathematical reasoning?’ Preliminary interaction with the data highlighted frequent references to communication when talking about reasoning. We therefore started to focus on these references, identifying instances when teachers describe some aspect of communication, that is, when addressing the production or reception of information in some external medium. For example, this includes production through talking or writing and reception through listening or reading. The next step of the analysis is to characterize the relation between mathematical reasoning and communication in the teachers’ descriptions. </w:t>
      </w:r>
    </w:p>
    <w:p w:rsidR="00000000" w:rsidDel="00000000" w:rsidP="00000000" w:rsidRDefault="00000000" w:rsidRPr="00000000" w14:paraId="0000000A">
      <w:pPr>
        <w:rPr/>
      </w:pPr>
      <w:r w:rsidDel="00000000" w:rsidR="00000000" w:rsidRPr="00000000">
        <w:rPr>
          <w:rtl w:val="0"/>
        </w:rPr>
        <w:t xml:space="preserve">The ongoing analyses indicate that teachers in Year 3 often describe how they use general communication activities when they want to develop students’ reasoning. For example, when talking about what mathematical reasoning means for them, one teacher said: "I really want the children to sit and talk and discuss and come up with things, experience things together". Teachers in Year 9 instead tend to describe different and more specific forms of communication (e.g., graphs, algebraic expressions) as a means to express mathematical reasoning. For example, one Year 9 teacher said: "In this case, maybe look at how linear functions would illustrate it [the logical reasoning]. Or if you want, you could set up an equation to illustrate this."  </w:t>
      </w:r>
    </w:p>
    <w:p w:rsidR="00000000" w:rsidDel="00000000" w:rsidP="00000000" w:rsidRDefault="00000000" w:rsidRPr="00000000" w14:paraId="0000000B">
      <w:pPr>
        <w:rPr/>
      </w:pPr>
      <w:r w:rsidDel="00000000" w:rsidR="00000000" w:rsidRPr="00000000">
        <w:rPr>
          <w:rtl w:val="0"/>
        </w:rPr>
        <w:t xml:space="preserve">The continued analyses will characterize how the relationship between mathematical reasoning and communication is described by all teachers and then compare teachers from different school years. For example, the Year 3 teacher above seemed to see </w:t>
      </w:r>
      <w:r w:rsidDel="00000000" w:rsidR="00000000" w:rsidRPr="00000000">
        <w:rPr>
          <w:i w:val="1"/>
          <w:rtl w:val="0"/>
        </w:rPr>
        <w:t xml:space="preserve">reasoning as communication</w:t>
      </w:r>
      <w:r w:rsidDel="00000000" w:rsidR="00000000" w:rsidRPr="00000000">
        <w:rPr>
          <w:rtl w:val="0"/>
        </w:rPr>
        <w:t xml:space="preserve">, while the Year 9 teacher used </w:t>
      </w:r>
      <w:r w:rsidDel="00000000" w:rsidR="00000000" w:rsidRPr="00000000">
        <w:rPr>
          <w:i w:val="1"/>
          <w:rtl w:val="0"/>
        </w:rPr>
        <w:t xml:space="preserve">communication as a means or a prerequisite for reasoning</w:t>
      </w:r>
      <w:r w:rsidDel="00000000" w:rsidR="00000000" w:rsidRPr="00000000">
        <w:rPr>
          <w:rtl w:val="0"/>
        </w:rPr>
        <w:t xml:space="preserve">. The results from this analysis can give insights into potential cultural differences between different school levels or give information about some type of progression over school years concerning properties of mathematical reasoning. </w:t>
      </w:r>
    </w:p>
    <w:p w:rsidR="00000000" w:rsidDel="00000000" w:rsidP="00000000" w:rsidRDefault="00000000" w:rsidRPr="00000000" w14:paraId="0000000C">
      <w:pPr>
        <w:pStyle w:val="Heading2"/>
        <w:rPr/>
      </w:pPr>
      <w:r w:rsidDel="00000000" w:rsidR="00000000" w:rsidRPr="00000000">
        <w:rPr>
          <w:rtl w:val="0"/>
        </w:rPr>
        <w:t xml:space="preserve">References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Herbert, S., Vale, C., Bragg, L. A., Loong, E., &amp; Widjaja, W. (2015). A framework for primary teachers’ perceptions of mathematical reasoning.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Educational Research, 74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 https://doi.org/10.1016/j.ijer.2015.09.005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Niss, M., &amp; Højgaard, T. (2011).</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Competencies and mathematical learning: ideas and inspiration for the development of mathematics teaching and learning in Denmark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(English ed.). IMFUFA, Roskilde University.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Skolverket (2024).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Läroplan för grundskolan, förskoleklassen och fritidshemmet: Lgr22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uppl.).   </w:t>
      </w:r>
    </w:p>
    <w:p w:rsidR="00000000" w:rsidDel="00000000" w:rsidP="00000000" w:rsidRDefault="00000000" w:rsidRPr="00000000" w14:paraId="00000010">
      <w:pPr>
        <w:spacing w:line="240" w:lineRule="auto"/>
        <w:ind w:firstLine="0"/>
        <w:jc w:val="left"/>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right"/>
      <w:rPr/>
    </w:pPr>
    <w:r w:rsidDel="00000000" w:rsidR="00000000" w:rsidRPr="00000000">
      <w:rPr>
        <w:rtl w:val="0"/>
      </w:rPr>
    </w:r>
  </w:p>
  <w:p w:rsidR="00000000" w:rsidDel="00000000" w:rsidP="00000000" w:rsidRDefault="00000000" w:rsidRPr="00000000" w14:paraId="00000013">
    <w:pPr>
      <w:ind w:right="36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rsid w:val="007628ED"/>
    <w:rPr>
      <w:sz w:val="26"/>
      <w:szCs w:val="28"/>
      <w:lang w:eastAsia="en-US" w:val="en-GB"/>
    </w:rPr>
  </w:style>
  <w:style w:type="paragraph" w:styleId="Citat">
    <w:name w:val="Quote"/>
    <w:basedOn w:val="Normal"/>
    <w:next w:val="Normal"/>
    <w:link w:val="CitatChar"/>
    <w:rsid w:val="00B26BF2"/>
    <w:pPr>
      <w:spacing w:after="160" w:before="200"/>
      <w:ind w:left="864" w:right="864"/>
      <w:jc w:val="center"/>
    </w:pPr>
    <w:rPr>
      <w:i w:val="1"/>
      <w:iCs w:val="1"/>
      <w:color w:val="404040" w:themeColor="text1" w:themeTint="0000BF"/>
    </w:rPr>
  </w:style>
  <w:style w:type="character" w:styleId="CitatChar" w:customStyle="1">
    <w:name w:val="Citat Char"/>
    <w:basedOn w:val="Standardstycketeckensnitt"/>
    <w:link w:val="Citat"/>
    <w:rsid w:val="00B26BF2"/>
    <w:rPr>
      <w:i w:val="1"/>
      <w:iCs w:val="1"/>
      <w:color w:val="404040" w:themeColor="text1" w:themeTint="0000BF"/>
      <w:sz w:val="26"/>
      <w:szCs w:val="28"/>
      <w:lang w:eastAsia="en-US" w:val="en-GB"/>
    </w:rPr>
  </w:style>
  <w:style w:type="character" w:styleId="Kommentarsreferens">
    <w:name w:val="annotation reference"/>
    <w:basedOn w:val="Standardstycketeckensnitt"/>
    <w:semiHidden w:val="1"/>
    <w:unhideWhenUsed w:val="1"/>
    <w:rsid w:val="00CB0642"/>
    <w:rPr>
      <w:sz w:val="16"/>
      <w:szCs w:val="16"/>
    </w:rPr>
  </w:style>
  <w:style w:type="paragraph" w:styleId="Kommentarer">
    <w:name w:val="annotation text"/>
    <w:basedOn w:val="Normal"/>
    <w:link w:val="KommentarerChar"/>
    <w:unhideWhenUsed w:val="1"/>
    <w:rsid w:val="00CB0642"/>
    <w:pPr>
      <w:spacing w:line="240" w:lineRule="auto"/>
    </w:pPr>
    <w:rPr>
      <w:sz w:val="20"/>
      <w:szCs w:val="20"/>
    </w:rPr>
  </w:style>
  <w:style w:type="character" w:styleId="KommentarerChar" w:customStyle="1">
    <w:name w:val="Kommentarer Char"/>
    <w:basedOn w:val="Standardstycketeckensnitt"/>
    <w:link w:val="Kommentarer"/>
    <w:rsid w:val="00CB0642"/>
    <w:rPr>
      <w:lang w:eastAsia="en-US" w:val="en-GB"/>
    </w:rPr>
  </w:style>
  <w:style w:type="paragraph" w:styleId="Kommentarsmne">
    <w:name w:val="annotation subject"/>
    <w:basedOn w:val="Kommentarer"/>
    <w:next w:val="Kommentarer"/>
    <w:link w:val="KommentarsmneChar"/>
    <w:semiHidden w:val="1"/>
    <w:unhideWhenUsed w:val="1"/>
    <w:rsid w:val="00CB0642"/>
    <w:rPr>
      <w:b w:val="1"/>
      <w:bCs w:val="1"/>
    </w:rPr>
  </w:style>
  <w:style w:type="character" w:styleId="KommentarsmneChar" w:customStyle="1">
    <w:name w:val="Kommentarsämne Char"/>
    <w:basedOn w:val="KommentarerChar"/>
    <w:link w:val="Kommentarsmne"/>
    <w:semiHidden w:val="1"/>
    <w:rsid w:val="00CB0642"/>
    <w:rPr>
      <w:b w:val="1"/>
      <w:bCs w:val="1"/>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7hPZd/Ly+X5SHKcwuPA/nWLRcg==">CgMxLjA4AHIhMXBtVFl0OUd6REVtUVZOSFJnOTlURW4zbllTT2t4WWct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2025-09-11T12:42:00Z</dcterms:created>
  <dc:creator>Lotta Wedman (HDa)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2391d7-cda4-4cf1-a5a1-fb5c39029b0b_Enabled">
    <vt:lpwstr>true</vt:lpwstr>
  </property>
  <property fmtid="{D5CDD505-2E9C-101B-9397-08002B2CF9AE}" pid="3" name="MSIP_Label_ee2391d7-cda4-4cf1-a5a1-fb5c39029b0b_SetDate">
    <vt:lpwstr>2025-09-11T11:57:27Z</vt:lpwstr>
  </property>
  <property fmtid="{D5CDD505-2E9C-101B-9397-08002B2CF9AE}" pid="4" name="MSIP_Label_ee2391d7-cda4-4cf1-a5a1-fb5c39029b0b_Method">
    <vt:lpwstr>Privileged</vt:lpwstr>
  </property>
  <property fmtid="{D5CDD505-2E9C-101B-9397-08002B2CF9AE}" pid="5" name="MSIP_Label_ee2391d7-cda4-4cf1-a5a1-fb5c39029b0b_Name">
    <vt:lpwstr>Öppen</vt:lpwstr>
  </property>
  <property fmtid="{D5CDD505-2E9C-101B-9397-08002B2CF9AE}" pid="6" name="MSIP_Label_ee2391d7-cda4-4cf1-a5a1-fb5c39029b0b_SiteId">
    <vt:lpwstr>8234e57a-f0d7-4e7d-bac5-8f1a2c565e73</vt:lpwstr>
  </property>
  <property fmtid="{D5CDD505-2E9C-101B-9397-08002B2CF9AE}" pid="7" name="MSIP_Label_ee2391d7-cda4-4cf1-a5a1-fb5c39029b0b_ActionId">
    <vt:lpwstr>ad4a217f-b568-4733-9cfc-7ead5ea73ffa</vt:lpwstr>
  </property>
  <property fmtid="{D5CDD505-2E9C-101B-9397-08002B2CF9AE}" pid="8" name="MSIP_Label_ee2391d7-cda4-4cf1-a5a1-fb5c39029b0b_ContentBits">
    <vt:lpwstr>0</vt:lpwstr>
  </property>
  <property fmtid="{D5CDD505-2E9C-101B-9397-08002B2CF9AE}" pid="9" name="MSIP_Label_ee2391d7-cda4-4cf1-a5a1-fb5c39029b0b_Tag">
    <vt:lpwstr>10, 0, 1, 1</vt:lpwstr>
  </property>
</Properties>
</file>