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Consequences of a new assessment model in Mathematics 1 for engineering students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Niclas Larson &amp; Thomas Gjesteland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University of Agder, Norway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This presentation takes its starting point from a major change in the assessment model of the course Mathematics 1, a first semester 7.5 ECTS credits course for engineering students at the University of Agder in Norway. We report on how the new assessment model affected the students’ pass rate, but also about how the new assessment later might affect the students’ performances in engineering subjects at bachelor’s level.</w:t>
      </w:r>
    </w:p>
    <w:p w:rsidR="00000000" w:rsidDel="00000000" w:rsidP="00000000" w:rsidRDefault="00000000" w:rsidRPr="00000000" w14:paraId="00000005">
      <w:pPr>
        <w:rPr/>
      </w:pPr>
      <w:r w:rsidDel="00000000" w:rsidR="00000000" w:rsidRPr="00000000">
        <w:rPr>
          <w:rtl w:val="0"/>
        </w:rPr>
        <w:t xml:space="preserve">The course Mathematics 1 used to suffer from low pass rates. For example, in the autumn semester 2021, 44 % of the students failed on their first attempt. The course was assessed by a classical written high-stakes exam at the end of the semester. The result on the exam decided the student’s course grade. The autumn semester 2022, a new assessment model was implemented, which consisted of four smaller tests taken throughout the semester and a written essay at the end of the semester. The small tests each counted 15 % towards the final grade, and the essay counted 40 %. The tests were taken under supervision, digitally in the computer aided assessment system STACK, which also means they were assessed automatically. Each student had a maximum of four attempts on each test, and the best result counted.</w:t>
      </w:r>
    </w:p>
    <w:p w:rsidR="00000000" w:rsidDel="00000000" w:rsidP="00000000" w:rsidRDefault="00000000" w:rsidRPr="00000000" w14:paraId="00000006">
      <w:pPr>
        <w:rPr/>
      </w:pPr>
      <w:r w:rsidDel="00000000" w:rsidR="00000000" w:rsidRPr="00000000">
        <w:rPr>
          <w:rtl w:val="0"/>
        </w:rPr>
        <w:t xml:space="preserve">The first semester with the new assessment, the failure rate (grade F) dropped from 44 % to 12 % (Larsen, 2023), while 19 % got the best grade (A). The mathematics teachers observed that after a test, the students gathered to discuss the tasks. A plausible conclusion is that the new assessment model contributed to that the students began to study early in the semester, instead of possibly waiting until a few weeks before the exam.</w:t>
      </w:r>
    </w:p>
    <w:p w:rsidR="00000000" w:rsidDel="00000000" w:rsidP="00000000" w:rsidRDefault="00000000" w:rsidRPr="00000000" w14:paraId="00000007">
      <w:pPr>
        <w:rPr/>
      </w:pPr>
      <w:r w:rsidDel="00000000" w:rsidR="00000000" w:rsidRPr="00000000">
        <w:rPr>
          <w:rtl w:val="0"/>
        </w:rPr>
        <w:t xml:space="preserve">Although the failure rate has dropped and the average grade now is quite high, one might question the reason for this. One possible explanation is that the high grades depend on that the students starts studying earlier and study more frequently, and thus that their mathematics competency in fact has improved. An alternative explanation is, however, that the students have learnt to anticipate what will come in the tests. This explanation would imply they have improved their knowledge in how to take tests, i.e. cracked the system, rather than enhanced their mathematics knowledge. Moreover, even if the improved results actually depended on enhanced student knowledge in mathematics, there is also a risk that this knowledge is temporary and that the students forget much of it after the test is taken. Hence, we wish to investigate how the teachers in engineering subjects at bachelor’s level find the new assessment in Mathematics 1 and what consequences it has had on students’ performances in their subjects.</w:t>
      </w:r>
    </w:p>
    <w:p w:rsidR="00000000" w:rsidDel="00000000" w:rsidP="00000000" w:rsidRDefault="00000000" w:rsidRPr="00000000" w14:paraId="00000008">
      <w:pPr>
        <w:rPr/>
      </w:pPr>
      <w:r w:rsidDel="00000000" w:rsidR="00000000" w:rsidRPr="00000000">
        <w:rPr>
          <w:rtl w:val="0"/>
        </w:rPr>
        <w:t xml:space="preserve">Our research questions are “What reflections do teachers in engineering subjects have regarding the new assessment model in Mathematics 1?” and “How has the new assessment model in Mathematics 1 affected the students’ knowledge in mathematics in relation to engineering subjects at bachelor’s level?”</w:t>
      </w:r>
    </w:p>
    <w:p w:rsidR="00000000" w:rsidDel="00000000" w:rsidP="00000000" w:rsidRDefault="00000000" w:rsidRPr="00000000" w14:paraId="00000009">
      <w:pPr>
        <w:pStyle w:val="Heading2"/>
        <w:rPr/>
      </w:pPr>
      <w:r w:rsidDel="00000000" w:rsidR="00000000" w:rsidRPr="00000000">
        <w:rPr>
          <w:rtl w:val="0"/>
        </w:rPr>
        <w:t xml:space="preserve">Implementation and results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 employed a convenience sample to find six interviewees, who had taught engineering subjects at bachelor’s level for at least three years at the University of Agder. The individual interviews were conducted by the first author, in Norwegian, on Zoom. They were semi-structured, steered by an interview guide, which previously had been tested in a pilot interview with a seventh teacher. The duration of the interviews was 24–40 minutes. They were video recorded and then transcribed.</w:t>
      </w:r>
    </w:p>
    <w:p w:rsidR="00000000" w:rsidDel="00000000" w:rsidP="00000000" w:rsidRDefault="00000000" w:rsidRPr="00000000" w14:paraId="0000000B">
      <w:pPr>
        <w:rPr/>
      </w:pPr>
      <w:r w:rsidDel="00000000" w:rsidR="00000000" w:rsidRPr="00000000">
        <w:rPr>
          <w:rtl w:val="0"/>
        </w:rPr>
        <w:t xml:space="preserve">The transcripts were analysed by a thematic content analysis (Braun &amp; Clarke, 2006). The analysis showed that none of the interviewees had identified any change in the students’ mathematics knowledge after the new assessment model was implemented. As interviewee 2 said, “If I had not known there had been a change, I would never have thought about it.” The interviewees were all positive about the assessment model, although also some drawbacks were mentioned. A positive consequence was that the students now are more relaxed, since they do not have to struggle with a re-exam of Mathematics 1 after the first semester. As interviewee 3 said, “The students are very pleased with the new assessment. /…/ They can lower their shoulders and be more relaxed.” A drawback that was mentioned is that since a subject with regular and frequent testing tends to make the students putting more effort into it, they put less effort into other courses that run parallelly with e.g. Mathematics 1. Other minor complaints expressed were rather connected to the course content and lack of knowledge in different topics, that are essential in engineering courses. For example, in a subject about construction and solid mechanics a lack of knowledge in probability might be an issue, knowledge of vectors is essential in electromagnetism, while deep knowledge of integrals is not always so relevant in programming. Such issues, and weak pre-knowledge when entering the university, were much more identified as problematic than any consequences of the new assessment model in Mathematics 1.</w:t>
      </w:r>
    </w:p>
    <w:p w:rsidR="00000000" w:rsidDel="00000000" w:rsidP="00000000" w:rsidRDefault="00000000" w:rsidRPr="00000000" w14:paraId="0000000C">
      <w:pPr>
        <w:pStyle w:val="Heading3"/>
        <w:rPr/>
      </w:pPr>
      <w:r w:rsidDel="00000000" w:rsidR="00000000" w:rsidRPr="00000000">
        <w:rPr>
          <w:rtl w:val="0"/>
        </w:rPr>
        <w:t xml:space="preserve">Conclusions</w:t>
      </w:r>
    </w:p>
    <w:p w:rsidR="00000000" w:rsidDel="00000000" w:rsidP="00000000" w:rsidRDefault="00000000" w:rsidRPr="00000000" w14:paraId="0000000D">
      <w:pPr>
        <w:ind w:firstLine="0"/>
        <w:rPr/>
      </w:pPr>
      <w:r w:rsidDel="00000000" w:rsidR="00000000" w:rsidRPr="00000000">
        <w:rPr>
          <w:rtl w:val="0"/>
        </w:rPr>
        <w:t xml:space="preserve">Our results suggest that the new assessment model in Mathematics 1 has not affected the students’ mathematics competency in any negative way, regarding their performance in engineering subjects at bachelor’s level. The participants in the study were positive about this assessment model, and also expressed that the students find it positive.</w:t>
      </w:r>
    </w:p>
    <w:p w:rsidR="00000000" w:rsidDel="00000000" w:rsidP="00000000" w:rsidRDefault="00000000" w:rsidRPr="00000000" w14:paraId="0000000E">
      <w:pPr>
        <w:pStyle w:val="Heading2"/>
        <w:rPr/>
      </w:pPr>
      <w:r w:rsidDel="00000000" w:rsidR="00000000" w:rsidRPr="00000000">
        <w:rPr>
          <w:rtl w:val="0"/>
        </w:rPr>
        <w:t xml:space="preserve">References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Braun, V., &amp; Clarke, V. (2006). Using thematic analysis in psychology.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Qualitative Research in Psychology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77–101. </w:t>
      </w:r>
      <w:hyperlink r:id="rId7">
        <w:r w:rsidDel="00000000" w:rsidR="00000000" w:rsidRPr="00000000">
          <w:rPr>
            <w:rFonts w:ascii="Arial" w:cs="Arial" w:eastAsia="Arial" w:hAnsi="Arial"/>
            <w:color w:val="800080"/>
            <w:sz w:val="22"/>
            <w:szCs w:val="22"/>
            <w:u w:val="single"/>
            <w:rtl w:val="0"/>
          </w:rPr>
          <w:t xml:space="preserve">https://10.1191/1478088706qp063oa</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Larsen, H. (2023, February 2). Fra 44 til 12 prosent stryk i matematikk. Khrono. www.khrono.no/fra-44-til-12-prosent-stryk-i-matematikk/755711</w:t>
      </w:r>
    </w:p>
    <w:sectPr>
      <w:headerReference r:id="rId8" w:type="default"/>
      <w:footerReference r:id="rId9" w:type="default"/>
      <w:footerReference r:id="rId10"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rtl w:val="0"/>
      </w:rPr>
    </w:r>
  </w:p>
  <w:p w:rsidR="00000000" w:rsidDel="00000000" w:rsidP="00000000" w:rsidRDefault="00000000" w:rsidRPr="00000000" w14:paraId="00000012">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semiHidden w:val="1"/>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semiHidden w:val="1"/>
    <w:rsid w:val="007628ED"/>
    <w:rPr>
      <w:sz w:val="26"/>
      <w:szCs w:val="28"/>
      <w:lang w:eastAsia="en-US" w:val="en-GB"/>
    </w:rPr>
  </w:style>
  <w:style w:type="character" w:styleId="Rubrik2Char" w:customStyle="1">
    <w:name w:val="Rubrik 2 Char"/>
    <w:aliases w:val="Head 1 Char"/>
    <w:basedOn w:val="Standardstycketeckensnitt"/>
    <w:link w:val="Rubrik2"/>
    <w:rsid w:val="003B7157"/>
    <w:rPr>
      <w:b w:val="1"/>
      <w:kern w:val="28"/>
      <w:sz w:val="28"/>
      <w:szCs w:val="32"/>
      <w:lang w:eastAsia="en-US" w:val="en-GB"/>
    </w:rPr>
  </w:style>
  <w:style w:type="character" w:styleId="Rubrik3Char" w:customStyle="1">
    <w:name w:val="Rubrik 3 Char"/>
    <w:aliases w:val="Head 2 Char"/>
    <w:basedOn w:val="Standardstycketeckensnitt"/>
    <w:link w:val="Rubrik3"/>
    <w:rsid w:val="00141E66"/>
    <w:rPr>
      <w:b w:val="1"/>
      <w:bCs w:val="1"/>
      <w:sz w:val="26"/>
      <w:szCs w:val="28"/>
      <w:lang w:eastAsia="en-US" w:val="en-GB"/>
    </w:rPr>
  </w:style>
  <w:style w:type="character" w:styleId="Hyperlnk">
    <w:name w:val="Hyperlink"/>
    <w:basedOn w:val="Standardstycketeckensnitt"/>
    <w:unhideWhenUsed w:val="1"/>
    <w:rsid w:val="00227507"/>
    <w:rPr>
      <w:color w:val="0000ff" w:themeColor="hyperlink"/>
      <w:u w:val="single"/>
    </w:rPr>
  </w:style>
  <w:style w:type="character" w:styleId="Olstomnmnande">
    <w:name w:val="Unresolved Mention"/>
    <w:basedOn w:val="Standardstycketeckensnitt"/>
    <w:uiPriority w:val="99"/>
    <w:semiHidden w:val="1"/>
    <w:unhideWhenUsed w:val="1"/>
    <w:rsid w:val="00227507"/>
    <w:rPr>
      <w:color w:val="605e5c"/>
      <w:shd w:color="auto" w:fill="e1dfdd" w:val="clear"/>
    </w:rPr>
  </w:style>
  <w:style w:type="paragraph" w:styleId="Revision">
    <w:name w:val="Revision"/>
    <w:hidden w:val="1"/>
    <w:semiHidden w:val="1"/>
    <w:rsid w:val="00B438BB"/>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SOIOYjIumkqlgGEaPql5StVA==">CgMxLjA4AHIhMTE4UU9Wbml6MVN2c010bVl5M2xMY21ENXNjcTFiMDZa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5cf23d-70b0-4a80-9221-1d774ac27fb2_Enabled">
    <vt:lpwstr>true</vt:lpwstr>
  </property>
  <property fmtid="{D5CDD505-2E9C-101B-9397-08002B2CF9AE}" pid="3" name="MSIP_Label_695cf23d-70b0-4a80-9221-1d774ac27fb2_SetDate">
    <vt:lpwstr>2025-09-05T11:42:28Z</vt:lpwstr>
  </property>
  <property fmtid="{D5CDD505-2E9C-101B-9397-08002B2CF9AE}" pid="4" name="MSIP_Label_695cf23d-70b0-4a80-9221-1d774ac27fb2_Method">
    <vt:lpwstr>Standard</vt:lpwstr>
  </property>
  <property fmtid="{D5CDD505-2E9C-101B-9397-08002B2CF9AE}" pid="5" name="MSIP_Label_695cf23d-70b0-4a80-9221-1d774ac27fb2_Name">
    <vt:lpwstr>Document internal</vt:lpwstr>
  </property>
  <property fmtid="{D5CDD505-2E9C-101B-9397-08002B2CF9AE}" pid="6" name="MSIP_Label_695cf23d-70b0-4a80-9221-1d774ac27fb2_SiteId">
    <vt:lpwstr>8482881e-3699-4b3f-b135-cf4800bc1efb</vt:lpwstr>
  </property>
  <property fmtid="{D5CDD505-2E9C-101B-9397-08002B2CF9AE}" pid="7" name="MSIP_Label_695cf23d-70b0-4a80-9221-1d774ac27fb2_ActionId">
    <vt:lpwstr>f48a9a37-4430-4154-ba11-1987d8aa0e1c</vt:lpwstr>
  </property>
  <property fmtid="{D5CDD505-2E9C-101B-9397-08002B2CF9AE}" pid="8" name="MSIP_Label_695cf23d-70b0-4a80-9221-1d774ac27fb2_ContentBits">
    <vt:lpwstr>0</vt:lpwstr>
  </property>
  <property fmtid="{D5CDD505-2E9C-101B-9397-08002B2CF9AE}" pid="9" name="MSIP_Label_695cf23d-70b0-4a80-9221-1d774ac27fb2_Tag">
    <vt:lpwstr>10, 3, 0, 1</vt:lpwstr>
  </property>
</Properties>
</file>