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Tasks to identify mathematical competency profiles for high-achieving students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Elisabet Mellroth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Helena Johansson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Jonas Jäder</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Magnus Österholm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Karlstad University,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Mid Sweden University,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Umeå University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presentation is about the first phase of a larger project that aims to develop design principles for how mathematical problems can be designed to develop high-achieving lower secondary students’ mathematical competencies. Students’ opportunities to develop mathematical competencies depend on the types of tasks they engage in, and since many textbook tasks lack sufficient challenge (Jäder et al., 2020) there is a need to better design tasks that support high-achieving students’ mathematical growth. To be able to reach the aim of our project, knowledge of the students’ present mathematical competence profiles is important, that is the competencies the student already possess to a high level. The first step in our project is therefore to find a way to identify high-achieving students’ mathematical competence profile. This first step of the project strives to answer the questions: 1) What kind of tasks can be used to identify students’ competence profile? 2) How can the competence profiles be visualised?</w:t>
      </w:r>
    </w:p>
    <w:p w:rsidR="00000000" w:rsidDel="00000000" w:rsidP="00000000" w:rsidRDefault="00000000" w:rsidRPr="00000000" w14:paraId="00000005">
      <w:pPr>
        <w:rPr/>
      </w:pPr>
      <w:r w:rsidDel="00000000" w:rsidR="00000000" w:rsidRPr="00000000">
        <w:rPr>
          <w:rtl w:val="0"/>
        </w:rPr>
        <w:t xml:space="preserve">We start from a theoretical approach where mathematical knowledge is described as a set of competencies, and learning in mathematics involves developing these competencies (e.g., Kilpatrick et al., 2001; Lithner et al., 2010; Niss &amp; Højgaard, 2019). Applying procedures, reasoning, communication, representation, connection and problem solving are the six competencies used in the Mathematical Competency Related Framework (MCRF) (Lithner et al., 2010). Each of the six competencies are, according to Lithner et al., assumed to consist of a productive part and an analytical part. To capture the productive and analytical parts and characterize the engagement with respect to these parts, three competence-related activities (CRA) are defined: </w:t>
      </w:r>
      <w:r w:rsidDel="00000000" w:rsidR="00000000" w:rsidRPr="00000000">
        <w:rPr>
          <w:i w:val="1"/>
          <w:iCs w:val="1"/>
          <w:rtl w:val="0"/>
        </w:rPr>
        <w:t xml:space="preserve">Interpret</w:t>
      </w:r>
      <w:r w:rsidDel="00000000" w:rsidR="00000000" w:rsidRPr="00000000">
        <w:rPr>
          <w:rtl w:val="0"/>
        </w:rPr>
        <w:t xml:space="preserve"> (analytical), </w:t>
      </w:r>
      <w:r w:rsidDel="00000000" w:rsidR="00000000" w:rsidRPr="00000000">
        <w:rPr>
          <w:i w:val="1"/>
          <w:iCs w:val="1"/>
          <w:rtl w:val="0"/>
        </w:rPr>
        <w:t xml:space="preserve">Do and use </w:t>
      </w:r>
      <w:r w:rsidDel="00000000" w:rsidR="00000000" w:rsidRPr="00000000">
        <w:rPr>
          <w:rtl w:val="0"/>
        </w:rPr>
        <w:t xml:space="preserve">(productive), and </w:t>
      </w:r>
      <w:r w:rsidDel="00000000" w:rsidR="00000000" w:rsidRPr="00000000">
        <w:rPr>
          <w:i w:val="1"/>
          <w:iCs w:val="1"/>
          <w:rtl w:val="0"/>
        </w:rPr>
        <w:t xml:space="preserve">Judgment </w:t>
      </w:r>
      <w:r w:rsidDel="00000000" w:rsidR="00000000" w:rsidRPr="00000000">
        <w:rPr>
          <w:rtl w:val="0"/>
        </w:rPr>
        <w:t xml:space="preserve">(analytical) (Lithner et al., 2010). Since our project is closely related to practice and done in collaboration with a lower secondary school, we will eventually connect the competencies; </w:t>
      </w:r>
      <w:r w:rsidDel="00000000" w:rsidR="00000000" w:rsidRPr="00000000">
        <w:rPr>
          <w:i w:val="1"/>
          <w:iCs w:val="1"/>
          <w:rtl w:val="0"/>
        </w:rPr>
        <w:t xml:space="preserve">concept, method, reasoning, problem solving and communication</w:t>
      </w:r>
      <w:r w:rsidDel="00000000" w:rsidR="00000000" w:rsidRPr="00000000">
        <w:rPr>
          <w:rtl w:val="0"/>
        </w:rPr>
        <w:t xml:space="preserve">, in the Swedish curriculum (Skolverket, 2024) to the competencies in MCRF.</w:t>
      </w:r>
    </w:p>
    <w:p w:rsidR="00000000" w:rsidDel="00000000" w:rsidP="00000000" w:rsidRDefault="00000000" w:rsidRPr="00000000" w14:paraId="00000006">
      <w:pPr>
        <w:rPr/>
      </w:pPr>
      <w:r w:rsidDel="00000000" w:rsidR="00000000" w:rsidRPr="00000000">
        <w:rPr>
          <w:rtl w:val="0"/>
        </w:rPr>
        <w:t xml:space="preserve">To answer our two questions, we will first, following the analysis procedure in Boesen et al. (2018), analyse tasks from former national tests in mathematics for grade nine. This means that for each CRA and competence we will from a reasonable solution (for the age group) try to show that the competence is not tested through the task. If we cannot show that the competence is not tested, the task is classified as </w:t>
      </w:r>
      <w:r w:rsidDel="00000000" w:rsidR="00000000" w:rsidRPr="00000000">
        <w:rPr>
          <w:i w:val="1"/>
          <w:iCs w:val="1"/>
          <w:rtl w:val="0"/>
        </w:rPr>
        <w:t xml:space="preserve">Testing the competency</w:t>
      </w:r>
      <w:r w:rsidDel="00000000" w:rsidR="00000000" w:rsidRPr="00000000">
        <w:rPr>
          <w:rtl w:val="0"/>
        </w:rPr>
        <w:t xml:space="preserve">. Through the analysis we strive to find tasks that can be used to identify how developed the mathematical competencies are on an individual level. The result will therefore also reveal what competencies a student needs to develop to deepen her/his mathematical knowledge.</w:t>
      </w:r>
    </w:p>
    <w:p w:rsidR="00000000" w:rsidDel="00000000" w:rsidP="00000000" w:rsidRDefault="00000000" w:rsidRPr="00000000" w14:paraId="00000007">
      <w:pPr>
        <w:rPr/>
      </w:pPr>
      <w:r w:rsidDel="00000000" w:rsidR="00000000" w:rsidRPr="00000000">
        <w:rPr>
          <w:rtl w:val="0"/>
        </w:rPr>
        <w:t xml:space="preserve">Thereafter, we will use the tasks to identify competency profiles among high-achieving lower secondary students to explore what different competency profiles exist among them. We will also elaborate on different ways to visualize students' competency profiles with the goal to give the students’ teacher guidance in how to further support student learning.</w:t>
      </w:r>
    </w:p>
    <w:p w:rsidR="00000000" w:rsidDel="00000000" w:rsidP="00000000" w:rsidRDefault="00000000" w:rsidRPr="00000000" w14:paraId="00000008">
      <w:pPr>
        <w:rPr/>
      </w:pPr>
      <w:r w:rsidDel="00000000" w:rsidR="00000000" w:rsidRPr="00000000">
        <w:rPr>
          <w:rtl w:val="0"/>
        </w:rPr>
        <w:t xml:space="preserve">Our analysis is ongoing; in our presentation we will show how we analyse tasks and show some visualizations of students’ competency profiles. In Figure 1, a hypothetical example is given showing strength and weaknesses in mathematical competencies for each CRA. We hope to get a fruitful discussion about our analysis and our visualisations.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0" distT="0" distL="0" distR="0">
            <wp:extent cx="5238750" cy="1752600"/>
            <wp:docPr id="2"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Figure 1. Visualisation of a competence profile</w:t>
      </w:r>
    </w:p>
    <w:p w:rsidR="00000000" w:rsidDel="00000000" w:rsidP="00000000" w:rsidRDefault="00000000" w:rsidRPr="00000000" w14:paraId="0000000C">
      <w:pPr>
        <w:pStyle w:val="Heading2"/>
        <w:rPr/>
      </w:pPr>
      <w:r w:rsidDel="00000000" w:rsidR="00000000" w:rsidRPr="00000000">
        <w:rPr>
          <w:rtl w:val="0"/>
        </w:rPr>
        <w:t xml:space="preserve">References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Boesen, J., Lithner, J., &amp; Palm, T. (2018). Assessing mathematical competence: An analysis of Swedish national mathematical tests.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Scandinavian Journal of Educational Research, 62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109-124. htps://doi.org/10.1080/00313831.2016.1212256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Jäder, J., Lithner, J., &amp; Sidenvall, J. (2020). Mathematical problem solving in textbooks from twelve countries.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Mathematical Education in Science and Technology, 51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1120-1136. htps://doi.org/10.1080/0020739X.2019.1656826</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Kilpatrick, J., Swafford, J. O., &amp; Findell, B. (Eds.). (2001).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Adding it up: Helping children learn mathematics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National Academy Press.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Lithner, J., Bergqvist, E., Bergqvist, T., Boesen, J., Palm, T., &amp; Palmberg, B. (2010). Mathematical competencies: A research framework. In C. Bergsten, E. Jablonka &amp; T. Wedege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Mathematics and mathematics education: Cultural and social dimensions. Proceedings of MADIF 7, the Seventh Mathematics Education Research Seminar, Stockholm, January 26-27, 2010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157-167). SMDF.</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Niss, M., &amp; Højgaard, T. (2019). Mathematical competencies revisited.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Studies in Mathematics, 102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9–28. htps://doi.org/10.1007/s10649-019-09903-9</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Skolverket. (2024).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Läroplan för grundskolan, förskoleklassen och fritidshemmet: Lgr22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uppl.). https://www.skolverket.se/undervisning/grundskolan/laroplan-lgr22-for-grundskolan-samt-for-forskoleklassen-och-fritidshemmet </w:t>
      </w:r>
    </w:p>
    <w:sectPr>
      <w:headerReference r:id="rId8" w:type="default"/>
      <w:headerReference r:id="rId9" w:type="first"/>
      <w:headerReference r:id="rId10" w:type="even"/>
      <w:footerReference r:id="rId11" w:type="default"/>
      <w:footerReference r:id="rId12"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rtl w:val="0"/>
      </w:rPr>
    </w:r>
  </w:p>
  <w:p w:rsidR="00000000" w:rsidDel="00000000" w:rsidP="00000000" w:rsidRDefault="00000000" w:rsidRPr="00000000" w14:paraId="00000015">
    <w:pPr>
      <w:ind w:right="36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rsid w:val="007628ED"/>
    <w:rPr>
      <w:sz w:val="26"/>
      <w:szCs w:val="28"/>
      <w:lang w:eastAsia="en-US" w:val="en-GB"/>
    </w:rPr>
  </w:style>
  <w:style w:type="character" w:styleId="Kommentarsreferens">
    <w:name w:val="annotation reference"/>
    <w:basedOn w:val="Standardstycketeckensnitt"/>
    <w:semiHidden w:val="1"/>
    <w:unhideWhenUsed w:val="1"/>
    <w:rsid w:val="002B51E8"/>
    <w:rPr>
      <w:sz w:val="16"/>
      <w:szCs w:val="16"/>
    </w:rPr>
  </w:style>
  <w:style w:type="paragraph" w:styleId="Kommentarer">
    <w:name w:val="annotation text"/>
    <w:basedOn w:val="Normal"/>
    <w:link w:val="KommentarerChar"/>
    <w:semiHidden w:val="1"/>
    <w:unhideWhenUsed w:val="1"/>
    <w:rsid w:val="002B51E8"/>
    <w:pPr>
      <w:spacing w:line="240" w:lineRule="auto"/>
    </w:pPr>
    <w:rPr>
      <w:sz w:val="20"/>
      <w:szCs w:val="20"/>
    </w:rPr>
  </w:style>
  <w:style w:type="character" w:styleId="KommentarerChar" w:customStyle="1">
    <w:name w:val="Kommentarer Char"/>
    <w:basedOn w:val="Standardstycketeckensnitt"/>
    <w:link w:val="Kommentarer"/>
    <w:semiHidden w:val="1"/>
    <w:rsid w:val="002B51E8"/>
    <w:rPr>
      <w:lang w:eastAsia="en-US" w:val="en-GB"/>
    </w:rPr>
  </w:style>
  <w:style w:type="paragraph" w:styleId="Kommentarsmne">
    <w:name w:val="annotation subject"/>
    <w:basedOn w:val="Kommentarer"/>
    <w:next w:val="Kommentarer"/>
    <w:link w:val="KommentarsmneChar"/>
    <w:semiHidden w:val="1"/>
    <w:unhideWhenUsed w:val="1"/>
    <w:rsid w:val="002B51E8"/>
    <w:rPr>
      <w:b w:val="1"/>
      <w:bCs w:val="1"/>
    </w:rPr>
  </w:style>
  <w:style w:type="character" w:styleId="KommentarsmneChar" w:customStyle="1">
    <w:name w:val="Kommentarsämne Char"/>
    <w:basedOn w:val="KommentarerChar"/>
    <w:link w:val="Kommentarsmne"/>
    <w:semiHidden w:val="1"/>
    <w:rsid w:val="002B51E8"/>
    <w:rPr>
      <w:b w:val="1"/>
      <w:bCs w:val="1"/>
      <w:lang w:eastAsia="en-US" w:val="en-GB"/>
    </w:rPr>
  </w:style>
  <w:style w:type="paragraph" w:styleId="Revision">
    <w:name w:val="Revision"/>
    <w:hidden w:val="1"/>
    <w:semiHidden w:val="1"/>
    <w:rsid w:val="00EF4931"/>
    <w:rPr>
      <w:sz w:val="26"/>
      <w:szCs w:val="28"/>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https://miun.sharepoint.com/sites/HEJM2/Delade%20dokument/General/Publikationer%20(konferenser,%20artiklar,%20etc)/Madif15%20-%202026/visualiser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Sheet1!$B$1</c:f>
              <c:strCache>
                <c:ptCount val="1"/>
                <c:pt idx="0">
                  <c:v>Interpret</c:v>
                </c:pt>
              </c:strCache>
            </c:strRef>
          </c:tx>
          <c:spPr>
            <a:ln w="28575" cap="rnd">
              <a:solidFill>
                <a:schemeClr val="accent1"/>
              </a:solidFill>
              <a:round/>
            </a:ln>
            <a:effectLst/>
          </c:spPr>
          <c:marker>
            <c:symbol val="none"/>
          </c:marker>
          <c:cat>
            <c:strRef>
              <c:f>Sheet1!$A$2:$A$6</c:f>
              <c:strCache>
                <c:ptCount val="5"/>
                <c:pt idx="0">
                  <c:v>Concept</c:v>
                </c:pt>
                <c:pt idx="1">
                  <c:v>Method</c:v>
                </c:pt>
                <c:pt idx="2">
                  <c:v>Reasoning</c:v>
                </c:pt>
                <c:pt idx="3">
                  <c:v>Problem solving</c:v>
                </c:pt>
                <c:pt idx="4">
                  <c:v>Communication</c:v>
                </c:pt>
              </c:strCache>
            </c:strRef>
          </c:cat>
          <c:val>
            <c:numRef>
              <c:f>Sheet1!$B$2:$B$6</c:f>
              <c:numCache>
                <c:formatCode>General</c:formatCode>
                <c:ptCount val="5"/>
                <c:pt idx="0">
                  <c:v>1</c:v>
                </c:pt>
                <c:pt idx="1">
                  <c:v>2</c:v>
                </c:pt>
                <c:pt idx="2">
                  <c:v>3</c:v>
                </c:pt>
                <c:pt idx="3">
                  <c:v>4</c:v>
                </c:pt>
                <c:pt idx="4">
                  <c:v>5</c:v>
                </c:pt>
              </c:numCache>
            </c:numRef>
          </c:val>
          <c:extLst>
            <c:ext xmlns:c16="http://schemas.microsoft.com/office/drawing/2014/chart" uri="{C3380CC4-5D6E-409C-BE32-E72D297353CC}">
              <c16:uniqueId val="{00000000-89D1-414E-83A9-795835EB65ED}"/>
            </c:ext>
          </c:extLst>
        </c:ser>
        <c:ser>
          <c:idx val="1"/>
          <c:order val="1"/>
          <c:tx>
            <c:strRef>
              <c:f>Sheet1!$C$1</c:f>
              <c:strCache>
                <c:ptCount val="1"/>
                <c:pt idx="0">
                  <c:v>Do and use</c:v>
                </c:pt>
              </c:strCache>
            </c:strRef>
          </c:tx>
          <c:spPr>
            <a:ln w="28575" cap="rnd">
              <a:solidFill>
                <a:schemeClr val="accent2"/>
              </a:solidFill>
              <a:round/>
            </a:ln>
            <a:effectLst/>
          </c:spPr>
          <c:marker>
            <c:symbol val="none"/>
          </c:marker>
          <c:cat>
            <c:strRef>
              <c:f>Sheet1!$A$2:$A$6</c:f>
              <c:strCache>
                <c:ptCount val="5"/>
                <c:pt idx="0">
                  <c:v>Concept</c:v>
                </c:pt>
                <c:pt idx="1">
                  <c:v>Method</c:v>
                </c:pt>
                <c:pt idx="2">
                  <c:v>Reasoning</c:v>
                </c:pt>
                <c:pt idx="3">
                  <c:v>Problem solving</c:v>
                </c:pt>
                <c:pt idx="4">
                  <c:v>Communication</c:v>
                </c:pt>
              </c:strCache>
            </c:strRef>
          </c:cat>
          <c:val>
            <c:numRef>
              <c:f>Sheet1!$C$2:$C$6</c:f>
              <c:numCache>
                <c:formatCode>General</c:formatCode>
                <c:ptCount val="5"/>
                <c:pt idx="0">
                  <c:v>4</c:v>
                </c:pt>
                <c:pt idx="1">
                  <c:v>3</c:v>
                </c:pt>
                <c:pt idx="2">
                  <c:v>5</c:v>
                </c:pt>
                <c:pt idx="3">
                  <c:v>2</c:v>
                </c:pt>
                <c:pt idx="4">
                  <c:v>3</c:v>
                </c:pt>
              </c:numCache>
            </c:numRef>
          </c:val>
          <c:extLst>
            <c:ext xmlns:c16="http://schemas.microsoft.com/office/drawing/2014/chart" uri="{C3380CC4-5D6E-409C-BE32-E72D297353CC}">
              <c16:uniqueId val="{00000001-89D1-414E-83A9-795835EB65ED}"/>
            </c:ext>
          </c:extLst>
        </c:ser>
        <c:ser>
          <c:idx val="2"/>
          <c:order val="2"/>
          <c:tx>
            <c:strRef>
              <c:f>Sheet1!$D$1</c:f>
              <c:strCache>
                <c:ptCount val="1"/>
                <c:pt idx="0">
                  <c:v>Judgment</c:v>
                </c:pt>
              </c:strCache>
            </c:strRef>
          </c:tx>
          <c:spPr>
            <a:ln w="28575" cap="rnd">
              <a:solidFill>
                <a:schemeClr val="accent3"/>
              </a:solidFill>
              <a:round/>
            </a:ln>
            <a:effectLst/>
          </c:spPr>
          <c:marker>
            <c:symbol val="none"/>
          </c:marker>
          <c:cat>
            <c:strRef>
              <c:f>Sheet1!$A$2:$A$6</c:f>
              <c:strCache>
                <c:ptCount val="5"/>
                <c:pt idx="0">
                  <c:v>Concept</c:v>
                </c:pt>
                <c:pt idx="1">
                  <c:v>Method</c:v>
                </c:pt>
                <c:pt idx="2">
                  <c:v>Reasoning</c:v>
                </c:pt>
                <c:pt idx="3">
                  <c:v>Problem solving</c:v>
                </c:pt>
                <c:pt idx="4">
                  <c:v>Communication</c:v>
                </c:pt>
              </c:strCache>
            </c:strRef>
          </c:cat>
          <c:val>
            <c:numRef>
              <c:f>Sheet1!$D$2:$D$6</c:f>
              <c:numCache>
                <c:formatCode>General</c:formatCode>
                <c:ptCount val="5"/>
                <c:pt idx="0">
                  <c:v>3</c:v>
                </c:pt>
                <c:pt idx="1">
                  <c:v>3</c:v>
                </c:pt>
                <c:pt idx="2">
                  <c:v>3</c:v>
                </c:pt>
                <c:pt idx="3">
                  <c:v>2</c:v>
                </c:pt>
                <c:pt idx="4">
                  <c:v>3</c:v>
                </c:pt>
              </c:numCache>
            </c:numRef>
          </c:val>
          <c:extLst>
            <c:ext xmlns:c16="http://schemas.microsoft.com/office/drawing/2014/chart" uri="{C3380CC4-5D6E-409C-BE32-E72D297353CC}">
              <c16:uniqueId val="{00000002-89D1-414E-83A9-795835EB65ED}"/>
            </c:ext>
          </c:extLst>
        </c:ser>
        <c:dLbls>
          <c:showLegendKey val="0"/>
          <c:showVal val="0"/>
          <c:showCatName val="0"/>
          <c:showSerName val="0"/>
          <c:showPercent val="0"/>
          <c:showBubbleSize val="0"/>
        </c:dLbls>
        <c:axId val="1887980431"/>
        <c:axId val="1887976111"/>
      </c:radarChart>
      <c:catAx>
        <c:axId val="188798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887976111"/>
        <c:crosses val="autoZero"/>
        <c:auto val="1"/>
        <c:lblAlgn val="ctr"/>
        <c:lblOffset val="100"/>
        <c:noMultiLvlLbl val="0"/>
      </c:catAx>
      <c:valAx>
        <c:axId val="188797611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879804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6ahjyJ0I2TuDviIJZeSjouwsQ==">CgMxLjA4AHIhMS1yd3VBanpCbmhvVHJNWGRONWVNUTBZWkt6a25fQnly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2025-11-03T20:11:00Z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0x010100C2A645C2BBBD4445A2497DDE926A440A</vt:lpwstr>
  </property>
  <property fmtid="{D5CDD505-2E9C-101B-9397-08002B2CF9AE}" pid="3" name="ClassificationContentMarkingHeaderShapeIds">
    <vt:lpwstr>4e4b312d</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e2391d7-cda4-4cf1-a5a1-fb5c39029b0b_Enabled">
    <vt:lpwstr>true</vt:lpwstr>
  </property>
  <property fmtid="{D5CDD505-2E9C-101B-9397-08002B2CF9AE}" pid="7" name="MSIP_Label_ee2391d7-cda4-4cf1-a5a1-fb5c39029b0b_SetDate">
    <vt:lpwstr>2025-09-08T14:31:37Z</vt:lpwstr>
  </property>
  <property fmtid="{D5CDD505-2E9C-101B-9397-08002B2CF9AE}" pid="8" name="MSIP_Label_ee2391d7-cda4-4cf1-a5a1-fb5c39029b0b_Method">
    <vt:lpwstr>Privileged</vt:lpwstr>
  </property>
  <property fmtid="{D5CDD505-2E9C-101B-9397-08002B2CF9AE}" pid="9" name="MSIP_Label_ee2391d7-cda4-4cf1-a5a1-fb5c39029b0b_Name">
    <vt:lpwstr>Öppen</vt:lpwstr>
  </property>
  <property fmtid="{D5CDD505-2E9C-101B-9397-08002B2CF9AE}" pid="10" name="MSIP_Label_ee2391d7-cda4-4cf1-a5a1-fb5c39029b0b_SiteId">
    <vt:lpwstr>8234e57a-f0d7-4e7d-bac5-8f1a2c565e73</vt:lpwstr>
  </property>
  <property fmtid="{D5CDD505-2E9C-101B-9397-08002B2CF9AE}" pid="11" name="MSIP_Label_ee2391d7-cda4-4cf1-a5a1-fb5c39029b0b_ActionId">
    <vt:lpwstr>c414ccbb-8085-4db0-b437-9dd1f058c650</vt:lpwstr>
  </property>
  <property fmtid="{D5CDD505-2E9C-101B-9397-08002B2CF9AE}" pid="12" name="MSIP_Label_ee2391d7-cda4-4cf1-a5a1-fb5c39029b0b_ContentBits">
    <vt:lpwstr>0</vt:lpwstr>
  </property>
  <property fmtid="{D5CDD505-2E9C-101B-9397-08002B2CF9AE}" pid="13" name="MSIP_Label_ee2391d7-cda4-4cf1-a5a1-fb5c39029b0b_Tag">
    <vt:lpwstr>10, 0, 1, 1</vt:lpwstr>
  </property>
</Properties>
</file>