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Solving Ambiguity in Mathematics Text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Anneli Dyrvold</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&amp; Judy Ribeck Nyström</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2</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of Science and Mathematics Education, Umeå University</w:t>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of Language, Literature and Intercultural Studies, Karlstad University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This presentation reports on the results of an in-depth analysis of ambiguity in mathematics task texts, with particular emphasis on the interpretative challenges such ambiguity poses for students. Research on word problems in mathematics education has long emphasized the challenges of comprehension and the importance of precise mathematical terminology for successful problem solving (Verschaffel et al., 2020). Studies have shown that interpreting word problems requires not only mathematical competence but also linguistic and cognitive strategies to navigate the textual and representational complexity. While considerable attention has been given to the role of vocabulary and the structure of mathematical language (Niss &amp; Jablonka, 2020), in fact, many words, symbols, and images do not carry fixed meanings but instead require the reader to infer the intended sense based on surrounding textual and situational cues. There is still much to uncover regarding the interpretive demands posed by ambiguous representations within task texts, particularly in how students navigate multiple possible meanings (Barwell, 2005; Peterson et al., 2020).</w:t>
      </w:r>
    </w:p>
    <w:p w:rsidR="00000000" w:rsidDel="00000000" w:rsidP="00000000" w:rsidRDefault="00000000" w:rsidRPr="00000000" w14:paraId="00000005">
      <w:pPr>
        <w:rPr/>
      </w:pPr>
      <w:r w:rsidDel="00000000" w:rsidR="00000000" w:rsidRPr="00000000">
        <w:rPr>
          <w:rtl w:val="0"/>
        </w:rPr>
        <w:t xml:space="preserve">The IRIS model (Dyrvold &amp; Ribeck Nyström, accepted) outlines the interpretive path a reader follows when resolving ambiguity, in order to assign a particular sense to a representation. For each representation, the reader first determines whether it is used in a technical sense. If so, they assess whether it relates to the current subject or another. If not technical, the focus shifts to whether the representation is used in an academic or everyday sense.</w:t>
      </w:r>
    </w:p>
    <w:p w:rsidR="00000000" w:rsidDel="00000000" w:rsidP="00000000" w:rsidRDefault="00000000" w:rsidRPr="00000000" w14:paraId="00000006">
      <w:pPr>
        <w:rPr/>
      </w:pPr>
      <w:r w:rsidDel="00000000" w:rsidR="00000000" w:rsidRPr="00000000">
        <w:rPr>
          <w:rtl w:val="0"/>
        </w:rPr>
        <w:t xml:space="preserve">In this case study, we use the IRIS model as an analytical lens to explore how ambiguity in mathematical representations affects the reader’s discernment process, highlighting cognitive and linguistic demands that may otherwise remain invisible. The analysis focuses on two mathematics tasks: one contextualized in everyday life and one intra-mathematical. Each task is treated as a text, and all words, symbols, and images are examined. For each representation, we code both its possible meanings (independent of context) and its intended sense within the specific task.</w:t>
      </w:r>
    </w:p>
    <w:p w:rsidR="00000000" w:rsidDel="00000000" w:rsidP="00000000" w:rsidRDefault="00000000" w:rsidRPr="00000000" w14:paraId="00000007">
      <w:pPr>
        <w:rPr/>
      </w:pPr>
      <w:r w:rsidDel="00000000" w:rsidR="00000000" w:rsidRPr="00000000">
        <w:rPr>
          <w:rtl w:val="0"/>
        </w:rPr>
        <w:t xml:space="preserve">While almost all representations exhibit a degree of ambiguity (Barwell, 2005), the findings—consistent with expectations—suggest that those with a technical sense tend to be comparatively less ambiguous. An ambiguous representation in the contextualised task is “coffee scoop” which can be interpreted in a technical sense (as an object with an exact volume) or in an everyday sense (as a kitchen utensil). The contextual cues “decilitre” and a table with volumes of measuring utensils contribute to reveal the intended, technical, sense. </w:t>
      </w:r>
    </w:p>
    <w:p w:rsidR="00000000" w:rsidDel="00000000" w:rsidP="00000000" w:rsidRDefault="00000000" w:rsidRPr="00000000" w14:paraId="00000008">
      <w:pPr>
        <w:rPr/>
      </w:pPr>
      <w:r w:rsidDel="00000000" w:rsidR="00000000" w:rsidRPr="00000000">
        <w:rPr>
          <w:rtl w:val="0"/>
        </w:rPr>
        <w:t xml:space="preserve">In both analysed tasks the introductory premise consists of one or more </w:t>
      </w:r>
      <w:r w:rsidDel="00000000" w:rsidR="00000000" w:rsidRPr="00000000">
        <w:rPr>
          <w:i w:val="1"/>
          <w:iCs w:val="1"/>
          <w:rtl w:val="0"/>
        </w:rPr>
        <w:t xml:space="preserve">constructions</w:t>
      </w:r>
      <w:r w:rsidDel="00000000" w:rsidR="00000000" w:rsidRPr="00000000">
        <w:rPr>
          <w:rtl w:val="0"/>
        </w:rPr>
        <w:t xml:space="preserve"> with a technical sense that must be recognised. Constructions are conventionalized patterns of one or more representations with a specific form and meaning (Goldberg, 2013). An example of such a construction in the data is </w:t>
      </w:r>
    </w:p>
    <w:p w:rsidR="00000000" w:rsidDel="00000000" w:rsidP="00000000" w:rsidRDefault="00000000" w:rsidRPr="00000000" w14:paraId="00000009">
      <w:pPr>
        <w:spacing w:after="120" w:before="120" w:lineRule="auto"/>
        <w:jc w:val="center"/>
        <w:rPr/>
      </w:pPr>
      <w:r w:rsidDel="00000000" w:rsidR="00000000" w:rsidRPr="00000000">
        <w:rPr>
          <w:rtl w:val="0"/>
        </w:rPr>
        <w:t xml:space="preserve">” </w:t>
      </w:r>
      <m:oMath>
        <m:r>
          <w:rPr>
            <w:rFonts w:ascii="Cambria Math" w:cs="Cambria Math" w:eastAsia="Cambria Math" w:hAnsi="Cambria Math"/>
          </w:rPr>
          <m:t xml:space="preserve">A=</m:t>
        </m:r>
        <m:f>
          <m:fPr>
            <m:ctrlPr>
              <w:rPr>
                <w:rFonts w:ascii="Cambria Math" w:cs="Cambria Math" w:eastAsia="Cambria Math" w:hAnsi="Cambria Math"/>
              </w:rPr>
            </m:ctrlPr>
          </m:fPr>
          <m:num>
            <m:r>
              <w:rPr>
                <w:rFonts w:ascii="Cambria Math" w:cs="Cambria Math" w:eastAsia="Cambria Math" w:hAnsi="Cambria Math"/>
              </w:rPr>
              <m:t xml:space="preserve">B</m:t>
            </m:r>
          </m:num>
          <m:den>
            <m:r>
              <w:rPr>
                <w:rFonts w:ascii="Cambria Math" w:cs="Cambria Math" w:eastAsia="Cambria Math" w:hAnsi="Cambria Math"/>
              </w:rPr>
              <m:t xml:space="preserve">B+1</m:t>
            </m:r>
          </m:den>
        </m:f>
        <m:r>
          <w:rPr>
            <w:rFonts w:ascii="Cambria Math" w:cs="Cambria Math" w:eastAsia="Cambria Math" w:hAnsi="Cambria Math"/>
          </w:rPr>
          <m:t xml:space="preserve"> where B is a positive number </m:t>
        </m:r>
      </m:oMath>
      <w:r w:rsidDel="00000000" w:rsidR="00000000" w:rsidRPr="00000000">
        <w:rPr>
          <w:rtl w:val="0"/>
        </w:rPr>
        <w:t xml:space="preserve">”.</w:t>
      </w:r>
    </w:p>
    <w:p w:rsidR="00000000" w:rsidDel="00000000" w:rsidP="00000000" w:rsidRDefault="00000000" w:rsidRPr="00000000" w14:paraId="0000000A">
      <w:pPr>
        <w:ind w:firstLine="0"/>
        <w:rPr/>
      </w:pPr>
      <w:r w:rsidDel="00000000" w:rsidR="00000000" w:rsidRPr="00000000">
        <w:rPr>
          <w:rtl w:val="0"/>
        </w:rPr>
        <w:t xml:space="preserve">In this context, the construction represents a conventionalized way to clearly relate a </w:t>
      </w:r>
      <w:r w:rsidDel="00000000" w:rsidR="00000000" w:rsidRPr="00000000">
        <w:rPr>
          <w:i w:val="1"/>
          <w:iCs w:val="1"/>
          <w:rtl w:val="0"/>
        </w:rPr>
        <w:t xml:space="preserve">mathematical identity</w:t>
      </w:r>
      <w:r w:rsidDel="00000000" w:rsidR="00000000" w:rsidRPr="00000000">
        <w:rPr>
          <w:rtl w:val="0"/>
        </w:rPr>
        <w:t xml:space="preserve">—specifically, an equation—to a </w:t>
      </w:r>
      <w:r w:rsidDel="00000000" w:rsidR="00000000" w:rsidRPr="00000000">
        <w:rPr>
          <w:i w:val="1"/>
          <w:iCs w:val="1"/>
          <w:rtl w:val="0"/>
        </w:rPr>
        <w:t xml:space="preserve">mathematical statement</w:t>
      </w:r>
      <w:r w:rsidDel="00000000" w:rsidR="00000000" w:rsidRPr="00000000">
        <w:rPr>
          <w:rtl w:val="0"/>
        </w:rPr>
        <w:t xml:space="preserve"> using the word “where.”  It qualifies as a construction because the intended meaning depends on recognising the overall pattern, not just the individual elements. This pattern helps eliminate potential ambiguity in the singular components, as it is the technical function of the construction as a whole that guides its interpretation. In conclusion, disambiguating mathematics task text entails discernments spanning from disambiguating singular representations as words or numbers, to the identification of larger constructions that must be prioritised over the included singular representations. </w:t>
      </w:r>
    </w:p>
    <w:p w:rsidR="00000000" w:rsidDel="00000000" w:rsidP="00000000" w:rsidRDefault="00000000" w:rsidRPr="00000000" w14:paraId="0000000B">
      <w:pPr>
        <w:ind w:firstLine="708"/>
        <w:rPr/>
      </w:pPr>
      <w:r w:rsidDel="00000000" w:rsidR="00000000" w:rsidRPr="00000000">
        <w:rPr>
          <w:rtl w:val="0"/>
        </w:rPr>
        <w:t xml:space="preserve">In our conference presentation, we will showcase the two mathematics tasks and walk through our analytical process using the IRIS model, illustrating how ambiguity is navigated and resolved in practice. By highlighting the interpretive work involved, we hope to spark a conversation about the broader cognitive and linguistic dimensions of mathematical meaning-making and the educational relevance of our findings across diverse learning contexts.</w:t>
      </w:r>
    </w:p>
    <w:p w:rsidR="00000000" w:rsidDel="00000000" w:rsidP="00000000" w:rsidRDefault="00000000" w:rsidRPr="00000000" w14:paraId="0000000C">
      <w:pPr>
        <w:pStyle w:val="Heading2"/>
        <w:rPr/>
      </w:pPr>
      <w:r w:rsidDel="00000000" w:rsidR="00000000" w:rsidRPr="00000000">
        <w:rPr>
          <w:rtl w:val="0"/>
        </w:rPr>
        <w:t xml:space="preserve">References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Barwell, R. (2005). Ambiguity in the mathematics classroom.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Language and Education, 19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117–125.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Dyrvold, A., &amp; Ribeck Nyström, J. (accepted). A subject language model of Interpreting Representations in their Intended Senses.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Designs for Learning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Peterson, B. E., Leatham, K. R., Merrill, L. M., Van Zoest, L. R., &amp; Stockero, S. L. (2020). Clarifiable ambiguity in classroom mathematics discourse.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Investigations in Mathematics Learning, 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28–37. https://doi.org/10.1080/19477503.2019.1619148</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Goldberg, A. E. (2013). Constructionist approaches. In T. Hoffmann &amp; G. Trousdale (Eds.),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Oxford handbook of construction grammar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(pp. 15–31). Oxford University Press.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Verschaffel, L., Schukajlow, S., Star, J., &amp; Van Dooren, W. (2020). Word problems in mathematics education: A survey.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ZDM – Mathematics Education, 52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1–16. https://doi.org/10.1007/s11858-020-01130-4</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Niss, M. A., &amp; Jablonka, E. (2020). Mathematical literacy. In S. Lerman (Ed.),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Encyclopedia of Mathematics Education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(pp. 548–553). Springer.  https://doi.org/10.1007/978-3-030-15789-0_100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headerReference r:id="rId7" w:type="default"/>
      <w:footerReference r:id="rId8" w:type="default"/>
      <w:footerReference r:id="rId9"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right"/>
      <w:rPr/>
    </w:pPr>
    <w:r w:rsidDel="00000000" w:rsidR="00000000" w:rsidRPr="00000000">
      <w:rPr>
        <w:rtl w:val="0"/>
      </w:rPr>
    </w:r>
  </w:p>
  <w:p w:rsidR="00000000" w:rsidDel="00000000" w:rsidP="00000000" w:rsidRDefault="00000000" w:rsidRPr="00000000" w14:paraId="00000016">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bCs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spacing w:before="240" w:lineRule="auto"/>
      <w:ind w:firstLine="0"/>
      <w:jc w:val="left"/>
    </w:pPr>
    <w:rPr>
      <w:b w:val="1"/>
      <w:bCs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bCs w:val="1"/>
      <w:i w:val="1"/>
      <w:iCs w:val="1"/>
      <w:sz w:val="26"/>
      <w:szCs w:val="2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libri" w:cs="Calibri" w:eastAsia="Calibri" w:hAnsi="Calibri"/>
      <w:b w:val="1"/>
      <w:bCs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Sidhuvud">
    <w:name w:val="header"/>
    <w:basedOn w:val="Normal"/>
    <w:link w:val="SidhuvudChar"/>
    <w:semiHidden w:val="1"/>
    <w:unhideWhenUsed w:val="1"/>
    <w:rsid w:val="007628ED"/>
    <w:pPr>
      <w:tabs>
        <w:tab w:val="center" w:pos="4536"/>
        <w:tab w:val="right" w:pos="9072"/>
      </w:tabs>
      <w:spacing w:line="240" w:lineRule="auto"/>
    </w:pPr>
  </w:style>
  <w:style w:type="character" w:styleId="SidhuvudChar" w:customStyle="1">
    <w:name w:val="Sidhuvud Char"/>
    <w:basedOn w:val="Standardstycketeckensnitt"/>
    <w:link w:val="Sidhuvud"/>
    <w:semiHidden w:val="1"/>
    <w:rsid w:val="007628ED"/>
    <w:rPr>
      <w:sz w:val="26"/>
      <w:szCs w:val="28"/>
      <w:lang w:eastAsia="en-US" w:val="en-GB"/>
    </w:rPr>
  </w:style>
  <w:style w:type="character" w:styleId="Hyperlnk">
    <w:name w:val="Hyperlink"/>
    <w:basedOn w:val="Standardstycketeckensnitt"/>
    <w:unhideWhenUsed w:val="1"/>
    <w:rsid w:val="008206C1"/>
    <w:rPr>
      <w:color w:val="0000ff" w:themeColor="hyperlink"/>
      <w:u w:val="single"/>
    </w:rPr>
  </w:style>
  <w:style w:type="character" w:styleId="Olstomnmnande">
    <w:name w:val="Unresolved Mention"/>
    <w:basedOn w:val="Standardstycketeckensnitt"/>
    <w:uiPriority w:val="99"/>
    <w:semiHidden w:val="1"/>
    <w:unhideWhenUsed w:val="1"/>
    <w:rsid w:val="008206C1"/>
    <w:rPr>
      <w:color w:val="605e5c"/>
      <w:shd w:color="auto" w:fill="e1dfdd" w:val="clear"/>
    </w:rPr>
  </w:style>
  <w:style w:type="paragraph" w:styleId="Brdtextmedindrag2">
    <w:name w:val="Body Text Indent 2"/>
    <w:basedOn w:val="Normal"/>
    <w:link w:val="Brdtextmedindrag2Char"/>
    <w:rsid w:val="00DF7EEE"/>
    <w:pPr>
      <w:spacing w:after="120" w:line="480" w:lineRule="auto"/>
      <w:ind w:left="283"/>
    </w:pPr>
  </w:style>
  <w:style w:type="character" w:styleId="Brdtextmedindrag2Char" w:customStyle="1">
    <w:name w:val="Brödtext med indrag 2 Char"/>
    <w:basedOn w:val="Standardstycketeckensnitt"/>
    <w:link w:val="Brdtextmedindrag2"/>
    <w:rsid w:val="00DF7EEE"/>
    <w:rPr>
      <w:sz w:val="26"/>
      <w:szCs w:val="28"/>
      <w:lang w:eastAsia="en-US" w:val="en-GB"/>
    </w:rPr>
  </w:style>
  <w:style w:type="character" w:styleId="Platshllartext">
    <w:name w:val="Placeholder Text"/>
    <w:basedOn w:val="Standardstycketeckensnitt"/>
    <w:semiHidden w:val="1"/>
    <w:rsid w:val="007E0E9B"/>
    <w:rPr>
      <w:color w:val="666666"/>
    </w:rPr>
  </w:style>
  <w:style w:type="character" w:styleId="Kommentarsreferens">
    <w:name w:val="annotation reference"/>
    <w:basedOn w:val="Standardstycketeckensnitt"/>
    <w:semiHidden w:val="1"/>
    <w:unhideWhenUsed w:val="1"/>
    <w:rsid w:val="00240F4F"/>
    <w:rPr>
      <w:sz w:val="16"/>
      <w:szCs w:val="16"/>
    </w:rPr>
  </w:style>
  <w:style w:type="paragraph" w:styleId="Kommentarer">
    <w:name w:val="annotation text"/>
    <w:basedOn w:val="Normal"/>
    <w:link w:val="KommentarerChar"/>
    <w:semiHidden w:val="1"/>
    <w:unhideWhenUsed w:val="1"/>
    <w:rsid w:val="00240F4F"/>
    <w:pPr>
      <w:spacing w:line="240" w:lineRule="auto"/>
    </w:pPr>
    <w:rPr>
      <w:sz w:val="20"/>
      <w:szCs w:val="20"/>
    </w:rPr>
  </w:style>
  <w:style w:type="character" w:styleId="KommentarerChar" w:customStyle="1">
    <w:name w:val="Kommentarer Char"/>
    <w:basedOn w:val="Standardstycketeckensnitt"/>
    <w:link w:val="Kommentarer"/>
    <w:semiHidden w:val="1"/>
    <w:rsid w:val="00240F4F"/>
    <w:rPr>
      <w:lang w:eastAsia="en-US" w:val="en-GB"/>
    </w:rPr>
  </w:style>
  <w:style w:type="paragraph" w:styleId="Kommentarsmne">
    <w:name w:val="annotation subject"/>
    <w:basedOn w:val="Kommentarer"/>
    <w:next w:val="Kommentarer"/>
    <w:link w:val="KommentarsmneChar"/>
    <w:semiHidden w:val="1"/>
    <w:unhideWhenUsed w:val="1"/>
    <w:rsid w:val="00240F4F"/>
    <w:rPr>
      <w:b w:val="1"/>
      <w:bCs w:val="1"/>
    </w:rPr>
  </w:style>
  <w:style w:type="character" w:styleId="KommentarsmneChar" w:customStyle="1">
    <w:name w:val="Kommentarsämne Char"/>
    <w:basedOn w:val="KommentarerChar"/>
    <w:link w:val="Kommentarsmne"/>
    <w:semiHidden w:val="1"/>
    <w:rsid w:val="00240F4F"/>
    <w:rPr>
      <w:b w:val="1"/>
      <w:bCs w:val="1"/>
      <w:lang w:eastAsia="en-US" w:val="en-GB"/>
    </w:rPr>
  </w:style>
  <w:style w:type="paragraph" w:styleId="Revision">
    <w:name w:val="Revision"/>
    <w:hidden w:val="1"/>
    <w:semiHidden w:val="1"/>
    <w:rsid w:val="00EC256B"/>
    <w:rPr>
      <w:sz w:val="26"/>
      <w:szCs w:val="28"/>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mSX2R/E6b/RERHpxhbLy48A5Vw==">CgMxLjA4AHIhMXc2M1FYZTVkaXRjVy1LbTBTeTVKZlVmX29KMWxmZFNf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2025-11-03T20:11:00Z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0x01010039E3B096696EA6418FA3B2B2B7072398</vt:lpwstr>
  </property>
  <property fmtid="{D5CDD505-2E9C-101B-9397-08002B2CF9AE}" pid="3" name="MediaServiceImageTags">
    <vt:lpwstr/>
  </property>
</Properties>
</file>