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BAA5" w14:textId="3D71C8F3" w:rsidR="008B62C4" w:rsidRDefault="008B62C4" w:rsidP="00F13E64">
      <w:pPr>
        <w:pStyle w:val="Rubrik1"/>
      </w:pPr>
      <w:r w:rsidRPr="002739CF">
        <w:t xml:space="preserve">Unequal </w:t>
      </w:r>
      <w:r>
        <w:t>p</w:t>
      </w:r>
      <w:r w:rsidRPr="002739CF">
        <w:t xml:space="preserve">articipation in </w:t>
      </w:r>
      <w:r>
        <w:t>m</w:t>
      </w:r>
      <w:r w:rsidRPr="002739CF">
        <w:t xml:space="preserve">athematics? Towards a </w:t>
      </w:r>
      <w:r>
        <w:t>m</w:t>
      </w:r>
      <w:r w:rsidRPr="002739CF">
        <w:t xml:space="preserve">odel </w:t>
      </w:r>
      <w:r>
        <w:t>networking</w:t>
      </w:r>
      <w:r w:rsidRPr="002739CF">
        <w:t xml:space="preserve"> </w:t>
      </w:r>
      <w:r>
        <w:t>c</w:t>
      </w:r>
      <w:r w:rsidRPr="002739CF">
        <w:t>ommognition and ATD</w:t>
      </w:r>
    </w:p>
    <w:p w14:paraId="1983FD9C" w14:textId="77777777" w:rsidR="008B62C4" w:rsidRPr="00B470AD" w:rsidRDefault="008B62C4" w:rsidP="008B62C4">
      <w:pPr>
        <w:pStyle w:val="Rubrik8"/>
        <w:rPr>
          <w:lang w:val="sv-SE"/>
        </w:rPr>
      </w:pPr>
      <w:r w:rsidRPr="00B470AD">
        <w:rPr>
          <w:lang w:val="sv-SE"/>
        </w:rPr>
        <w:t>Matilda Hällback, Anne-Sofie Nyström and Olov Viirman</w:t>
      </w:r>
    </w:p>
    <w:p w14:paraId="65C507C0" w14:textId="6879BEF8" w:rsidR="00ED2199" w:rsidRDefault="008B62C4" w:rsidP="008B62C4">
      <w:pPr>
        <w:pStyle w:val="Rubrik9"/>
      </w:pPr>
      <w:r>
        <w:t>Department of Education, Uppsala University, Sweden</w:t>
      </w:r>
    </w:p>
    <w:p w14:paraId="206CC5FF" w14:textId="2C27E80F" w:rsidR="008B62C4" w:rsidRDefault="002772DD" w:rsidP="00EA5DF9">
      <w:pPr>
        <w:pStyle w:val="Brdtext"/>
      </w:pPr>
      <w:r>
        <w:t>This presentation focuses on theoretical perspectives for understanding s</w:t>
      </w:r>
      <w:r w:rsidR="008B62C4">
        <w:t xml:space="preserve">tudents’ </w:t>
      </w:r>
      <w:r w:rsidR="00BD50A1">
        <w:t>un</w:t>
      </w:r>
      <w:r w:rsidR="00BD50A1">
        <w:softHyphen/>
        <w:t xml:space="preserve">equal </w:t>
      </w:r>
      <w:r w:rsidR="008B62C4">
        <w:t>access to and participation in the canonical mathematical discourse</w:t>
      </w:r>
      <w:r w:rsidR="000260A2">
        <w:t>, which</w:t>
      </w:r>
      <w:r w:rsidR="00BD50A1">
        <w:t xml:space="preserve"> are</w:t>
      </w:r>
      <w:r w:rsidR="008B62C4">
        <w:t xml:space="preserve"> sha</w:t>
      </w:r>
      <w:r w:rsidR="00CA782A">
        <w:softHyphen/>
      </w:r>
      <w:r w:rsidR="00B4234E">
        <w:softHyphen/>
      </w:r>
      <w:r w:rsidR="008B62C4">
        <w:t>ped by a wide range of social and educational factors</w:t>
      </w:r>
      <w:r w:rsidR="000037EE">
        <w:t>.</w:t>
      </w:r>
      <w:r w:rsidR="008B62C4">
        <w:t xml:space="preserve"> While some students engage fluently in classroom </w:t>
      </w:r>
      <w:r w:rsidR="00B768B9">
        <w:t xml:space="preserve">practices </w:t>
      </w:r>
      <w:r w:rsidR="008B62C4">
        <w:t>that align with the institutional</w:t>
      </w:r>
      <w:r w:rsidR="000037EE">
        <w:t>ised norms</w:t>
      </w:r>
      <w:r w:rsidR="008B62C4">
        <w:t xml:space="preserve">, others remain on the periphery; excluded, silent, or disengaged. This disparity raises critical questions about how the learning is organised and who gets to be recognised as a legitimate participant in mathematical activity. </w:t>
      </w:r>
      <w:r w:rsidR="000037EE">
        <w:t>Addressing these</w:t>
      </w:r>
      <w:r w:rsidR="00B80934">
        <w:t xml:space="preserve"> questions</w:t>
      </w:r>
      <w:r w:rsidR="008B62C4">
        <w:t xml:space="preserve"> involves critically examining the norms, values, and practices that are often taken for granted in mathe</w:t>
      </w:r>
      <w:r w:rsidR="00B4234E">
        <w:softHyphen/>
      </w:r>
      <w:r w:rsidR="008B62C4">
        <w:t>matics education</w:t>
      </w:r>
      <w:r w:rsidR="00BF7BC0">
        <w:t>, which</w:t>
      </w:r>
      <w:r w:rsidR="00B80934" w:rsidRPr="00B80934">
        <w:t xml:space="preserve"> is essential for understanding how certain mathematical pract</w:t>
      </w:r>
      <w:r w:rsidR="004B17E9">
        <w:softHyphen/>
      </w:r>
      <w:r w:rsidR="00B80934" w:rsidRPr="00B80934">
        <w:t xml:space="preserve">ices are recognised as legitimate, and for contributing to </w:t>
      </w:r>
      <w:r w:rsidR="00D80885">
        <w:t>practices</w:t>
      </w:r>
      <w:r w:rsidR="00B80934" w:rsidRPr="00B80934">
        <w:t xml:space="preserve"> that promote social justice</w:t>
      </w:r>
      <w:r w:rsidR="00B80934">
        <w:t>.</w:t>
      </w:r>
      <w:r w:rsidR="00DD152E">
        <w:t xml:space="preserve"> The theo</w:t>
      </w:r>
      <w:r w:rsidR="00E90DEC">
        <w:softHyphen/>
      </w:r>
      <w:r w:rsidR="00DD152E">
        <w:t>retical networking in this paper is part of a PhD project</w:t>
      </w:r>
      <w:r w:rsidR="00FE6A3A">
        <w:t>,</w:t>
      </w:r>
      <w:r w:rsidR="00DD152E">
        <w:t xml:space="preserve"> where the focus is </w:t>
      </w:r>
      <w:r w:rsidR="00DD152E" w:rsidRPr="003229DA">
        <w:t xml:space="preserve">on </w:t>
      </w:r>
      <w:r w:rsidR="00DD152E">
        <w:t>mathe</w:t>
      </w:r>
      <w:r w:rsidR="00DD152E">
        <w:softHyphen/>
        <w:t xml:space="preserve">matics in </w:t>
      </w:r>
      <w:r w:rsidR="00DD152E" w:rsidRPr="003229DA">
        <w:t xml:space="preserve">upper secondary </w:t>
      </w:r>
      <w:r w:rsidR="00DD152E">
        <w:t>school</w:t>
      </w:r>
      <w:r w:rsidR="00DD152E" w:rsidRPr="003229DA">
        <w:t xml:space="preserve"> in Sweden</w:t>
      </w:r>
      <w:r w:rsidR="00DD152E">
        <w:t xml:space="preserve">; </w:t>
      </w:r>
      <w:r w:rsidR="00DD152E" w:rsidRPr="003229DA">
        <w:t xml:space="preserve">specifically </w:t>
      </w:r>
      <w:r w:rsidR="00DD152E">
        <w:t>social justice perspect</w:t>
      </w:r>
      <w:r w:rsidR="00DD152E">
        <w:softHyphen/>
        <w:t xml:space="preserve">ives on school algebra in </w:t>
      </w:r>
      <w:r w:rsidR="00DD152E" w:rsidRPr="003229DA">
        <w:t xml:space="preserve">vocational education and higher education preparatory </w:t>
      </w:r>
      <w:r w:rsidR="00DD152E">
        <w:t>progra</w:t>
      </w:r>
      <w:r w:rsidR="00DD152E">
        <w:softHyphen/>
      </w:r>
      <w:r w:rsidR="00DD152E" w:rsidRPr="003229DA">
        <w:t xml:space="preserve">mmes. </w:t>
      </w:r>
      <w:r w:rsidR="00DD152E">
        <w:t>The</w:t>
      </w:r>
      <w:r w:rsidR="00DD152E" w:rsidRPr="003229DA">
        <w:t xml:space="preserve"> algebra content</w:t>
      </w:r>
      <w:r w:rsidR="00DD152E">
        <w:t xml:space="preserve"> in the mathematics courses</w:t>
      </w:r>
      <w:r w:rsidR="00DD152E" w:rsidRPr="003229DA">
        <w:t xml:space="preserve"> differs depen</w:t>
      </w:r>
      <w:r w:rsidR="00DD152E">
        <w:softHyphen/>
      </w:r>
      <w:r w:rsidR="00DD152E" w:rsidRPr="003229DA">
        <w:t xml:space="preserve">ding on </w:t>
      </w:r>
      <w:r w:rsidR="00DD152E">
        <w:t>the programme the students attend. These</w:t>
      </w:r>
      <w:r w:rsidR="00DD152E" w:rsidRPr="003229DA">
        <w:t xml:space="preserve"> differences raise questions about what mathe</w:t>
      </w:r>
      <w:r w:rsidR="00DD152E">
        <w:softHyphen/>
      </w:r>
      <w:r w:rsidR="00DD152E" w:rsidRPr="003229DA">
        <w:t>ma</w:t>
      </w:r>
      <w:r w:rsidR="00DD152E">
        <w:softHyphen/>
      </w:r>
      <w:r w:rsidR="00DD152E" w:rsidRPr="003229DA">
        <w:t>t</w:t>
      </w:r>
      <w:r w:rsidR="00DD152E">
        <w:softHyphen/>
      </w:r>
      <w:r w:rsidR="00DD152E" w:rsidRPr="003229DA">
        <w:t>ic</w:t>
      </w:r>
      <w:r w:rsidR="00DD152E">
        <w:softHyphen/>
      </w:r>
      <w:r w:rsidR="00DD152E" w:rsidRPr="003229DA">
        <w:t>al objects are made available to whom, and under what conditions.</w:t>
      </w:r>
      <w:r w:rsidR="00DD152E">
        <w:t xml:space="preserve"> </w:t>
      </w:r>
    </w:p>
    <w:p w14:paraId="3D5107DE" w14:textId="7994EBAF" w:rsidR="00811993" w:rsidRDefault="008B62C4" w:rsidP="00811993">
      <w:r>
        <w:t xml:space="preserve">To </w:t>
      </w:r>
      <w:r w:rsidR="003A185B">
        <w:t>this end,</w:t>
      </w:r>
      <w:r>
        <w:t xml:space="preserve"> </w:t>
      </w:r>
      <w:r w:rsidR="00B736FE">
        <w:t>we</w:t>
      </w:r>
      <w:r>
        <w:t xml:space="preserve"> explore the potential of </w:t>
      </w:r>
      <w:r w:rsidR="003A185B">
        <w:t>network</w:t>
      </w:r>
      <w:r>
        <w:t>ing two theoretical frameworks with</w:t>
      </w:r>
      <w:r w:rsidR="00F45694">
        <w:softHyphen/>
      </w:r>
      <w:r w:rsidR="00F45694">
        <w:softHyphen/>
      </w:r>
      <w:r w:rsidR="00F45694">
        <w:softHyphen/>
      </w:r>
      <w:r>
        <w:t>in mathematics education research: the Anthro</w:t>
      </w:r>
      <w:r w:rsidR="0000031E">
        <w:softHyphen/>
      </w:r>
      <w:r>
        <w:t>po</w:t>
      </w:r>
      <w:r w:rsidR="0000031E">
        <w:softHyphen/>
      </w:r>
      <w:r>
        <w:t>logi</w:t>
      </w:r>
      <w:r w:rsidR="0000031E">
        <w:softHyphen/>
      </w:r>
      <w:r>
        <w:t>cal Theory of the Didactic (ATD) (Bosch &amp; Gascón, 200</w:t>
      </w:r>
      <w:r w:rsidR="00544ED7">
        <w:t>6</w:t>
      </w:r>
      <w:r>
        <w:t>)</w:t>
      </w:r>
      <w:r w:rsidR="003F0B45">
        <w:t xml:space="preserve"> and commognition (Sfard, 2008)</w:t>
      </w:r>
      <w:r>
        <w:t>.</w:t>
      </w:r>
      <w:r w:rsidR="00C6227B">
        <w:t xml:space="preserve"> </w:t>
      </w:r>
      <w:r w:rsidR="00D71D97">
        <w:t xml:space="preserve">The </w:t>
      </w:r>
      <w:r>
        <w:t>ATD provides a lens for examining the institutional organisation of mathematical knowledge</w:t>
      </w:r>
      <w:r w:rsidR="0048692D">
        <w:t>, enabling</w:t>
      </w:r>
      <w:r>
        <w:t xml:space="preserve"> ana</w:t>
      </w:r>
      <w:r w:rsidR="0000031E">
        <w:softHyphen/>
      </w:r>
      <w:r>
        <w:t>lys</w:t>
      </w:r>
      <w:r w:rsidR="0000031E">
        <w:softHyphen/>
      </w:r>
      <w:r>
        <w:t>es o</w:t>
      </w:r>
      <w:r w:rsidR="00575944">
        <w:t>f</w:t>
      </w:r>
      <w:r>
        <w:t xml:space="preserve"> how access to mathematical content is mediated by didactic transpositions and institutional</w:t>
      </w:r>
      <w:r w:rsidR="000C48C9">
        <w:t xml:space="preserve"> (e.g., discursive)</w:t>
      </w:r>
      <w:r>
        <w:t xml:space="preserve"> constraints. Commognition, on the other hand, empha</w:t>
      </w:r>
      <w:r w:rsidR="000C48C9">
        <w:softHyphen/>
      </w:r>
      <w:r>
        <w:t xml:space="preserve">sises the discursive nature of learning and the development of mathematical thinking through participation in specific forms of communication. It offers tools for analysing how students’ identities and positions are shaped </w:t>
      </w:r>
      <w:r w:rsidR="0000031E">
        <w:t xml:space="preserve">through </w:t>
      </w:r>
      <w:r>
        <w:t>discourse, which is crucial for understanding why some students may not identify with mathematics or feel excluded from the mathematics classroom.</w:t>
      </w:r>
      <w:r w:rsidR="00A5771D">
        <w:t xml:space="preserve"> </w:t>
      </w:r>
      <w:r w:rsidR="00A5771D" w:rsidRPr="00A5771D">
        <w:t xml:space="preserve">While both frameworks engage with the notion of discourse, they focus on different dimensions: commognition on the organisation of participation and identity, and ATD on the organisation of content and practice. </w:t>
      </w:r>
      <w:r>
        <w:t xml:space="preserve">Together, </w:t>
      </w:r>
      <w:r w:rsidR="00A5771D">
        <w:t>they</w:t>
      </w:r>
      <w:r>
        <w:t xml:space="preserve"> offer comple</w:t>
      </w:r>
      <w:r w:rsidR="00A5771D">
        <w:softHyphen/>
      </w:r>
      <w:r>
        <w:t>men</w:t>
      </w:r>
      <w:r w:rsidR="00705A31">
        <w:softHyphen/>
      </w:r>
      <w:r>
        <w:t>tary perspectives for investi</w:t>
      </w:r>
      <w:r w:rsidR="000E53D8">
        <w:softHyphen/>
      </w:r>
      <w:r>
        <w:t>ga</w:t>
      </w:r>
      <w:r w:rsidR="000E53D8">
        <w:softHyphen/>
      </w:r>
      <w:r>
        <w:t>ting how mathematics education can reflect and reproduce so</w:t>
      </w:r>
      <w:r w:rsidR="00705A31">
        <w:softHyphen/>
      </w:r>
      <w:r>
        <w:t>c</w:t>
      </w:r>
      <w:r w:rsidR="00705A31">
        <w:softHyphen/>
      </w:r>
      <w:r>
        <w:t>i</w:t>
      </w:r>
      <w:r w:rsidR="00705A31">
        <w:softHyphen/>
      </w:r>
      <w:r>
        <w:t>al inequalities, and how it might be reimagined to support more equitable partici</w:t>
      </w:r>
      <w:r w:rsidR="00705A31">
        <w:softHyphen/>
      </w:r>
      <w:r>
        <w:t>pation.</w:t>
      </w:r>
      <w:r w:rsidR="00DB1E35">
        <w:t xml:space="preserve"> </w:t>
      </w:r>
      <w:r w:rsidR="00DB1E35" w:rsidRPr="00A5771D">
        <w:t>Therefore, we want to highlight the need for a more integrated framework that can account for both</w:t>
      </w:r>
      <w:r w:rsidR="00DF41FF">
        <w:t xml:space="preserve"> </w:t>
      </w:r>
      <w:proofErr w:type="spellStart"/>
      <w:r w:rsidR="00DF41FF">
        <w:t>i</w:t>
      </w:r>
      <w:proofErr w:type="spellEnd"/>
      <w:r w:rsidR="00DF41FF">
        <w:t>)</w:t>
      </w:r>
      <w:r w:rsidR="00DB1E35" w:rsidRPr="00A5771D">
        <w:t xml:space="preserve"> </w:t>
      </w:r>
      <w:r w:rsidR="00DF41FF" w:rsidRPr="00A5771D">
        <w:t>the institutional organi</w:t>
      </w:r>
      <w:r w:rsidR="00DF41FF">
        <w:softHyphen/>
      </w:r>
      <w:r w:rsidR="00DF41FF" w:rsidRPr="00A5771D">
        <w:t>sation of mathematical content</w:t>
      </w:r>
      <w:r w:rsidR="00DF41FF">
        <w:t xml:space="preserve">, </w:t>
      </w:r>
      <w:r w:rsidR="00DB1E35" w:rsidRPr="00A5771D">
        <w:t xml:space="preserve">and </w:t>
      </w:r>
      <w:r w:rsidR="00DF41FF">
        <w:t xml:space="preserve">ii) </w:t>
      </w:r>
      <w:r w:rsidR="00DF41FF" w:rsidRPr="00A5771D">
        <w:t>the discursive construction of identity</w:t>
      </w:r>
      <w:r w:rsidR="00DF41FF">
        <w:t>.</w:t>
      </w:r>
    </w:p>
    <w:p w14:paraId="3D5AAD32" w14:textId="3AA806C6" w:rsidR="007D2D77" w:rsidRPr="000A75BD" w:rsidRDefault="00123DD7" w:rsidP="00811993">
      <w:r>
        <w:lastRenderedPageBreak/>
        <w:t>C</w:t>
      </w:r>
      <w:r w:rsidRPr="005D577B">
        <w:t>ommognitive theory defines discourse through four key components: words, visual med</w:t>
      </w:r>
      <w:r w:rsidR="00D87975">
        <w:softHyphen/>
      </w:r>
      <w:r w:rsidRPr="005D577B">
        <w:t>ia</w:t>
      </w:r>
      <w:r w:rsidR="00D87975">
        <w:softHyphen/>
      </w:r>
      <w:r w:rsidRPr="005D577B">
        <w:t>tors, routines, and narratives</w:t>
      </w:r>
      <w:r w:rsidR="00912127">
        <w:t>, which</w:t>
      </w:r>
      <w:r w:rsidR="00FD009A">
        <w:t xml:space="preserve"> all</w:t>
      </w:r>
      <w:r w:rsidR="00912127">
        <w:t xml:space="preserve"> </w:t>
      </w:r>
      <w:r w:rsidRPr="005D577B">
        <w:t xml:space="preserve">help us describe how mathematical ideas are communicated and negotiated. However, </w:t>
      </w:r>
      <w:r w:rsidR="00A1733B">
        <w:t>it</w:t>
      </w:r>
      <w:r w:rsidRPr="005D577B">
        <w:t xml:space="preserve"> does not explicitly address how the con</w:t>
      </w:r>
      <w:r w:rsidR="00517A43">
        <w:softHyphen/>
      </w:r>
      <w:r w:rsidRPr="005D577B">
        <w:t>tent of discourse is organised or how it shifts across institutional con</w:t>
      </w:r>
      <w:r w:rsidR="00450AE3">
        <w:softHyphen/>
      </w:r>
      <w:r w:rsidRPr="005D577B">
        <w:t>texts. This is where ATD offers complementary insights</w:t>
      </w:r>
      <w:r w:rsidR="009F1A93">
        <w:t xml:space="preserve"> (see Bosch &amp; Gascón, 2006)</w:t>
      </w:r>
      <w:r>
        <w:t xml:space="preserve">; </w:t>
      </w:r>
      <w:r w:rsidR="00523406" w:rsidRPr="00523406">
        <w:t xml:space="preserve">the notion of </w:t>
      </w:r>
      <w:r w:rsidR="00523406" w:rsidRPr="00523406">
        <w:rPr>
          <w:i/>
          <w:iCs/>
        </w:rPr>
        <w:t>praxeo</w:t>
      </w:r>
      <w:r w:rsidR="00867CA8">
        <w:rPr>
          <w:i/>
          <w:iCs/>
        </w:rPr>
        <w:softHyphen/>
      </w:r>
      <w:r w:rsidR="00523406" w:rsidRPr="00523406">
        <w:rPr>
          <w:i/>
          <w:iCs/>
        </w:rPr>
        <w:t xml:space="preserve">logy </w:t>
      </w:r>
      <w:r w:rsidR="00523406">
        <w:t>allows</w:t>
      </w:r>
      <w:r w:rsidR="00523406" w:rsidRPr="00523406">
        <w:t xml:space="preserve"> for a detailed examination of how mathematical </w:t>
      </w:r>
      <w:r w:rsidR="00E45482">
        <w:t>knowledge</w:t>
      </w:r>
      <w:r w:rsidR="00523406" w:rsidRPr="00523406">
        <w:t xml:space="preserve"> are organised within a given teaching institution</w:t>
      </w:r>
      <w:r w:rsidR="00523406">
        <w:t>, while t</w:t>
      </w:r>
      <w:r w:rsidR="008B62C4" w:rsidRPr="003229DA">
        <w:t xml:space="preserve">he concept of </w:t>
      </w:r>
      <w:r w:rsidR="008B62C4" w:rsidRPr="0008461C">
        <w:rPr>
          <w:i/>
          <w:iCs/>
        </w:rPr>
        <w:t>didactic transposition</w:t>
      </w:r>
      <w:r w:rsidR="008B62C4" w:rsidRPr="003229DA">
        <w:t xml:space="preserve"> </w:t>
      </w:r>
      <w:r w:rsidR="009E0E2C">
        <w:t>addresses</w:t>
      </w:r>
      <w:r w:rsidR="008B62C4" w:rsidRPr="003229DA">
        <w:t xml:space="preserve"> how scholarly knowledge</w:t>
      </w:r>
      <w:r w:rsidR="008B62C4">
        <w:t xml:space="preserve"> </w:t>
      </w:r>
      <w:r w:rsidR="008B62C4" w:rsidRPr="003229DA">
        <w:t>is transformed into teachable content within educa</w:t>
      </w:r>
      <w:r w:rsidR="00D12C1F">
        <w:softHyphen/>
      </w:r>
      <w:r w:rsidR="008B62C4" w:rsidRPr="003229DA">
        <w:t>tion</w:t>
      </w:r>
      <w:r w:rsidR="00D12C1F">
        <w:softHyphen/>
      </w:r>
      <w:r w:rsidR="008B62C4" w:rsidRPr="003229DA">
        <w:t>al institu</w:t>
      </w:r>
      <w:r w:rsidR="0051124A">
        <w:softHyphen/>
      </w:r>
      <w:r w:rsidR="008B62C4" w:rsidRPr="003229DA">
        <w:t>ti</w:t>
      </w:r>
      <w:r w:rsidR="0051124A">
        <w:softHyphen/>
      </w:r>
      <w:r w:rsidR="008B62C4" w:rsidRPr="003229DA">
        <w:t>o</w:t>
      </w:r>
      <w:r w:rsidR="0051124A">
        <w:softHyphen/>
      </w:r>
      <w:r w:rsidR="008B62C4" w:rsidRPr="003229DA">
        <w:t>ns</w:t>
      </w:r>
      <w:r w:rsidR="00523406">
        <w:t>, a process</w:t>
      </w:r>
      <w:r w:rsidR="008B62C4" w:rsidRPr="003229DA">
        <w:t xml:space="preserve"> involv</w:t>
      </w:r>
      <w:r w:rsidR="00523406">
        <w:t>ing</w:t>
      </w:r>
      <w:r w:rsidR="008B62C4" w:rsidRPr="003229DA">
        <w:t xml:space="preserve"> deliberate choices that re</w:t>
      </w:r>
      <w:r w:rsidR="00450AE3">
        <w:softHyphen/>
      </w:r>
      <w:r w:rsidR="008B62C4" w:rsidRPr="003229DA">
        <w:t xml:space="preserve">shape </w:t>
      </w:r>
      <w:r w:rsidR="001E610E">
        <w:t>the mathematical con</w:t>
      </w:r>
      <w:r w:rsidR="0051124A">
        <w:softHyphen/>
      </w:r>
      <w:r w:rsidR="001E610E">
        <w:t>tent</w:t>
      </w:r>
      <w:r w:rsidR="008B62C4" w:rsidRPr="003229DA">
        <w:t xml:space="preserve"> to fit </w:t>
      </w:r>
      <w:r w:rsidR="00523406">
        <w:t xml:space="preserve">pedagogical aims and </w:t>
      </w:r>
      <w:r w:rsidR="008B62C4" w:rsidRPr="003229DA">
        <w:t>institutional con</w:t>
      </w:r>
      <w:r w:rsidR="00C57A4C">
        <w:softHyphen/>
      </w:r>
      <w:r w:rsidR="008B62C4" w:rsidRPr="003229DA">
        <w:t>straints</w:t>
      </w:r>
      <w:r w:rsidR="00C57A4C">
        <w:t>.</w:t>
      </w:r>
      <w:r w:rsidR="00831F8C">
        <w:t xml:space="preserve"> </w:t>
      </w:r>
      <w:r w:rsidR="00C57A4C">
        <w:t>These</w:t>
      </w:r>
      <w:r w:rsidR="00523406">
        <w:t xml:space="preserve"> can be understood in terms of</w:t>
      </w:r>
      <w:r w:rsidR="008B62C4" w:rsidRPr="003229DA">
        <w:t xml:space="preserve"> </w:t>
      </w:r>
      <w:r w:rsidR="008B62C4">
        <w:t>t</w:t>
      </w:r>
      <w:r w:rsidR="008B62C4" w:rsidRPr="003229DA">
        <w:t xml:space="preserve">he </w:t>
      </w:r>
      <w:r w:rsidR="008B62C4" w:rsidRPr="005E1A8F">
        <w:rPr>
          <w:i/>
          <w:iCs/>
        </w:rPr>
        <w:t>scale of levels of didactic co</w:t>
      </w:r>
      <w:r w:rsidR="009E0E2C">
        <w:rPr>
          <w:i/>
          <w:iCs/>
        </w:rPr>
        <w:t>-</w:t>
      </w:r>
      <w:r w:rsidR="008B62C4" w:rsidRPr="005E1A8F">
        <w:rPr>
          <w:i/>
          <w:iCs/>
        </w:rPr>
        <w:t>deter</w:t>
      </w:r>
      <w:r w:rsidR="004427EC">
        <w:rPr>
          <w:i/>
          <w:iCs/>
        </w:rPr>
        <w:softHyphen/>
      </w:r>
      <w:r w:rsidR="008B62C4" w:rsidRPr="005E1A8F">
        <w:rPr>
          <w:i/>
          <w:iCs/>
        </w:rPr>
        <w:t>mina</w:t>
      </w:r>
      <w:r w:rsidR="004427EC">
        <w:rPr>
          <w:i/>
          <w:iCs/>
        </w:rPr>
        <w:softHyphen/>
      </w:r>
      <w:r w:rsidR="008B62C4" w:rsidRPr="005E1A8F">
        <w:rPr>
          <w:i/>
          <w:iCs/>
        </w:rPr>
        <w:t>tion</w:t>
      </w:r>
      <w:r w:rsidR="008B62C4" w:rsidRPr="003229DA">
        <w:t xml:space="preserve"> </w:t>
      </w:r>
      <w:r w:rsidR="00523406">
        <w:t>that</w:t>
      </w:r>
      <w:r w:rsidR="008B62C4" w:rsidRPr="003229DA">
        <w:t xml:space="preserve"> </w:t>
      </w:r>
      <w:r w:rsidR="00686E99">
        <w:t>can be used</w:t>
      </w:r>
      <w:r w:rsidR="008B62C4" w:rsidRPr="003229DA">
        <w:t xml:space="preserve"> </w:t>
      </w:r>
      <w:r w:rsidR="00686E99">
        <w:t>to</w:t>
      </w:r>
      <w:r w:rsidR="008B62C4" w:rsidRPr="003229DA">
        <w:t xml:space="preserve"> identify and analys</w:t>
      </w:r>
      <w:r w:rsidR="00686E99">
        <w:t>e</w:t>
      </w:r>
      <w:r w:rsidR="008B62C4" w:rsidRPr="003229DA">
        <w:t xml:space="preserve"> external influences</w:t>
      </w:r>
      <w:r w:rsidR="00ED5B56">
        <w:t>,</w:t>
      </w:r>
      <w:r w:rsidR="008B62C4">
        <w:t xml:space="preserve"> </w:t>
      </w:r>
      <w:r w:rsidR="008B62C4" w:rsidRPr="003229DA">
        <w:t xml:space="preserve">ranging from national curricula and institutional policies to broader societal </w:t>
      </w:r>
      <w:r w:rsidR="008B62C4" w:rsidRPr="000A75BD">
        <w:t>expectations.</w:t>
      </w:r>
      <w:r w:rsidR="000A75BD" w:rsidRPr="000A75BD">
        <w:t xml:space="preserve"> We argue, that understanding how mathematical content is structured and made accessible within educational settings, is central when analysing students’ opportunities to engage meaningfully </w:t>
      </w:r>
      <w:r w:rsidR="004A21AF">
        <w:t>in</w:t>
      </w:r>
      <w:r w:rsidR="000A75BD" w:rsidRPr="000A75BD">
        <w:t xml:space="preserve"> mathe</w:t>
      </w:r>
      <w:r w:rsidR="004A21AF">
        <w:softHyphen/>
      </w:r>
      <w:r w:rsidR="000A75BD" w:rsidRPr="000A75BD">
        <w:t>matics.</w:t>
      </w:r>
      <w:r w:rsidR="000A75BD" w:rsidRPr="003229DA">
        <w:t xml:space="preserve"> </w:t>
      </w:r>
      <w:r w:rsidR="000A75BD">
        <w:t xml:space="preserve">Yet, </w:t>
      </w:r>
      <w:r w:rsidR="005934AD">
        <w:t xml:space="preserve">ATD </w:t>
      </w:r>
      <w:r w:rsidR="000A75BD">
        <w:t>is limited when it comes to understanding students’ identity</w:t>
      </w:r>
      <w:r w:rsidR="002B4CC1">
        <w:t xml:space="preserve"> </w:t>
      </w:r>
      <w:r w:rsidR="00E53255">
        <w:t xml:space="preserve">processes </w:t>
      </w:r>
      <w:r w:rsidR="008E73D0">
        <w:t xml:space="preserve">and unequal </w:t>
      </w:r>
      <w:r w:rsidR="002B4CC1">
        <w:t>participation</w:t>
      </w:r>
      <w:r w:rsidR="001A61E8">
        <w:t>.</w:t>
      </w:r>
    </w:p>
    <w:p w14:paraId="4B036550" w14:textId="518494D7" w:rsidR="00DE36EE" w:rsidRPr="00A37531" w:rsidRDefault="00B422B9" w:rsidP="005E1A8F">
      <w:r>
        <w:t>C</w:t>
      </w:r>
      <w:r w:rsidR="008B62C4" w:rsidRPr="006E27E3">
        <w:t>ommognition and ATD</w:t>
      </w:r>
      <w:r>
        <w:t xml:space="preserve"> both</w:t>
      </w:r>
      <w:r w:rsidR="008B62C4" w:rsidRPr="006E27E3">
        <w:t xml:space="preserve"> offer perspectives on participation</w:t>
      </w:r>
      <w:r w:rsidR="00E26FDB">
        <w:t>. However,</w:t>
      </w:r>
      <w:r w:rsidR="008B62C4" w:rsidRPr="006E27E3">
        <w:t xml:space="preserve"> they di</w:t>
      </w:r>
      <w:r w:rsidR="00D12C1F">
        <w:softHyphen/>
      </w:r>
      <w:r w:rsidR="008B62C4" w:rsidRPr="006E27E3">
        <w:t>ff</w:t>
      </w:r>
      <w:r w:rsidR="00D12C1F">
        <w:softHyphen/>
      </w:r>
      <w:r w:rsidR="008B62C4" w:rsidRPr="006E27E3">
        <w:t xml:space="preserve">er significantly in how they conceptualise the role of the </w:t>
      </w:r>
      <w:r w:rsidR="008B62C4" w:rsidRPr="006E27E3">
        <w:rPr>
          <w:i/>
          <w:iCs/>
        </w:rPr>
        <w:t>individual</w:t>
      </w:r>
      <w:r w:rsidR="008B62C4" w:rsidRPr="006E27E3">
        <w:t>.</w:t>
      </w:r>
      <w:r w:rsidR="003376F5">
        <w:t xml:space="preserve"> </w:t>
      </w:r>
      <w:r w:rsidR="008B62C4" w:rsidRPr="00A37531">
        <w:t>More recent att</w:t>
      </w:r>
      <w:r w:rsidR="00D12C1F">
        <w:softHyphen/>
      </w:r>
      <w:r w:rsidR="00D12C1F">
        <w:softHyphen/>
      </w:r>
      <w:r w:rsidR="008B62C4" w:rsidRPr="00A37531">
        <w:t>e</w:t>
      </w:r>
      <w:r w:rsidR="00D12C1F">
        <w:softHyphen/>
      </w:r>
      <w:r w:rsidR="008B62C4" w:rsidRPr="00A37531">
        <w:t>m</w:t>
      </w:r>
      <w:r w:rsidR="00D12C1F">
        <w:softHyphen/>
      </w:r>
      <w:r w:rsidR="008B62C4" w:rsidRPr="00A37531">
        <w:t>p</w:t>
      </w:r>
      <w:r w:rsidR="00D12C1F">
        <w:softHyphen/>
      </w:r>
      <w:r w:rsidR="008B62C4" w:rsidRPr="00A37531">
        <w:t>t</w:t>
      </w:r>
      <w:r w:rsidR="00D12C1F">
        <w:softHyphen/>
      </w:r>
      <w:r w:rsidR="00D12C1F">
        <w:softHyphen/>
      </w:r>
      <w:r w:rsidR="008B62C4" w:rsidRPr="00A37531">
        <w:t>s to incorporate individual perspectives</w:t>
      </w:r>
      <w:r w:rsidR="00795D92">
        <w:t xml:space="preserve"> within ATD has been made</w:t>
      </w:r>
      <w:r w:rsidR="00D3309D">
        <w:t>.</w:t>
      </w:r>
      <w:r w:rsidR="008B62C4">
        <w:t xml:space="preserve"> </w:t>
      </w:r>
      <w:r w:rsidR="00D3309D">
        <w:t>For instan</w:t>
      </w:r>
      <w:r w:rsidR="00D12C1F">
        <w:softHyphen/>
      </w:r>
      <w:r w:rsidR="00D3309D">
        <w:t>ce</w:t>
      </w:r>
      <w:r w:rsidR="009039B8">
        <w:t>,</w:t>
      </w:r>
      <w:r w:rsidR="008B62C4" w:rsidRPr="00A37531">
        <w:t xml:space="preserve"> the notion of </w:t>
      </w:r>
      <w:r w:rsidR="008B62C4" w:rsidRPr="00A37531">
        <w:rPr>
          <w:i/>
          <w:iCs/>
        </w:rPr>
        <w:t>personal relations</w:t>
      </w:r>
      <w:r w:rsidR="008B62C4" w:rsidRPr="00A37531">
        <w:t xml:space="preserve"> (</w:t>
      </w:r>
      <w:r w:rsidR="008B62C4" w:rsidRPr="005E1A8F">
        <w:t>Chevallard, 2019</w:t>
      </w:r>
      <w:r w:rsidR="008B62C4" w:rsidRPr="00A37531">
        <w:t>)</w:t>
      </w:r>
      <w:r w:rsidR="008B62C4">
        <w:t xml:space="preserve">, </w:t>
      </w:r>
      <w:r w:rsidR="008B62C4" w:rsidRPr="00A37531">
        <w:t>aim</w:t>
      </w:r>
      <w:r w:rsidR="00134CCE">
        <w:t>s</w:t>
      </w:r>
      <w:r w:rsidR="008B62C4" w:rsidRPr="00A37531">
        <w:t xml:space="preserve"> to account for how individ</w:t>
      </w:r>
      <w:r w:rsidR="00D12C1F">
        <w:softHyphen/>
      </w:r>
      <w:r w:rsidR="008B62C4" w:rsidRPr="00A37531">
        <w:t>uals re</w:t>
      </w:r>
      <w:r w:rsidR="00565889">
        <w:softHyphen/>
      </w:r>
      <w:r w:rsidR="008B62C4" w:rsidRPr="00A37531">
        <w:t>late to didactic systems. However, these efforts remain limited. The struct</w:t>
      </w:r>
      <w:r w:rsidR="00D12C1F">
        <w:softHyphen/>
      </w:r>
      <w:r w:rsidR="008B62C4" w:rsidRPr="00A37531">
        <w:t>ur</w:t>
      </w:r>
      <w:r w:rsidR="00D12C1F">
        <w:softHyphen/>
      </w:r>
      <w:r w:rsidR="008B62C4" w:rsidRPr="00A37531">
        <w:t>alist orien</w:t>
      </w:r>
      <w:r w:rsidR="00565889">
        <w:softHyphen/>
      </w:r>
      <w:r w:rsidR="008B62C4" w:rsidRPr="00A37531">
        <w:t>tation of ATD tends to reduce individual agency to institutional positioning, assu</w:t>
      </w:r>
      <w:r w:rsidR="007B3C6B">
        <w:softHyphen/>
      </w:r>
      <w:r w:rsidR="008B62C4" w:rsidRPr="00A37531">
        <w:t>m</w:t>
      </w:r>
      <w:r w:rsidR="007B3C6B">
        <w:softHyphen/>
      </w:r>
      <w:r w:rsidR="008B62C4" w:rsidRPr="00A37531">
        <w:t xml:space="preserve">ing that interactions are primarily shaped by the roles individuals occupy within educational institutions. This approach offers little insight into </w:t>
      </w:r>
      <w:r w:rsidR="008B62C4" w:rsidRPr="00A37531">
        <w:rPr>
          <w:i/>
          <w:iCs/>
        </w:rPr>
        <w:t>how</w:t>
      </w:r>
      <w:r w:rsidR="008B62C4" w:rsidRPr="00A37531">
        <w:t xml:space="preserve"> identities are </w:t>
      </w:r>
      <w:r w:rsidR="008B62C4">
        <w:t>constr</w:t>
      </w:r>
      <w:r w:rsidR="00F81497">
        <w:softHyphen/>
      </w:r>
      <w:r w:rsidR="008B62C4">
        <w:t>ued</w:t>
      </w:r>
      <w:r w:rsidR="008B62C4" w:rsidRPr="00A37531">
        <w:t xml:space="preserve"> or </w:t>
      </w:r>
      <w:r w:rsidR="008B62C4" w:rsidRPr="00A37531">
        <w:rPr>
          <w:i/>
          <w:iCs/>
        </w:rPr>
        <w:t>how</w:t>
      </w:r>
      <w:r w:rsidR="008B62C4" w:rsidRPr="00A37531">
        <w:t xml:space="preserve"> they influence learning.</w:t>
      </w:r>
      <w:r w:rsidR="003952CD">
        <w:t xml:space="preserve"> </w:t>
      </w:r>
      <w:r w:rsidR="008B62C4" w:rsidRPr="005E1A8F">
        <w:t xml:space="preserve">In contrast, commognition provides a more nuanced account of </w:t>
      </w:r>
      <w:r w:rsidR="008B62C4" w:rsidRPr="005E1A8F">
        <w:rPr>
          <w:i/>
          <w:iCs/>
        </w:rPr>
        <w:t>identity</w:t>
      </w:r>
      <w:r w:rsidR="008B62C4" w:rsidRPr="005E1A8F">
        <w:t xml:space="preserve"> by treating it as discursively constituted. Identity </w:t>
      </w:r>
      <w:r w:rsidR="00ED184B" w:rsidRPr="005E1A8F">
        <w:t>is constructed thr</w:t>
      </w:r>
      <w:r w:rsidR="005A50CF">
        <w:softHyphen/>
      </w:r>
      <w:r w:rsidR="00ED184B" w:rsidRPr="005E1A8F">
        <w:t>ough</w:t>
      </w:r>
      <w:r w:rsidR="008B62C4" w:rsidRPr="005E1A8F">
        <w:t xml:space="preserve"> narra</w:t>
      </w:r>
      <w:r w:rsidR="00565889">
        <w:softHyphen/>
      </w:r>
      <w:r w:rsidR="008B62C4" w:rsidRPr="005E1A8F">
        <w:t>tiv</w:t>
      </w:r>
      <w:r w:rsidR="00565889">
        <w:softHyphen/>
      </w:r>
      <w:r w:rsidR="008B62C4" w:rsidRPr="005E1A8F">
        <w:t xml:space="preserve">es </w:t>
      </w:r>
      <w:r w:rsidR="00007A13" w:rsidRPr="005E1A8F">
        <w:t>of different forms;</w:t>
      </w:r>
      <w:r w:rsidR="008B62C4" w:rsidRPr="005E1A8F">
        <w:t xml:space="preserve"> </w:t>
      </w:r>
      <w:r w:rsidR="002D1D3C" w:rsidRPr="005E1A8F">
        <w:t>1</w:t>
      </w:r>
      <w:r w:rsidR="002D1D3C" w:rsidRPr="005E1A8F">
        <w:rPr>
          <w:vertAlign w:val="superscript"/>
        </w:rPr>
        <w:t>st</w:t>
      </w:r>
      <w:r w:rsidR="008B62C4" w:rsidRPr="005E1A8F">
        <w:t xml:space="preserve">-person, </w:t>
      </w:r>
      <w:r w:rsidR="002D1D3C" w:rsidRPr="005E1A8F">
        <w:t>2</w:t>
      </w:r>
      <w:r w:rsidR="002D1D3C" w:rsidRPr="005E1A8F">
        <w:rPr>
          <w:vertAlign w:val="superscript"/>
        </w:rPr>
        <w:t>nd</w:t>
      </w:r>
      <w:r w:rsidR="008B62C4" w:rsidRPr="005E1A8F">
        <w:t xml:space="preserve">-person, and </w:t>
      </w:r>
      <w:r w:rsidR="002D1D3C" w:rsidRPr="005E1A8F">
        <w:t>3</w:t>
      </w:r>
      <w:r w:rsidR="002D1D3C" w:rsidRPr="005E1A8F">
        <w:rPr>
          <w:vertAlign w:val="superscript"/>
        </w:rPr>
        <w:t>rd</w:t>
      </w:r>
      <w:r w:rsidR="008B62C4" w:rsidRPr="005E1A8F">
        <w:t>-person, which reflect and shape individuals’ participation in discourse (Sfard, 2008).</w:t>
      </w:r>
      <w:r w:rsidR="008B62C4" w:rsidRPr="00A37531">
        <w:t xml:space="preserve"> From this perspective, identity is inherently linked to learning: to learn mathematics is to become a participant in mathe</w:t>
      </w:r>
      <w:r w:rsidR="00565889">
        <w:softHyphen/>
      </w:r>
      <w:r w:rsidR="008B62C4" w:rsidRPr="00A37531">
        <w:t xml:space="preserve">matical discourse. </w:t>
      </w:r>
      <w:r w:rsidR="0089411D">
        <w:t>This</w:t>
      </w:r>
      <w:r w:rsidR="008B62C4" w:rsidRPr="00A37531">
        <w:t xml:space="preserve"> makes it essential to understand the characteristics of such dis</w:t>
      </w:r>
      <w:r w:rsidR="00565889">
        <w:softHyphen/>
      </w:r>
      <w:r w:rsidR="008B62C4" w:rsidRPr="00A37531">
        <w:t xml:space="preserve">course, </w:t>
      </w:r>
      <w:r w:rsidR="000045ED">
        <w:t>for example in domains like school algebra.</w:t>
      </w:r>
    </w:p>
    <w:p w14:paraId="2541AD19" w14:textId="7EE856E1" w:rsidR="008B62C4" w:rsidRDefault="008B62C4" w:rsidP="005E1A8F">
      <w:r>
        <w:t xml:space="preserve">Together, </w:t>
      </w:r>
      <w:r w:rsidR="008D200C">
        <w:t>the</w:t>
      </w:r>
      <w:r w:rsidR="002804C7">
        <w:t>se</w:t>
      </w:r>
      <w:r>
        <w:t xml:space="preserve"> frameworks reveal that </w:t>
      </w:r>
      <w:r w:rsidR="008D200C">
        <w:t>in</w:t>
      </w:r>
      <w:r w:rsidR="007338FB">
        <w:t>/</w:t>
      </w:r>
      <w:r>
        <w:t>exclusion in mathematics education is not solely a matter of individual engagement or classroom dynamics, nor merely a conse</w:t>
      </w:r>
      <w:r w:rsidR="00946504">
        <w:softHyphen/>
      </w:r>
      <w:r>
        <w:t>quen</w:t>
      </w:r>
      <w:r w:rsidR="005A50CF">
        <w:softHyphen/>
      </w:r>
      <w:r w:rsidR="00946504">
        <w:softHyphen/>
      </w:r>
      <w:r>
        <w:t xml:space="preserve">ce of curricular design. </w:t>
      </w:r>
      <w:r w:rsidR="00946504" w:rsidRPr="00946504">
        <w:t>Rather, it emerges through the interaction between students’ discursive positioning and the institutional regulation of access to mathematical content.</w:t>
      </w:r>
    </w:p>
    <w:p w14:paraId="3D6CA3B7" w14:textId="400DB8F0" w:rsidR="008B62C4" w:rsidRPr="005E1A8F" w:rsidRDefault="008B62C4" w:rsidP="008B62C4">
      <w:pPr>
        <w:pStyle w:val="Rubrik2"/>
      </w:pPr>
      <w:r w:rsidRPr="005E1A8F">
        <w:t>Refere</w:t>
      </w:r>
      <w:r w:rsidR="00A32FA3" w:rsidRPr="005E1A8F">
        <w:t xml:space="preserve">nces </w:t>
      </w:r>
    </w:p>
    <w:p w14:paraId="15B0B6ED" w14:textId="3A23B3AD" w:rsidR="001F2979" w:rsidRPr="005E1A8F" w:rsidRDefault="007439F4" w:rsidP="008B62C4">
      <w:pPr>
        <w:pStyle w:val="References"/>
        <w:rPr>
          <w:lang w:val="en-US"/>
        </w:rPr>
      </w:pPr>
      <w:r w:rsidRPr="005E1A8F">
        <w:rPr>
          <w:lang w:val="en-US"/>
        </w:rPr>
        <w:t xml:space="preserve">Bosch, M. &amp; Gascón, J. (2006). Twenty-five years of the didactic transposition. </w:t>
      </w:r>
      <w:r w:rsidRPr="00A80A2C">
        <w:rPr>
          <w:i/>
          <w:iCs/>
          <w:lang w:val="en-US"/>
        </w:rPr>
        <w:t>ICMI Bulletin 58</w:t>
      </w:r>
      <w:r w:rsidRPr="00A80A2C">
        <w:rPr>
          <w:lang w:val="en-US"/>
        </w:rPr>
        <w:t>, 51–63.</w:t>
      </w:r>
    </w:p>
    <w:p w14:paraId="29465112" w14:textId="07F34779" w:rsidR="00746C52" w:rsidRPr="005E1A8F" w:rsidRDefault="00746C52" w:rsidP="008B62C4">
      <w:pPr>
        <w:pStyle w:val="References"/>
        <w:rPr>
          <w:lang w:val="en-US"/>
        </w:rPr>
      </w:pPr>
      <w:r w:rsidRPr="00746C52">
        <w:rPr>
          <w:lang w:val="en-US"/>
        </w:rPr>
        <w:t>Chevallard, Y. (2019). Introducing the anthropological theory of the didactic</w:t>
      </w:r>
      <w:r w:rsidR="00796575">
        <w:rPr>
          <w:lang w:val="en-US"/>
        </w:rPr>
        <w:t>:</w:t>
      </w:r>
      <w:r w:rsidRPr="00746C52">
        <w:rPr>
          <w:lang w:val="en-US"/>
        </w:rPr>
        <w:t xml:space="preserve"> </w:t>
      </w:r>
      <w:r w:rsidR="00436099">
        <w:rPr>
          <w:lang w:val="en-US"/>
        </w:rPr>
        <w:t>A</w:t>
      </w:r>
      <w:r w:rsidRPr="00746C52">
        <w:rPr>
          <w:lang w:val="en-US"/>
        </w:rPr>
        <w:t xml:space="preserve">n attempt at a principled approach. </w:t>
      </w:r>
      <w:r w:rsidRPr="005E1A8F">
        <w:rPr>
          <w:i/>
          <w:iCs/>
          <w:lang w:val="en-US"/>
        </w:rPr>
        <w:t>Hiroshima journal of mathematics education, 12,</w:t>
      </w:r>
      <w:r w:rsidRPr="00746C52">
        <w:rPr>
          <w:lang w:val="en-US"/>
        </w:rPr>
        <w:t xml:space="preserve"> 71</w:t>
      </w:r>
      <w:r w:rsidR="007439F4" w:rsidRPr="007439F4">
        <w:rPr>
          <w:lang w:val="sv-SE"/>
        </w:rPr>
        <w:t>–</w:t>
      </w:r>
      <w:r w:rsidRPr="00746C52">
        <w:rPr>
          <w:lang w:val="en-US"/>
        </w:rPr>
        <w:t>114.</w:t>
      </w:r>
    </w:p>
    <w:p w14:paraId="1078BEE7" w14:textId="03B950AC" w:rsidR="00CE6A6A" w:rsidRPr="009C103B" w:rsidRDefault="0003440C" w:rsidP="005E1A8F">
      <w:pPr>
        <w:pStyle w:val="References"/>
      </w:pPr>
      <w:r w:rsidRPr="005E1A8F">
        <w:rPr>
          <w:lang w:val="en-US"/>
        </w:rPr>
        <w:t xml:space="preserve">Sfard, A. (2008). </w:t>
      </w:r>
      <w:r w:rsidRPr="005E1A8F">
        <w:rPr>
          <w:i/>
          <w:iCs/>
          <w:lang w:val="en-US"/>
        </w:rPr>
        <w:t>Thinking as communicating: Human development, the growth of discourses, and mathematizing.</w:t>
      </w:r>
      <w:r w:rsidRPr="005E1A8F">
        <w:rPr>
          <w:lang w:val="en-US"/>
        </w:rPr>
        <w:t xml:space="preserve"> </w:t>
      </w:r>
      <w:r w:rsidRPr="0003440C">
        <w:rPr>
          <w:lang w:val="sv-SE"/>
        </w:rPr>
        <w:t xml:space="preserve">Cambridge: Cambridge </w:t>
      </w:r>
      <w:r>
        <w:rPr>
          <w:lang w:val="sv-SE"/>
        </w:rPr>
        <w:t>U</w:t>
      </w:r>
      <w:r w:rsidRPr="0003440C">
        <w:rPr>
          <w:lang w:val="sv-SE"/>
        </w:rPr>
        <w:t xml:space="preserve">niversity </w:t>
      </w:r>
      <w:r w:rsidR="004F5EDF">
        <w:rPr>
          <w:lang w:val="sv-SE"/>
        </w:rPr>
        <w:t>P</w:t>
      </w:r>
      <w:r w:rsidRPr="0003440C">
        <w:rPr>
          <w:lang w:val="sv-SE"/>
        </w:rPr>
        <w:t>ress</w:t>
      </w:r>
      <w:r>
        <w:rPr>
          <w:lang w:val="sv-SE"/>
        </w:rPr>
        <w:t>.</w:t>
      </w:r>
    </w:p>
    <w:sectPr w:rsidR="00CE6A6A" w:rsidRPr="009C103B" w:rsidSect="000761F4">
      <w:headerReference w:type="default" r:id="rId7"/>
      <w:footerReference w:type="even" r:id="rId8"/>
      <w:footerReference w:type="default" r:id="rId9"/>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73AA" w14:textId="77777777" w:rsidR="00EB4983" w:rsidRDefault="00EB4983">
      <w:pPr>
        <w:spacing w:line="240" w:lineRule="auto"/>
      </w:pPr>
      <w:r>
        <w:separator/>
      </w:r>
    </w:p>
  </w:endnote>
  <w:endnote w:type="continuationSeparator" w:id="0">
    <w:p w14:paraId="5AEFA970" w14:textId="77777777" w:rsidR="00EB4983" w:rsidRDefault="00EB4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4606" w14:textId="77777777" w:rsidR="00EB4983" w:rsidRDefault="00EB4983">
      <w:pPr>
        <w:spacing w:line="240" w:lineRule="auto"/>
      </w:pPr>
      <w:r>
        <w:separator/>
      </w:r>
    </w:p>
  </w:footnote>
  <w:footnote w:type="continuationSeparator" w:id="0">
    <w:p w14:paraId="1D1A9EB3" w14:textId="77777777" w:rsidR="00EB4983" w:rsidRDefault="00EB4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2076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031E"/>
    <w:rsid w:val="000037EE"/>
    <w:rsid w:val="000045C0"/>
    <w:rsid w:val="000045ED"/>
    <w:rsid w:val="00007A13"/>
    <w:rsid w:val="00011659"/>
    <w:rsid w:val="00020986"/>
    <w:rsid w:val="000260A2"/>
    <w:rsid w:val="0003440C"/>
    <w:rsid w:val="00053461"/>
    <w:rsid w:val="00064A57"/>
    <w:rsid w:val="000761F4"/>
    <w:rsid w:val="00084739"/>
    <w:rsid w:val="00090326"/>
    <w:rsid w:val="000A75BD"/>
    <w:rsid w:val="000B04A4"/>
    <w:rsid w:val="000C48C9"/>
    <w:rsid w:val="000C4A0F"/>
    <w:rsid w:val="000D2258"/>
    <w:rsid w:val="000E53D8"/>
    <w:rsid w:val="000F7629"/>
    <w:rsid w:val="000F7BC9"/>
    <w:rsid w:val="00102D35"/>
    <w:rsid w:val="00107E11"/>
    <w:rsid w:val="00117643"/>
    <w:rsid w:val="00123C7C"/>
    <w:rsid w:val="00123DD7"/>
    <w:rsid w:val="00133F5F"/>
    <w:rsid w:val="00134CCE"/>
    <w:rsid w:val="0017395D"/>
    <w:rsid w:val="001A61E8"/>
    <w:rsid w:val="001C57C4"/>
    <w:rsid w:val="001D2B46"/>
    <w:rsid w:val="001E610E"/>
    <w:rsid w:val="001E69ED"/>
    <w:rsid w:val="001F2979"/>
    <w:rsid w:val="0020776B"/>
    <w:rsid w:val="0021106D"/>
    <w:rsid w:val="00230645"/>
    <w:rsid w:val="002772DD"/>
    <w:rsid w:val="002804C7"/>
    <w:rsid w:val="002824CB"/>
    <w:rsid w:val="00284AD6"/>
    <w:rsid w:val="002A38E1"/>
    <w:rsid w:val="002A62E1"/>
    <w:rsid w:val="002B4CC1"/>
    <w:rsid w:val="002C65E6"/>
    <w:rsid w:val="002D09CB"/>
    <w:rsid w:val="002D1D3C"/>
    <w:rsid w:val="002D2135"/>
    <w:rsid w:val="003376F5"/>
    <w:rsid w:val="00352579"/>
    <w:rsid w:val="0035264B"/>
    <w:rsid w:val="00385258"/>
    <w:rsid w:val="003952CD"/>
    <w:rsid w:val="003A185B"/>
    <w:rsid w:val="003B2647"/>
    <w:rsid w:val="003B2D6B"/>
    <w:rsid w:val="003D5997"/>
    <w:rsid w:val="003F0B45"/>
    <w:rsid w:val="00410050"/>
    <w:rsid w:val="00436099"/>
    <w:rsid w:val="004427EC"/>
    <w:rsid w:val="00450AE3"/>
    <w:rsid w:val="00451266"/>
    <w:rsid w:val="00461D61"/>
    <w:rsid w:val="004667F1"/>
    <w:rsid w:val="00475B10"/>
    <w:rsid w:val="0048692D"/>
    <w:rsid w:val="004A21AF"/>
    <w:rsid w:val="004B17E9"/>
    <w:rsid w:val="004C7B6C"/>
    <w:rsid w:val="004E0DC5"/>
    <w:rsid w:val="004E6BFD"/>
    <w:rsid w:val="004F2525"/>
    <w:rsid w:val="004F5EDF"/>
    <w:rsid w:val="00510528"/>
    <w:rsid w:val="0051124A"/>
    <w:rsid w:val="00517A43"/>
    <w:rsid w:val="00523406"/>
    <w:rsid w:val="005256A8"/>
    <w:rsid w:val="005277E7"/>
    <w:rsid w:val="00541B6D"/>
    <w:rsid w:val="00544ED7"/>
    <w:rsid w:val="00554C8F"/>
    <w:rsid w:val="00565889"/>
    <w:rsid w:val="00567E52"/>
    <w:rsid w:val="005710F8"/>
    <w:rsid w:val="00575944"/>
    <w:rsid w:val="0058271E"/>
    <w:rsid w:val="005833FF"/>
    <w:rsid w:val="0058505F"/>
    <w:rsid w:val="005934AD"/>
    <w:rsid w:val="0059652F"/>
    <w:rsid w:val="005A363B"/>
    <w:rsid w:val="005A50CF"/>
    <w:rsid w:val="005D538E"/>
    <w:rsid w:val="005D577B"/>
    <w:rsid w:val="005E1A8F"/>
    <w:rsid w:val="005E3911"/>
    <w:rsid w:val="00664F1E"/>
    <w:rsid w:val="00666D64"/>
    <w:rsid w:val="00672077"/>
    <w:rsid w:val="0068418F"/>
    <w:rsid w:val="00686E99"/>
    <w:rsid w:val="00696B62"/>
    <w:rsid w:val="006C2614"/>
    <w:rsid w:val="006E27E3"/>
    <w:rsid w:val="006E3132"/>
    <w:rsid w:val="006E6869"/>
    <w:rsid w:val="006F07C0"/>
    <w:rsid w:val="00705A31"/>
    <w:rsid w:val="007338FB"/>
    <w:rsid w:val="00737C28"/>
    <w:rsid w:val="007439F4"/>
    <w:rsid w:val="00746C52"/>
    <w:rsid w:val="00752C3C"/>
    <w:rsid w:val="0075497C"/>
    <w:rsid w:val="007628ED"/>
    <w:rsid w:val="00795D92"/>
    <w:rsid w:val="00796575"/>
    <w:rsid w:val="007A1D83"/>
    <w:rsid w:val="007A30D6"/>
    <w:rsid w:val="007A3967"/>
    <w:rsid w:val="007B3C6B"/>
    <w:rsid w:val="007D2D77"/>
    <w:rsid w:val="007F210F"/>
    <w:rsid w:val="00811993"/>
    <w:rsid w:val="00827D96"/>
    <w:rsid w:val="00831F8C"/>
    <w:rsid w:val="00842F58"/>
    <w:rsid w:val="00867CA8"/>
    <w:rsid w:val="00891CB5"/>
    <w:rsid w:val="00893ABC"/>
    <w:rsid w:val="0089411D"/>
    <w:rsid w:val="008B62C4"/>
    <w:rsid w:val="008C43C0"/>
    <w:rsid w:val="008C4C60"/>
    <w:rsid w:val="008D200C"/>
    <w:rsid w:val="008E5CE2"/>
    <w:rsid w:val="008E73D0"/>
    <w:rsid w:val="009039B8"/>
    <w:rsid w:val="00912127"/>
    <w:rsid w:val="0091579A"/>
    <w:rsid w:val="00926CCA"/>
    <w:rsid w:val="00933A03"/>
    <w:rsid w:val="00946504"/>
    <w:rsid w:val="00952C44"/>
    <w:rsid w:val="00985B91"/>
    <w:rsid w:val="00987B20"/>
    <w:rsid w:val="009C0F20"/>
    <w:rsid w:val="009C103B"/>
    <w:rsid w:val="009E0E2C"/>
    <w:rsid w:val="009E1DFD"/>
    <w:rsid w:val="009F1A93"/>
    <w:rsid w:val="009F5C3B"/>
    <w:rsid w:val="00A13986"/>
    <w:rsid w:val="00A1733B"/>
    <w:rsid w:val="00A2654B"/>
    <w:rsid w:val="00A3282F"/>
    <w:rsid w:val="00A32FA3"/>
    <w:rsid w:val="00A5771D"/>
    <w:rsid w:val="00A57B22"/>
    <w:rsid w:val="00A80693"/>
    <w:rsid w:val="00A80A2C"/>
    <w:rsid w:val="00AB1CFC"/>
    <w:rsid w:val="00AD4025"/>
    <w:rsid w:val="00AE497F"/>
    <w:rsid w:val="00B04189"/>
    <w:rsid w:val="00B13C57"/>
    <w:rsid w:val="00B422B9"/>
    <w:rsid w:val="00B4234E"/>
    <w:rsid w:val="00B656CD"/>
    <w:rsid w:val="00B736FE"/>
    <w:rsid w:val="00B768B9"/>
    <w:rsid w:val="00B80934"/>
    <w:rsid w:val="00BC36AA"/>
    <w:rsid w:val="00BC6E66"/>
    <w:rsid w:val="00BD50A1"/>
    <w:rsid w:val="00BF7BC0"/>
    <w:rsid w:val="00C05214"/>
    <w:rsid w:val="00C05503"/>
    <w:rsid w:val="00C32D6E"/>
    <w:rsid w:val="00C3663F"/>
    <w:rsid w:val="00C57A4C"/>
    <w:rsid w:val="00C6227B"/>
    <w:rsid w:val="00C97CA9"/>
    <w:rsid w:val="00CA782A"/>
    <w:rsid w:val="00CD26C3"/>
    <w:rsid w:val="00CD4CF6"/>
    <w:rsid w:val="00CE5E76"/>
    <w:rsid w:val="00CE6A6A"/>
    <w:rsid w:val="00CF5C7A"/>
    <w:rsid w:val="00D12C1F"/>
    <w:rsid w:val="00D26793"/>
    <w:rsid w:val="00D3309D"/>
    <w:rsid w:val="00D46927"/>
    <w:rsid w:val="00D71D97"/>
    <w:rsid w:val="00D80885"/>
    <w:rsid w:val="00D827A1"/>
    <w:rsid w:val="00D87975"/>
    <w:rsid w:val="00D96EFD"/>
    <w:rsid w:val="00DB1E35"/>
    <w:rsid w:val="00DB74C4"/>
    <w:rsid w:val="00DC1DA4"/>
    <w:rsid w:val="00DC6025"/>
    <w:rsid w:val="00DD152E"/>
    <w:rsid w:val="00DD3681"/>
    <w:rsid w:val="00DE36EE"/>
    <w:rsid w:val="00DF26F2"/>
    <w:rsid w:val="00DF41FF"/>
    <w:rsid w:val="00E07A26"/>
    <w:rsid w:val="00E26FDB"/>
    <w:rsid w:val="00E45482"/>
    <w:rsid w:val="00E53255"/>
    <w:rsid w:val="00E61020"/>
    <w:rsid w:val="00E62361"/>
    <w:rsid w:val="00E90B43"/>
    <w:rsid w:val="00E90DEC"/>
    <w:rsid w:val="00E96827"/>
    <w:rsid w:val="00EA5BE3"/>
    <w:rsid w:val="00EA5DF9"/>
    <w:rsid w:val="00EB46F4"/>
    <w:rsid w:val="00EB4983"/>
    <w:rsid w:val="00ED184B"/>
    <w:rsid w:val="00ED2199"/>
    <w:rsid w:val="00ED2636"/>
    <w:rsid w:val="00ED5B56"/>
    <w:rsid w:val="00F0070E"/>
    <w:rsid w:val="00F0219E"/>
    <w:rsid w:val="00F13E64"/>
    <w:rsid w:val="00F26870"/>
    <w:rsid w:val="00F42DFA"/>
    <w:rsid w:val="00F45694"/>
    <w:rsid w:val="00F51DA8"/>
    <w:rsid w:val="00F5400D"/>
    <w:rsid w:val="00F71AAB"/>
    <w:rsid w:val="00F7296E"/>
    <w:rsid w:val="00F75384"/>
    <w:rsid w:val="00F81497"/>
    <w:rsid w:val="00FA4ED7"/>
    <w:rsid w:val="00FB0747"/>
    <w:rsid w:val="00FD009A"/>
    <w:rsid w:val="00FD2CF2"/>
    <w:rsid w:val="00FD4B34"/>
    <w:rsid w:val="00FE6A3A"/>
    <w:rsid w:val="00FF04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character" w:styleId="Kommentarsreferens">
    <w:name w:val="annotation reference"/>
    <w:basedOn w:val="Standardstycketeckensnitt"/>
    <w:semiHidden/>
    <w:unhideWhenUsed/>
    <w:rsid w:val="008B62C4"/>
    <w:rPr>
      <w:sz w:val="16"/>
      <w:szCs w:val="16"/>
    </w:rPr>
  </w:style>
  <w:style w:type="paragraph" w:styleId="Kommentarer">
    <w:name w:val="annotation text"/>
    <w:basedOn w:val="Normal"/>
    <w:link w:val="KommentarerChar"/>
    <w:semiHidden/>
    <w:unhideWhenUsed/>
    <w:rsid w:val="008B62C4"/>
    <w:pPr>
      <w:spacing w:line="240" w:lineRule="auto"/>
    </w:pPr>
    <w:rPr>
      <w:sz w:val="20"/>
      <w:szCs w:val="20"/>
    </w:rPr>
  </w:style>
  <w:style w:type="character" w:customStyle="1" w:styleId="KommentarerChar">
    <w:name w:val="Kommentarer Char"/>
    <w:basedOn w:val="Standardstycketeckensnitt"/>
    <w:link w:val="Kommentarer"/>
    <w:semiHidden/>
    <w:rsid w:val="008B62C4"/>
    <w:rPr>
      <w:lang w:val="en-GB" w:eastAsia="en-US"/>
    </w:rPr>
  </w:style>
  <w:style w:type="paragraph" w:styleId="Kommentarsmne">
    <w:name w:val="annotation subject"/>
    <w:basedOn w:val="Kommentarer"/>
    <w:next w:val="Kommentarer"/>
    <w:link w:val="KommentarsmneChar"/>
    <w:semiHidden/>
    <w:unhideWhenUsed/>
    <w:rsid w:val="00575944"/>
    <w:rPr>
      <w:b/>
      <w:bCs/>
    </w:rPr>
  </w:style>
  <w:style w:type="character" w:customStyle="1" w:styleId="KommentarsmneChar">
    <w:name w:val="Kommentarsämne Char"/>
    <w:basedOn w:val="KommentarerChar"/>
    <w:link w:val="Kommentarsmne"/>
    <w:semiHidden/>
    <w:rsid w:val="00575944"/>
    <w:rPr>
      <w:b/>
      <w:bCs/>
      <w:lang w:val="en-GB" w:eastAsia="en-US"/>
    </w:rPr>
  </w:style>
  <w:style w:type="paragraph" w:styleId="Ballongtext">
    <w:name w:val="Balloon Text"/>
    <w:basedOn w:val="Normal"/>
    <w:link w:val="BallongtextChar"/>
    <w:semiHidden/>
    <w:unhideWhenUsed/>
    <w:rsid w:val="00987B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987B20"/>
    <w:rPr>
      <w:rFonts w:ascii="Segoe UI" w:hAnsi="Segoe UI" w:cs="Segoe UI"/>
      <w:sz w:val="18"/>
      <w:szCs w:val="18"/>
      <w:lang w:val="en-GB" w:eastAsia="en-US"/>
    </w:rPr>
  </w:style>
  <w:style w:type="paragraph" w:styleId="Revision">
    <w:name w:val="Revision"/>
    <w:hidden/>
    <w:semiHidden/>
    <w:rsid w:val="00987B20"/>
    <w:rPr>
      <w:sz w:val="2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5671</Characters>
  <Application>Microsoft Office Word</Application>
  <DocSecurity>0</DocSecurity>
  <Lines>88</Lines>
  <Paragraphs>16</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6568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2025-11-03T20:10:00Z</dcterms:created>
  <dcterms:modified xsi:type="dcterms:W3CDTF">2025-11-03T20:10:00Z</dcterms:modified>
  <cp:category/>
</cp:coreProperties>
</file>