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8C23" w14:textId="7FD55172" w:rsidR="00F836A1" w:rsidRDefault="004115EF" w:rsidP="00CE6A6A">
      <w:pPr>
        <w:pStyle w:val="Rubrik8"/>
        <w:rPr>
          <w:b w:val="0"/>
          <w:bCs w:val="0"/>
          <w:iCs w:val="0"/>
          <w:sz w:val="44"/>
          <w:szCs w:val="32"/>
        </w:rPr>
      </w:pPr>
      <w:r>
        <w:rPr>
          <w:b w:val="0"/>
          <w:bCs w:val="0"/>
          <w:iCs w:val="0"/>
          <w:sz w:val="44"/>
          <w:szCs w:val="32"/>
        </w:rPr>
        <w:t xml:space="preserve">A pilot study on using data cards for inferential </w:t>
      </w:r>
      <w:r w:rsidR="00F836A1" w:rsidRPr="00F836A1">
        <w:rPr>
          <w:b w:val="0"/>
          <w:bCs w:val="0"/>
          <w:iCs w:val="0"/>
          <w:sz w:val="44"/>
          <w:szCs w:val="32"/>
        </w:rPr>
        <w:t xml:space="preserve">statistics </w:t>
      </w:r>
      <w:r>
        <w:rPr>
          <w:b w:val="0"/>
          <w:bCs w:val="0"/>
          <w:iCs w:val="0"/>
          <w:sz w:val="44"/>
          <w:szCs w:val="32"/>
        </w:rPr>
        <w:t xml:space="preserve">in </w:t>
      </w:r>
      <w:r w:rsidR="00F836A1" w:rsidRPr="00F836A1">
        <w:rPr>
          <w:b w:val="0"/>
          <w:bCs w:val="0"/>
          <w:iCs w:val="0"/>
          <w:sz w:val="44"/>
          <w:szCs w:val="32"/>
        </w:rPr>
        <w:t>primary teacher education</w:t>
      </w:r>
    </w:p>
    <w:p w14:paraId="080E0699" w14:textId="321E2E5E" w:rsidR="00CE6A6A" w:rsidRPr="000357F6" w:rsidRDefault="00C147E0" w:rsidP="00CE6A6A">
      <w:pPr>
        <w:pStyle w:val="Rubrik8"/>
        <w:rPr>
          <w:lang w:val="sv-SE"/>
        </w:rPr>
      </w:pPr>
      <w:r w:rsidRPr="000357F6">
        <w:rPr>
          <w:lang w:val="sv-SE"/>
        </w:rPr>
        <w:t>Per Blomberg</w:t>
      </w:r>
      <w:r w:rsidR="00F21497" w:rsidRPr="000357F6">
        <w:rPr>
          <w:lang w:val="sv-SE"/>
        </w:rPr>
        <w:t>, Jöran Petersson</w:t>
      </w:r>
    </w:p>
    <w:p w14:paraId="51736E13" w14:textId="35A28218" w:rsidR="00CF753A" w:rsidRPr="000357F6" w:rsidRDefault="00C147E0" w:rsidP="00F21497">
      <w:pPr>
        <w:pStyle w:val="Rubrik9"/>
        <w:rPr>
          <w:lang w:val="sv-SE"/>
        </w:rPr>
      </w:pPr>
      <w:r w:rsidRPr="000357F6">
        <w:rPr>
          <w:lang w:val="sv-SE"/>
        </w:rPr>
        <w:t xml:space="preserve">Malmö </w:t>
      </w:r>
      <w:r w:rsidR="00AF2CA5">
        <w:rPr>
          <w:lang w:val="sv-SE"/>
        </w:rPr>
        <w:t>U</w:t>
      </w:r>
      <w:r w:rsidRPr="000357F6">
        <w:rPr>
          <w:lang w:val="sv-SE"/>
        </w:rPr>
        <w:t>niversity</w:t>
      </w:r>
    </w:p>
    <w:p w14:paraId="2742959E" w14:textId="514847D9" w:rsidR="009D1DD8" w:rsidRPr="00922413" w:rsidRDefault="00827964" w:rsidP="00B206C6">
      <w:pPr>
        <w:pStyle w:val="Brdtext"/>
      </w:pPr>
      <w:r w:rsidRPr="00922413">
        <w:t xml:space="preserve">This presentation examines preservice teachers’ perspectives on statistical concepts and ideas as they engage with a teaching sequence on data modelling using biology-related content in teacher education. </w:t>
      </w:r>
      <w:r w:rsidR="007556BB" w:rsidRPr="00922413">
        <w:t xml:space="preserve">Inferential reasoning is increasingly recognised as a core statistical </w:t>
      </w:r>
      <w:r w:rsidR="004115EF" w:rsidRPr="00922413">
        <w:t xml:space="preserve">competence </w:t>
      </w:r>
      <w:r w:rsidR="007556BB" w:rsidRPr="00922413">
        <w:t xml:space="preserve">that learners of all ages should </w:t>
      </w:r>
      <w:r w:rsidR="004115EF" w:rsidRPr="00922413">
        <w:t>acquire</w:t>
      </w:r>
      <w:r w:rsidR="007556BB" w:rsidRPr="00922413">
        <w:t xml:space="preserve"> (Makar &amp; Rubin, 2018). Yet, little is known about didactic resources that support students in </w:t>
      </w:r>
      <w:r w:rsidR="000A312E" w:rsidRPr="00922413">
        <w:t xml:space="preserve">acquiring </w:t>
      </w:r>
      <w:r w:rsidR="007556BB" w:rsidRPr="00922413">
        <w:t xml:space="preserve">such </w:t>
      </w:r>
      <w:r w:rsidR="000A312E" w:rsidRPr="00922413">
        <w:t>competences</w:t>
      </w:r>
      <w:r w:rsidR="007556BB" w:rsidRPr="00922413">
        <w:t xml:space="preserve"> through a holistic approach to teaching, where statistical concepts are explored in meaningful and integrated contexts rather than in isolation (Burrill &amp; </w:t>
      </w:r>
      <w:proofErr w:type="spellStart"/>
      <w:r w:rsidR="007556BB" w:rsidRPr="00922413">
        <w:t>Pfannkuch</w:t>
      </w:r>
      <w:proofErr w:type="spellEnd"/>
      <w:r w:rsidR="007556BB" w:rsidRPr="00922413">
        <w:t>, 2024).</w:t>
      </w:r>
      <w:r w:rsidRPr="00922413">
        <w:t xml:space="preserve"> </w:t>
      </w:r>
      <w:r w:rsidR="009D1DD8" w:rsidRPr="00922413">
        <w:t xml:space="preserve">In primary school, </w:t>
      </w:r>
      <w:r w:rsidR="000A312E" w:rsidRPr="00922413">
        <w:t>promoting</w:t>
      </w:r>
      <w:r w:rsidR="009D1DD8" w:rsidRPr="00922413">
        <w:t xml:space="preserve"> inferential </w:t>
      </w:r>
      <w:r w:rsidR="000A312E" w:rsidRPr="00922413">
        <w:t>competence</w:t>
      </w:r>
      <w:r w:rsidR="009D1DD8" w:rsidRPr="00922413">
        <w:t xml:space="preserve"> through a data modelling approach involves more than supporting pupils in drawing conclusions. It encompasses developing their </w:t>
      </w:r>
      <w:r w:rsidR="000A312E" w:rsidRPr="00922413">
        <w:t>competence in</w:t>
      </w:r>
      <w:r w:rsidR="009D1DD8" w:rsidRPr="00922413">
        <w:t xml:space="preserve"> pos</w:t>
      </w:r>
      <w:r w:rsidR="000A312E" w:rsidRPr="00922413">
        <w:t>ing</w:t>
      </w:r>
      <w:r w:rsidR="009D1DD8" w:rsidRPr="00922413">
        <w:t xml:space="preserve"> statistical questions, collect</w:t>
      </w:r>
      <w:r w:rsidR="000A312E" w:rsidRPr="00922413">
        <w:t>ing</w:t>
      </w:r>
      <w:r w:rsidR="009D1DD8" w:rsidRPr="00922413">
        <w:t xml:space="preserve"> and interpret</w:t>
      </w:r>
      <w:r w:rsidR="000A312E" w:rsidRPr="00922413">
        <w:t>ing</w:t>
      </w:r>
      <w:r w:rsidR="009D1DD8" w:rsidRPr="00922413">
        <w:t xml:space="preserve"> data, describ</w:t>
      </w:r>
      <w:r w:rsidR="000A312E" w:rsidRPr="00922413">
        <w:t>ing</w:t>
      </w:r>
      <w:r w:rsidR="009D1DD8" w:rsidRPr="00922413">
        <w:t xml:space="preserve"> patterns, and reason</w:t>
      </w:r>
      <w:r w:rsidR="000A312E" w:rsidRPr="00922413">
        <w:t>ing</w:t>
      </w:r>
      <w:r w:rsidR="009D1DD8" w:rsidRPr="00922413">
        <w:t xml:space="preserve"> about uncertainty (Lehrer &amp; English, 2018). Despite the recognised importance of these competencies, research remains limited on effective ways of teaching </w:t>
      </w:r>
      <w:r w:rsidR="00093370">
        <w:t>core</w:t>
      </w:r>
      <w:r w:rsidR="009D1DD8" w:rsidRPr="00922413">
        <w:t xml:space="preserve"> statistical ideas in real-world contexts, and even less is known about preservice teachers’ beliefs and </w:t>
      </w:r>
      <w:r w:rsidR="000A312E" w:rsidRPr="00922413">
        <w:t>competence</w:t>
      </w:r>
      <w:r w:rsidR="009D1DD8" w:rsidRPr="00922413">
        <w:t xml:space="preserve"> in this area.</w:t>
      </w:r>
    </w:p>
    <w:p w14:paraId="7DA99C8A" w14:textId="77777777" w:rsidR="00BB2048" w:rsidRPr="00922413" w:rsidRDefault="00BB2048" w:rsidP="00BB2048">
      <w:pPr>
        <w:pStyle w:val="Rubrik2"/>
        <w:rPr>
          <w:b w:val="0"/>
          <w:lang w:eastAsia="sv-SE"/>
        </w:rPr>
      </w:pPr>
      <w:r w:rsidRPr="00922413">
        <w:rPr>
          <w:lang w:eastAsia="sv-SE"/>
        </w:rPr>
        <w:t>Data cards as a didactic resource</w:t>
      </w:r>
    </w:p>
    <w:p w14:paraId="333D9A45" w14:textId="549A5D7F" w:rsidR="009D1DD8" w:rsidRPr="00922413" w:rsidRDefault="00BB2048" w:rsidP="00B206C6">
      <w:pPr>
        <w:pStyle w:val="Brdtext"/>
        <w:rPr>
          <w:i/>
          <w:iCs/>
        </w:rPr>
      </w:pPr>
      <w:r w:rsidRPr="00922413">
        <w:t xml:space="preserve">Technological advancements have greatly simplified the collection and processing of </w:t>
      </w:r>
      <w:r w:rsidR="00CB4710" w:rsidRPr="00922413">
        <w:t>first-hand</w:t>
      </w:r>
      <w:r w:rsidRPr="00922413">
        <w:t xml:space="preserve"> </w:t>
      </w:r>
      <w:proofErr w:type="gramStart"/>
      <w:r w:rsidRPr="00922413">
        <w:t>data</w:t>
      </w:r>
      <w:proofErr w:type="gramEnd"/>
      <w:r w:rsidR="00CB4710" w:rsidRPr="00922413">
        <w:t xml:space="preserve"> and this holds also for downloading, compiling and processing second-hand data sets</w:t>
      </w:r>
      <w:r w:rsidRPr="00922413">
        <w:t>.</w:t>
      </w:r>
      <w:r w:rsidR="00AC10D6" w:rsidRPr="00922413">
        <w:t xml:space="preserve"> Yet, one drawback of generating first-hand data is that it can be time-consuming. Conversely, a limitation of using second-hand data is that it removes the learning opportunity to design the measurement process for the property under investigation</w:t>
      </w:r>
      <w:r w:rsidR="00CB4710" w:rsidRPr="00922413">
        <w:t xml:space="preserve">. </w:t>
      </w:r>
      <w:r w:rsidRPr="00922413">
        <w:t>Research suggests strong potential in using data cards containing authentic datasets for student</w:t>
      </w:r>
      <w:r w:rsidR="00CB4710" w:rsidRPr="00922413">
        <w:t>s to</w:t>
      </w:r>
      <w:r w:rsidRPr="00922413">
        <w:t xml:space="preserve"> interpret (Burrill &amp; </w:t>
      </w:r>
      <w:proofErr w:type="spellStart"/>
      <w:r w:rsidRPr="00922413">
        <w:t>Pfannkuch</w:t>
      </w:r>
      <w:proofErr w:type="spellEnd"/>
      <w:r w:rsidRPr="00922413">
        <w:t xml:space="preserve">, 2024). </w:t>
      </w:r>
      <w:r w:rsidR="00FA65C2" w:rsidRPr="00922413">
        <w:t>Hence</w:t>
      </w:r>
      <w:r w:rsidRPr="00922413">
        <w:t xml:space="preserve">, our study </w:t>
      </w:r>
      <w:r w:rsidR="00FA65C2" w:rsidRPr="00922413">
        <w:t xml:space="preserve">aims at </w:t>
      </w:r>
      <w:r w:rsidRPr="00922413">
        <w:t>develop</w:t>
      </w:r>
      <w:r w:rsidR="00FA65C2" w:rsidRPr="00922413">
        <w:t>ing</w:t>
      </w:r>
      <w:r w:rsidRPr="00922413">
        <w:t xml:space="preserve"> teaching activities that integrate student-relevant ready-made data sources with an explicit focus on core statistical content. This approach streamlines classroom implementation while deepening students’ understanding of the underlying concepts </w:t>
      </w:r>
      <w:r w:rsidR="00FA65C2" w:rsidRPr="00922413">
        <w:t>in statistical inference</w:t>
      </w:r>
      <w:r w:rsidRPr="00922413">
        <w:t>.</w:t>
      </w:r>
      <w:r w:rsidR="00827964" w:rsidRPr="00922413">
        <w:t xml:space="preserve"> </w:t>
      </w:r>
      <w:r w:rsidR="009D1DD8" w:rsidRPr="00922413">
        <w:t xml:space="preserve">The study is guided by the following research question: </w:t>
      </w:r>
      <w:r w:rsidR="009D1DD8" w:rsidRPr="00922413">
        <w:rPr>
          <w:i/>
          <w:iCs/>
        </w:rPr>
        <w:t xml:space="preserve">What statistical </w:t>
      </w:r>
      <w:r w:rsidR="000216A7" w:rsidRPr="00922413">
        <w:rPr>
          <w:i/>
          <w:iCs/>
        </w:rPr>
        <w:t xml:space="preserve">competence and curricular goals </w:t>
      </w:r>
      <w:r w:rsidR="009D1DD8" w:rsidRPr="00922413">
        <w:rPr>
          <w:i/>
          <w:iCs/>
        </w:rPr>
        <w:t xml:space="preserve">do preservice teachers articulate when working with </w:t>
      </w:r>
      <w:r w:rsidR="009D1DD8" w:rsidRPr="00922413">
        <w:rPr>
          <w:i/>
          <w:iCs/>
          <w:szCs w:val="26"/>
          <w:lang w:eastAsia="sv-SE"/>
        </w:rPr>
        <w:t xml:space="preserve">data </w:t>
      </w:r>
      <w:r w:rsidR="000216A7" w:rsidRPr="00922413">
        <w:rPr>
          <w:i/>
          <w:iCs/>
          <w:szCs w:val="26"/>
          <w:lang w:eastAsia="sv-SE"/>
        </w:rPr>
        <w:t xml:space="preserve">cards </w:t>
      </w:r>
      <w:r w:rsidR="009D1DD8" w:rsidRPr="00922413">
        <w:rPr>
          <w:i/>
          <w:iCs/>
        </w:rPr>
        <w:t>as a didactic resource in the classroom?</w:t>
      </w:r>
    </w:p>
    <w:p w14:paraId="1A5BA283" w14:textId="1B29F235" w:rsidR="00CF753A" w:rsidRPr="00922413" w:rsidRDefault="00CF753A" w:rsidP="009D1DD8">
      <w:pPr>
        <w:pStyle w:val="Rubrik2"/>
        <w:rPr>
          <w:lang w:eastAsia="sv-SE"/>
        </w:rPr>
      </w:pPr>
      <w:r w:rsidRPr="00922413">
        <w:rPr>
          <w:lang w:eastAsia="sv-SE"/>
        </w:rPr>
        <w:lastRenderedPageBreak/>
        <w:t>Methodology</w:t>
      </w:r>
    </w:p>
    <w:p w14:paraId="6A41DF48" w14:textId="7BFDC7E7" w:rsidR="009D1DD8" w:rsidRPr="00922413" w:rsidRDefault="00704FF7" w:rsidP="009D1DD8">
      <w:pPr>
        <w:pStyle w:val="Brdtext"/>
      </w:pPr>
      <w:r w:rsidRPr="00922413">
        <w:t xml:space="preserve">This short presentation reviews the design when implemented in primary school teacher education and discusses its theoretical basis. </w:t>
      </w:r>
      <w:r w:rsidR="005767B1" w:rsidRPr="00922413">
        <w:t>Th</w:t>
      </w:r>
      <w:r w:rsidR="0057219E" w:rsidRPr="00922413">
        <w:t>is</w:t>
      </w:r>
      <w:r w:rsidR="005767B1" w:rsidRPr="00922413">
        <w:t xml:space="preserve"> </w:t>
      </w:r>
      <w:r w:rsidR="00221EF6" w:rsidRPr="00922413">
        <w:t xml:space="preserve">pilot </w:t>
      </w:r>
      <w:r w:rsidR="005767B1" w:rsidRPr="00922413">
        <w:t>study adopts an educational design research approach, which comprises three main phases: analysis and exploration, design and construction, and evaluation and reflection (McKenney &amp; Reeves, 2018). In the first phase, we analyse the opportunities and challenges associated with introducing statistical inference in primary school mathematics. This has resulted in the development of a set of age-appropriate data cards based on real local biological conditions</w:t>
      </w:r>
      <w:r w:rsidR="0057219E" w:rsidRPr="00922413">
        <w:t xml:space="preserve"> as a tentative didactic resource</w:t>
      </w:r>
      <w:r w:rsidR="005767B1" w:rsidRPr="00922413">
        <w:t xml:space="preserve">. Two versions of the </w:t>
      </w:r>
      <w:r w:rsidR="0057219E" w:rsidRPr="00922413">
        <w:t xml:space="preserve">data </w:t>
      </w:r>
      <w:r w:rsidR="005767B1" w:rsidRPr="00922413">
        <w:t xml:space="preserve">cards </w:t>
      </w:r>
      <w:r w:rsidR="0057219E" w:rsidRPr="00922413">
        <w:t>were</w:t>
      </w:r>
      <w:r w:rsidR="005767B1" w:rsidRPr="00922413">
        <w:t xml:space="preserve"> produced</w:t>
      </w:r>
      <w:r w:rsidR="00827964" w:rsidRPr="00922413">
        <w:t xml:space="preserve"> – </w:t>
      </w:r>
      <w:r w:rsidR="005767B1" w:rsidRPr="00922413">
        <w:t xml:space="preserve">one tailored for early primary school students and one for older primary students. </w:t>
      </w:r>
    </w:p>
    <w:p w14:paraId="4493DC93" w14:textId="4BB47D25" w:rsidR="008132D6" w:rsidRPr="00922413" w:rsidRDefault="00EB295E" w:rsidP="00BB2048">
      <w:r w:rsidRPr="00922413">
        <w:t>The analysis is guided by praxeology (</w:t>
      </w:r>
      <w:proofErr w:type="spellStart"/>
      <w:r w:rsidRPr="00922413">
        <w:t>Chevallard</w:t>
      </w:r>
      <w:proofErr w:type="spellEnd"/>
      <w:r w:rsidRPr="00922413">
        <w:t xml:space="preserve">, 2006) as an overarching theoretical lens, complemented by a framework that integrates positioning structures with data modelling (Blomberg, under review). </w:t>
      </w:r>
      <w:r w:rsidR="009400D0" w:rsidRPr="00922413">
        <w:t xml:space="preserve">While praxeology helps distinguish between what is done (praxis) and what is said about what is done (logos), the theory of positioning structures offers a valuable didactic tool for interpreting how mathematical ideas are positioned in relation to human activity. </w:t>
      </w:r>
      <w:r w:rsidRPr="00922413">
        <w:t xml:space="preserve">Together, these perspectives provide tools </w:t>
      </w:r>
      <w:r w:rsidR="00704FF7" w:rsidRPr="00922413">
        <w:t>for</w:t>
      </w:r>
      <w:r w:rsidRPr="00922413">
        <w:t xml:space="preserve"> examin</w:t>
      </w:r>
      <w:r w:rsidR="00704FF7" w:rsidRPr="00922413">
        <w:t>ing</w:t>
      </w:r>
      <w:r w:rsidRPr="00922413">
        <w:t xml:space="preserve"> how </w:t>
      </w:r>
      <w:r w:rsidR="009400D0" w:rsidRPr="00922413">
        <w:t xml:space="preserve">preservice </w:t>
      </w:r>
      <w:r w:rsidRPr="00922413">
        <w:t xml:space="preserve">teachers </w:t>
      </w:r>
      <w:r w:rsidR="009400D0" w:rsidRPr="00922413">
        <w:t>articulate and position core inferential and statistical concepts when working with data cards in the classroom.</w:t>
      </w:r>
    </w:p>
    <w:p w14:paraId="61AD4557" w14:textId="5DBE5088" w:rsidR="005767B1" w:rsidRPr="00922413" w:rsidRDefault="005767B1" w:rsidP="000357F6">
      <w:pPr>
        <w:pStyle w:val="Rubrik2"/>
      </w:pPr>
      <w:r w:rsidRPr="00922413">
        <w:rPr>
          <w:lang w:eastAsia="sv-SE"/>
        </w:rPr>
        <w:t>Conclusion</w:t>
      </w:r>
    </w:p>
    <w:p w14:paraId="1BAAADDA" w14:textId="2227B649" w:rsidR="00F64F7D" w:rsidRPr="00922413" w:rsidRDefault="005767B1" w:rsidP="00F64F7D">
      <w:pPr>
        <w:pStyle w:val="Brdtext"/>
      </w:pPr>
      <w:r w:rsidRPr="00922413">
        <w:t xml:space="preserve">Placing data in authentic contexts highlights the subject-integrative potential central to our design. The age-appropriate data cards are intended to help students </w:t>
      </w:r>
      <w:r w:rsidR="00BB2048" w:rsidRPr="00922413">
        <w:t xml:space="preserve">to </w:t>
      </w:r>
      <w:r w:rsidRPr="00922413">
        <w:t>pose meaningful questions, consider alternative interpretations, and draw conclusions from uncertain information. This approach reflects our aim to embed core statistical ideas</w:t>
      </w:r>
      <w:r w:rsidR="00EB3C47" w:rsidRPr="00922413">
        <w:t xml:space="preserve">, </w:t>
      </w:r>
      <w:r w:rsidRPr="00922413">
        <w:t>especially inferential reasoning</w:t>
      </w:r>
      <w:r w:rsidR="00EB3C47" w:rsidRPr="00922413">
        <w:t xml:space="preserve"> </w:t>
      </w:r>
      <w:r w:rsidRPr="00922413">
        <w:t>within relevant contexts, making them both accessible and conceptually rich. In a world shaped by data and AI, such experiences are essential for developing the statistical literacy needed for informed participation in society.</w:t>
      </w:r>
    </w:p>
    <w:p w14:paraId="771D1075" w14:textId="1F18D12E" w:rsidR="00CF753A" w:rsidRDefault="00F64F7D" w:rsidP="00CF753A">
      <w:pPr>
        <w:pStyle w:val="Rubrik2"/>
      </w:pPr>
      <w:r>
        <w:t>References</w:t>
      </w:r>
    </w:p>
    <w:p w14:paraId="26AB4684" w14:textId="77777777" w:rsidR="006F0CEC" w:rsidRPr="008B18E8" w:rsidRDefault="00C147E0" w:rsidP="008B18E8">
      <w:pPr>
        <w:pStyle w:val="References"/>
      </w:pPr>
      <w:r w:rsidRPr="008B18E8">
        <w:t xml:space="preserve">Burrill, G., </w:t>
      </w:r>
      <w:proofErr w:type="spellStart"/>
      <w:r w:rsidRPr="008B18E8">
        <w:t>Pfannkuch</w:t>
      </w:r>
      <w:proofErr w:type="spellEnd"/>
      <w:r w:rsidRPr="008B18E8">
        <w:t xml:space="preserve">, M. (2024). Emerging trends in statistics education. </w:t>
      </w:r>
      <w:proofErr w:type="spellStart"/>
      <w:r w:rsidRPr="008B18E8">
        <w:rPr>
          <w:i/>
          <w:iCs/>
        </w:rPr>
        <w:t>ZDM</w:t>
      </w:r>
      <w:proofErr w:type="spellEnd"/>
      <w:r w:rsidRPr="008B18E8">
        <w:rPr>
          <w:i/>
          <w:iCs/>
        </w:rPr>
        <w:t xml:space="preserve"> Mathematics Education 56</w:t>
      </w:r>
      <w:r w:rsidRPr="008B18E8">
        <w:t xml:space="preserve">, 19–29. </w:t>
      </w:r>
      <w:hyperlink r:id="rId7" w:history="1">
        <w:r w:rsidRPr="008B18E8">
          <w:rPr>
            <w:rStyle w:val="Hyperlnk"/>
            <w:rFonts w:asciiTheme="minorHAnsi" w:hAnsiTheme="minorHAnsi"/>
            <w:sz w:val="22"/>
            <w:szCs w:val="22"/>
          </w:rPr>
          <w:t>https://doi.org/10.1007/s11858-023-01501-7</w:t>
        </w:r>
      </w:hyperlink>
    </w:p>
    <w:p w14:paraId="17FA3B0B" w14:textId="4AFB146D" w:rsidR="00BC13E1" w:rsidRPr="008B18E8" w:rsidRDefault="00BC13E1" w:rsidP="008B18E8">
      <w:pPr>
        <w:pStyle w:val="References"/>
      </w:pPr>
      <w:proofErr w:type="spellStart"/>
      <w:r w:rsidRPr="008B18E8">
        <w:t>Chevallard</w:t>
      </w:r>
      <w:proofErr w:type="spellEnd"/>
      <w:r w:rsidRPr="008B18E8">
        <w:t>, Y. (2006). Steps towards a new epistemology in mathematics education. In </w:t>
      </w:r>
      <w:r w:rsidRPr="008B18E8">
        <w:rPr>
          <w:i/>
          <w:iCs/>
        </w:rPr>
        <w:t>Proceedings of the IV congress of the European society for research in mathematics education</w:t>
      </w:r>
      <w:r w:rsidRPr="008B18E8">
        <w:t> (pp. 21-30).</w:t>
      </w:r>
    </w:p>
    <w:p w14:paraId="6C4B1F47" w14:textId="7D298C3C" w:rsidR="00BC13E1" w:rsidRPr="008B18E8" w:rsidRDefault="00BC13E1" w:rsidP="008B18E8">
      <w:pPr>
        <w:pStyle w:val="References"/>
      </w:pPr>
      <w:r w:rsidRPr="008B18E8">
        <w:rPr>
          <w:noProof/>
        </w:rPr>
        <w:t xml:space="preserve">Lehrer, R., &amp; English, L. (2018). Introducing children to modeling variability. In D. Ben-Zvi, K. Makar, &amp; G. J. (Eds.), </w:t>
      </w:r>
      <w:r w:rsidRPr="008B18E8">
        <w:rPr>
          <w:i/>
          <w:noProof/>
        </w:rPr>
        <w:t>International Handbook of Research in Statistics Education</w:t>
      </w:r>
      <w:r w:rsidRPr="008B18E8">
        <w:rPr>
          <w:noProof/>
        </w:rPr>
        <w:t xml:space="preserve"> (pp. 229–260). Springer International Publishing. </w:t>
      </w:r>
      <w:hyperlink r:id="rId8" w:history="1">
        <w:r w:rsidRPr="008B18E8">
          <w:rPr>
            <w:rStyle w:val="Hyperlnk"/>
            <w:noProof/>
          </w:rPr>
          <w:t>https://doi.org/10.1007/978-3-319-66195-7_7</w:t>
        </w:r>
      </w:hyperlink>
    </w:p>
    <w:p w14:paraId="71FB9C0B" w14:textId="21FA983E" w:rsidR="00BC13E1" w:rsidRPr="008B18E8" w:rsidRDefault="00BC13E1" w:rsidP="008B18E8">
      <w:pPr>
        <w:pStyle w:val="References"/>
      </w:pPr>
      <w:r w:rsidRPr="00BC13E1">
        <w:rPr>
          <w:szCs w:val="24"/>
          <w:lang w:eastAsia="sv-SE"/>
        </w:rPr>
        <w:t>Makar, K., &amp; Rubin, A. (2018). Learning about statistical inference. I</w:t>
      </w:r>
      <w:r w:rsidRPr="008B18E8">
        <w:t>n</w:t>
      </w:r>
      <w:r w:rsidRPr="00BC13E1">
        <w:rPr>
          <w:szCs w:val="24"/>
          <w:lang w:eastAsia="sv-SE"/>
        </w:rPr>
        <w:t xml:space="preserve"> D. Ben-Zvi, K. Makar,</w:t>
      </w:r>
      <w:r w:rsidRPr="008B18E8">
        <w:t xml:space="preserve"> </w:t>
      </w:r>
      <w:r w:rsidRPr="00BC13E1">
        <w:rPr>
          <w:szCs w:val="24"/>
          <w:lang w:eastAsia="sv-SE"/>
        </w:rPr>
        <w:t>&amp; J. Garfield (</w:t>
      </w:r>
      <w:r w:rsidRPr="008B18E8">
        <w:t>Eds</w:t>
      </w:r>
      <w:r w:rsidRPr="00BC13E1">
        <w:rPr>
          <w:szCs w:val="24"/>
          <w:lang w:eastAsia="sv-SE"/>
        </w:rPr>
        <w:t>.),</w:t>
      </w:r>
      <w:r w:rsidRPr="00BC13E1">
        <w:rPr>
          <w:i/>
          <w:iCs/>
          <w:szCs w:val="24"/>
          <w:lang w:eastAsia="sv-SE"/>
        </w:rPr>
        <w:t xml:space="preserve"> International handbook of research in statistics education </w:t>
      </w:r>
      <w:r w:rsidRPr="00BC13E1">
        <w:rPr>
          <w:szCs w:val="24"/>
          <w:lang w:eastAsia="sv-SE"/>
        </w:rPr>
        <w:t xml:space="preserve">(pp. 261–294). Springer International Publishing. </w:t>
      </w:r>
      <w:hyperlink r:id="rId9" w:history="1">
        <w:r w:rsidRPr="00BC13E1">
          <w:rPr>
            <w:rStyle w:val="Hyperlnk"/>
            <w:lang w:eastAsia="sv-SE"/>
          </w:rPr>
          <w:t>https://doi.org/10.1007/978-3-319-66195-7_8</w:t>
        </w:r>
      </w:hyperlink>
    </w:p>
    <w:p w14:paraId="579FE6AE" w14:textId="51EAD171" w:rsidR="00CF753A" w:rsidRPr="00922413" w:rsidRDefault="00C147E0" w:rsidP="00922413">
      <w:pPr>
        <w:pStyle w:val="References"/>
      </w:pPr>
      <w:r w:rsidRPr="008B18E8">
        <w:t xml:space="preserve">McKenney, S., &amp; Reeves, T. C. (2018). </w:t>
      </w:r>
      <w:r w:rsidRPr="008B18E8">
        <w:rPr>
          <w:i/>
          <w:iCs/>
        </w:rPr>
        <w:t>Conducting educational design research</w:t>
      </w:r>
      <w:r w:rsidRPr="008B18E8">
        <w:t xml:space="preserve"> (2</w:t>
      </w:r>
      <w:r w:rsidR="008B18E8">
        <w:t>nd</w:t>
      </w:r>
      <w:r w:rsidRPr="008B18E8">
        <w:t xml:space="preserve"> </w:t>
      </w:r>
      <w:r w:rsidR="00BC13E1" w:rsidRPr="008B18E8">
        <w:t>ed</w:t>
      </w:r>
      <w:r w:rsidRPr="008B18E8">
        <w:t xml:space="preserve">.). Routledge. </w:t>
      </w:r>
      <w:hyperlink r:id="rId10" w:history="1">
        <w:r w:rsidR="008B18E8" w:rsidRPr="008B18E8">
          <w:rPr>
            <w:rStyle w:val="Hyperlnk"/>
            <w:rFonts w:asciiTheme="minorHAnsi" w:hAnsiTheme="minorHAnsi"/>
            <w:sz w:val="22"/>
            <w:szCs w:val="22"/>
          </w:rPr>
          <w:t>https://doi.org/10.4324/9781315105642</w:t>
        </w:r>
      </w:hyperlink>
    </w:p>
    <w:sectPr w:rsidR="00CF753A" w:rsidRPr="00922413" w:rsidSect="000761F4">
      <w:headerReference w:type="default" r:id="rId11"/>
      <w:footerReference w:type="even" r:id="rId12"/>
      <w:footerReference w:type="default" r:id="rId13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B148" w14:textId="77777777" w:rsidR="00DE5C4C" w:rsidRDefault="00DE5C4C">
      <w:pPr>
        <w:spacing w:line="240" w:lineRule="auto"/>
      </w:pPr>
      <w:r>
        <w:separator/>
      </w:r>
    </w:p>
  </w:endnote>
  <w:endnote w:type="continuationSeparator" w:id="0">
    <w:p w14:paraId="287A6E39" w14:textId="77777777" w:rsidR="00DE5C4C" w:rsidRDefault="00DE5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B611" w14:textId="77777777" w:rsidR="00DE5C4C" w:rsidRDefault="00DE5C4C">
      <w:pPr>
        <w:spacing w:line="240" w:lineRule="auto"/>
      </w:pPr>
      <w:r>
        <w:separator/>
      </w:r>
    </w:p>
  </w:footnote>
  <w:footnote w:type="continuationSeparator" w:id="0">
    <w:p w14:paraId="0FEC484F" w14:textId="77777777" w:rsidR="00DE5C4C" w:rsidRDefault="00DE5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216A7"/>
    <w:rsid w:val="000357F6"/>
    <w:rsid w:val="00053461"/>
    <w:rsid w:val="00064A57"/>
    <w:rsid w:val="000761F4"/>
    <w:rsid w:val="00084739"/>
    <w:rsid w:val="00093370"/>
    <w:rsid w:val="000A312E"/>
    <w:rsid w:val="000D2258"/>
    <w:rsid w:val="000F7629"/>
    <w:rsid w:val="000F7BC9"/>
    <w:rsid w:val="00117643"/>
    <w:rsid w:val="00133F5F"/>
    <w:rsid w:val="00137188"/>
    <w:rsid w:val="00186438"/>
    <w:rsid w:val="001E69ED"/>
    <w:rsid w:val="001F6429"/>
    <w:rsid w:val="00221EF6"/>
    <w:rsid w:val="00235A54"/>
    <w:rsid w:val="002824CB"/>
    <w:rsid w:val="00283341"/>
    <w:rsid w:val="002A38E1"/>
    <w:rsid w:val="002C5BC4"/>
    <w:rsid w:val="002C65E6"/>
    <w:rsid w:val="003734B7"/>
    <w:rsid w:val="003B2647"/>
    <w:rsid w:val="003D2B43"/>
    <w:rsid w:val="003E1D22"/>
    <w:rsid w:val="004115EF"/>
    <w:rsid w:val="00461D61"/>
    <w:rsid w:val="004928B8"/>
    <w:rsid w:val="004E6BFD"/>
    <w:rsid w:val="00567E52"/>
    <w:rsid w:val="005710F8"/>
    <w:rsid w:val="0057219E"/>
    <w:rsid w:val="005767B1"/>
    <w:rsid w:val="005941BA"/>
    <w:rsid w:val="0059652F"/>
    <w:rsid w:val="005A30A2"/>
    <w:rsid w:val="005A363B"/>
    <w:rsid w:val="005E3911"/>
    <w:rsid w:val="005F3E21"/>
    <w:rsid w:val="00672077"/>
    <w:rsid w:val="006F0CEC"/>
    <w:rsid w:val="00704FF7"/>
    <w:rsid w:val="00717C5F"/>
    <w:rsid w:val="00737C28"/>
    <w:rsid w:val="00752C3C"/>
    <w:rsid w:val="0075497C"/>
    <w:rsid w:val="007556BB"/>
    <w:rsid w:val="007628ED"/>
    <w:rsid w:val="00772556"/>
    <w:rsid w:val="007970A0"/>
    <w:rsid w:val="007A1D83"/>
    <w:rsid w:val="007B4C2C"/>
    <w:rsid w:val="007F210F"/>
    <w:rsid w:val="008132D6"/>
    <w:rsid w:val="00827964"/>
    <w:rsid w:val="00842F58"/>
    <w:rsid w:val="00845C38"/>
    <w:rsid w:val="008B18E8"/>
    <w:rsid w:val="008C4C60"/>
    <w:rsid w:val="00913E28"/>
    <w:rsid w:val="0091579A"/>
    <w:rsid w:val="00922413"/>
    <w:rsid w:val="00926CCA"/>
    <w:rsid w:val="00933A03"/>
    <w:rsid w:val="009400D0"/>
    <w:rsid w:val="00951EA2"/>
    <w:rsid w:val="009C103B"/>
    <w:rsid w:val="009D1DD8"/>
    <w:rsid w:val="00A2654B"/>
    <w:rsid w:val="00A378FF"/>
    <w:rsid w:val="00AC10D6"/>
    <w:rsid w:val="00AF2CA5"/>
    <w:rsid w:val="00B04D03"/>
    <w:rsid w:val="00B13C57"/>
    <w:rsid w:val="00B206C6"/>
    <w:rsid w:val="00BB2048"/>
    <w:rsid w:val="00BB29D5"/>
    <w:rsid w:val="00BC13E1"/>
    <w:rsid w:val="00BC36AA"/>
    <w:rsid w:val="00C05503"/>
    <w:rsid w:val="00C147E0"/>
    <w:rsid w:val="00C32D6E"/>
    <w:rsid w:val="00C86ACF"/>
    <w:rsid w:val="00CB4710"/>
    <w:rsid w:val="00CD4CF6"/>
    <w:rsid w:val="00CE6A6A"/>
    <w:rsid w:val="00CF753A"/>
    <w:rsid w:val="00D827A1"/>
    <w:rsid w:val="00DE5C4C"/>
    <w:rsid w:val="00DF26F2"/>
    <w:rsid w:val="00E16A7F"/>
    <w:rsid w:val="00E90B43"/>
    <w:rsid w:val="00EB295E"/>
    <w:rsid w:val="00EB3C47"/>
    <w:rsid w:val="00ED2199"/>
    <w:rsid w:val="00F21497"/>
    <w:rsid w:val="00F42DFA"/>
    <w:rsid w:val="00F50AEC"/>
    <w:rsid w:val="00F5400D"/>
    <w:rsid w:val="00F64F7D"/>
    <w:rsid w:val="00F836A1"/>
    <w:rsid w:val="00FA1694"/>
    <w:rsid w:val="00FA4ED7"/>
    <w:rsid w:val="00FA65C2"/>
    <w:rsid w:val="00FB0747"/>
    <w:rsid w:val="00FD2CF2"/>
    <w:rsid w:val="00FF6E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paragraph" w:styleId="Liststycke">
    <w:name w:val="List Paragraph"/>
    <w:basedOn w:val="Normal"/>
    <w:uiPriority w:val="34"/>
    <w:qFormat/>
    <w:rsid w:val="00772556"/>
    <w:pPr>
      <w:autoSpaceDE/>
      <w:autoSpaceDN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sv-SE"/>
      <w14:ligatures w14:val="standardContextual"/>
    </w:rPr>
  </w:style>
  <w:style w:type="character" w:customStyle="1" w:styleId="normaltextrun">
    <w:name w:val="normaltextrun"/>
    <w:basedOn w:val="Standardstycketeckensnitt"/>
    <w:rsid w:val="00772556"/>
  </w:style>
  <w:style w:type="character" w:customStyle="1" w:styleId="spellingerror">
    <w:name w:val="spellingerror"/>
    <w:basedOn w:val="Standardstycketeckensnitt"/>
    <w:rsid w:val="00772556"/>
  </w:style>
  <w:style w:type="character" w:customStyle="1" w:styleId="eop">
    <w:name w:val="eop"/>
    <w:basedOn w:val="Standardstycketeckensnitt"/>
    <w:rsid w:val="00772556"/>
  </w:style>
  <w:style w:type="paragraph" w:styleId="Normalwebb">
    <w:name w:val="Normal (Web)"/>
    <w:basedOn w:val="Normal"/>
    <w:uiPriority w:val="99"/>
    <w:unhideWhenUsed/>
    <w:rsid w:val="00772556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C147E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47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C147E0"/>
    <w:rPr>
      <w:color w:val="800080" w:themeColor="followedHyperlink"/>
      <w:u w:val="single"/>
    </w:rPr>
  </w:style>
  <w:style w:type="character" w:styleId="Betoning">
    <w:name w:val="Emphasis"/>
    <w:basedOn w:val="Standardstycketeckensnitt"/>
    <w:uiPriority w:val="20"/>
    <w:qFormat/>
    <w:rsid w:val="00137188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BC13E1"/>
    <w:pPr>
      <w:autoSpaceDE/>
      <w:autoSpaceDN/>
      <w:spacing w:line="240" w:lineRule="auto"/>
      <w:ind w:firstLine="0"/>
      <w:jc w:val="left"/>
    </w:pPr>
    <w:rPr>
      <w:rFonts w:ascii="Aptos" w:eastAsiaTheme="minorHAnsi" w:hAnsi="Aptos" w:cstheme="minorBidi"/>
      <w:kern w:val="2"/>
      <w:sz w:val="24"/>
      <w:szCs w:val="24"/>
      <w:lang w:val="en-US"/>
      <w14:ligatures w14:val="standardContextual"/>
    </w:rPr>
  </w:style>
  <w:style w:type="character" w:customStyle="1" w:styleId="EndNoteBibliographyChar">
    <w:name w:val="EndNote Bibliography Char"/>
    <w:basedOn w:val="Standardstycketeckensnitt"/>
    <w:link w:val="EndNoteBibliography"/>
    <w:rsid w:val="00BC13E1"/>
    <w:rPr>
      <w:rFonts w:ascii="Aptos" w:eastAsiaTheme="minorHAnsi" w:hAnsi="Aptos" w:cstheme="minorBidi"/>
      <w:kern w:val="2"/>
      <w:sz w:val="24"/>
      <w:szCs w:val="24"/>
      <w:lang w:val="en-US" w:eastAsia="en-US"/>
      <w14:ligatures w14:val="standardContextual"/>
    </w:rPr>
  </w:style>
  <w:style w:type="paragraph" w:styleId="Revision">
    <w:name w:val="Revision"/>
    <w:hidden/>
    <w:semiHidden/>
    <w:rsid w:val="000357F6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4115E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115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115EF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115E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115E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66195-7_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1858-023-01501-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4324/9781315105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319-66195-7_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4992</Characters>
  <Application>Microsoft Office Word</Application>
  <DocSecurity>0</DocSecurity>
  <Lines>78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2025-11-03T20:09:00Z</dcterms:created>
  <dcterms:modified xsi:type="dcterms:W3CDTF">2025-11-03T20:09:00Z</dcterms:modified>
  <cp:category/>
</cp:coreProperties>
</file>