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F19E" w14:textId="449F20AE" w:rsidR="005D73CD" w:rsidRPr="00766165" w:rsidRDefault="005D73CD" w:rsidP="00B24259">
      <w:pPr>
        <w:pStyle w:val="Rubrik1"/>
        <w:keepLines w:val="0"/>
        <w:autoSpaceDE w:val="0"/>
        <w:autoSpaceDN w:val="0"/>
        <w:spacing w:before="0" w:after="0" w:line="320" w:lineRule="atLeast"/>
        <w:jc w:val="center"/>
        <w:rPr>
          <w:rFonts w:ascii="Times New Roman" w:eastAsia="Times New Roman" w:hAnsi="Times New Roman" w:cs="Times New Roman"/>
          <w:color w:val="auto"/>
          <w:kern w:val="28"/>
          <w:sz w:val="44"/>
          <w:szCs w:val="32"/>
          <w:lang w:val="sv-SE"/>
          <w14:ligatures w14:val="none"/>
        </w:rPr>
      </w:pPr>
      <w:r w:rsidRPr="00766165">
        <w:rPr>
          <w:rFonts w:ascii="Times New Roman" w:eastAsia="Times New Roman" w:hAnsi="Times New Roman" w:cs="Times New Roman"/>
          <w:color w:val="auto"/>
          <w:kern w:val="28"/>
          <w:sz w:val="44"/>
          <w:szCs w:val="32"/>
          <w:lang w:val="sv-SE"/>
          <w14:ligatures w14:val="none"/>
        </w:rPr>
        <w:t xml:space="preserve">Att använda kollegiala samtal för att förbättra professionell </w:t>
      </w:r>
      <w:r w:rsidR="00E53776" w:rsidRPr="00766165">
        <w:rPr>
          <w:rFonts w:ascii="Times New Roman" w:eastAsia="Times New Roman" w:hAnsi="Times New Roman" w:cs="Times New Roman"/>
          <w:color w:val="auto"/>
          <w:kern w:val="28"/>
          <w:sz w:val="44"/>
          <w:szCs w:val="32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color w:val="auto"/>
          <w:kern w:val="28"/>
          <w:sz w:val="44"/>
          <w:szCs w:val="32"/>
          <w:lang w:val="sv-SE"/>
          <w14:ligatures w14:val="none"/>
        </w:rPr>
        <w:t xml:space="preserve"> i matematik</w:t>
      </w:r>
    </w:p>
    <w:p w14:paraId="5F01094B" w14:textId="4FE55B0B" w:rsidR="000D77CD" w:rsidRPr="007F60BA" w:rsidRDefault="000D77CD" w:rsidP="000D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sv-SE"/>
          <w14:ligatures w14:val="none"/>
        </w:rPr>
      </w:pPr>
      <w:r w:rsidRPr="007F60BA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sv-SE"/>
          <w14:ligatures w14:val="none"/>
        </w:rPr>
        <w:t>Sima Caspari-Sadeghi</w:t>
      </w:r>
    </w:p>
    <w:p w14:paraId="1833EF3A" w14:textId="77777777" w:rsidR="000D77CD" w:rsidRPr="007F60BA" w:rsidRDefault="000D77CD" w:rsidP="000D77CD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sv-SE"/>
          <w14:ligatures w14:val="none"/>
        </w:rPr>
      </w:pPr>
      <w:r w:rsidRPr="007F60BA">
        <w:rPr>
          <w:rFonts w:ascii="Times New Roman" w:eastAsia="SimSun" w:hAnsi="Times New Roman" w:cs="Times New Roman"/>
          <w:i/>
          <w:kern w:val="0"/>
          <w:sz w:val="24"/>
          <w:szCs w:val="24"/>
          <w:lang w:val="sv-SE"/>
          <w14:ligatures w14:val="none"/>
        </w:rPr>
        <w:t>Østfold University College</w:t>
      </w:r>
      <w:r w:rsidRPr="007F60BA">
        <w:rPr>
          <w:rFonts w:ascii="Times New Roman" w:eastAsia="SimSun" w:hAnsi="Times New Roman" w:cs="Times New Roman"/>
          <w:kern w:val="0"/>
          <w:sz w:val="24"/>
          <w:szCs w:val="24"/>
          <w:lang w:val="sv-SE"/>
          <w14:ligatures w14:val="none"/>
        </w:rPr>
        <w:t>, Halden, Norway</w:t>
      </w:r>
    </w:p>
    <w:p w14:paraId="4B76BF4F" w14:textId="77777777" w:rsidR="000D77CD" w:rsidRPr="007F60BA" w:rsidRDefault="000D77CD" w:rsidP="000D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sv-SE"/>
          <w14:ligatures w14:val="none"/>
        </w:rPr>
      </w:pPr>
      <w:r w:rsidRPr="007F60BA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sv-SE"/>
          <w14:ligatures w14:val="none"/>
        </w:rPr>
        <w:t>Johan Bredberg</w:t>
      </w:r>
    </w:p>
    <w:p w14:paraId="259629CB" w14:textId="655A0ED8" w:rsidR="000D77CD" w:rsidRPr="007F60BA" w:rsidRDefault="000D77CD" w:rsidP="000D77CD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sv-SE"/>
          <w14:ligatures w14:val="none"/>
        </w:rPr>
      </w:pPr>
      <w:r w:rsidRPr="007F60BA">
        <w:rPr>
          <w:rFonts w:ascii="Times New Roman" w:eastAsia="SimSun" w:hAnsi="Times New Roman" w:cs="Times New Roman"/>
          <w:i/>
          <w:kern w:val="0"/>
          <w:sz w:val="24"/>
          <w:szCs w:val="24"/>
          <w:lang w:val="sv-SE"/>
          <w14:ligatures w14:val="none"/>
        </w:rPr>
        <w:t>Østfold University</w:t>
      </w:r>
      <w:r w:rsidRPr="007F60BA">
        <w:rPr>
          <w:rFonts w:ascii="Times New Roman" w:eastAsia="SimSun" w:hAnsi="Times New Roman" w:cs="Times New Roman"/>
          <w:kern w:val="0"/>
          <w:sz w:val="24"/>
          <w:szCs w:val="24"/>
          <w:lang w:val="sv-SE"/>
          <w14:ligatures w14:val="none"/>
        </w:rPr>
        <w:t xml:space="preserve"> </w:t>
      </w:r>
      <w:r w:rsidRPr="007F60BA">
        <w:rPr>
          <w:rFonts w:ascii="Times New Roman" w:eastAsia="SimSun" w:hAnsi="Times New Roman" w:cs="Times New Roman"/>
          <w:i/>
          <w:kern w:val="0"/>
          <w:sz w:val="24"/>
          <w:szCs w:val="24"/>
          <w:lang w:val="sv-SE"/>
          <w14:ligatures w14:val="none"/>
        </w:rPr>
        <w:t>College</w:t>
      </w:r>
      <w:r w:rsidRPr="007F60BA">
        <w:rPr>
          <w:rFonts w:ascii="Times New Roman" w:eastAsia="SimSun" w:hAnsi="Times New Roman" w:cs="Times New Roman"/>
          <w:kern w:val="0"/>
          <w:sz w:val="24"/>
          <w:szCs w:val="24"/>
          <w:lang w:val="sv-SE"/>
          <w14:ligatures w14:val="none"/>
        </w:rPr>
        <w:t xml:space="preserve">, Norway </w:t>
      </w:r>
    </w:p>
    <w:p w14:paraId="5ABD9FC0" w14:textId="77777777" w:rsidR="000D77CD" w:rsidRPr="00980ADE" w:rsidRDefault="000D77CD" w:rsidP="00A5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en-GB"/>
          <w14:ligatures w14:val="none"/>
        </w:rPr>
      </w:pPr>
      <w:r w:rsidRPr="00980ADE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en-GB"/>
          <w14:ligatures w14:val="none"/>
        </w:rPr>
        <w:t>Brigitte Forster-Heinlein</w:t>
      </w:r>
    </w:p>
    <w:p w14:paraId="0890A4F5" w14:textId="4AA7EAC3" w:rsidR="000D77CD" w:rsidRPr="00065FD2" w:rsidRDefault="000D77CD" w:rsidP="000D77CD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</w:pPr>
      <w:r w:rsidRPr="00065FD2"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  <w:t>University of Passau, Germany</w:t>
      </w:r>
    </w:p>
    <w:p w14:paraId="311FFE99" w14:textId="77777777" w:rsidR="000D77CD" w:rsidRPr="00980ADE" w:rsidRDefault="000D77CD" w:rsidP="000D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en-GB"/>
          <w14:ligatures w14:val="none"/>
        </w:rPr>
      </w:pPr>
      <w:r w:rsidRPr="00980ADE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en-GB"/>
          <w14:ligatures w14:val="none"/>
        </w:rPr>
        <w:t>Moritz Proell</w:t>
      </w:r>
    </w:p>
    <w:p w14:paraId="3376FBE4" w14:textId="5FD4EDF8" w:rsidR="000D77CD" w:rsidRPr="00065FD2" w:rsidRDefault="000D77CD" w:rsidP="000D77CD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</w:pPr>
      <w:r w:rsidRPr="00065FD2"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  <w:t>University of Passau, Germany</w:t>
      </w:r>
    </w:p>
    <w:p w14:paraId="766E0841" w14:textId="77777777" w:rsidR="000D77CD" w:rsidRPr="00980ADE" w:rsidRDefault="000D77CD" w:rsidP="000D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en-GB"/>
          <w14:ligatures w14:val="none"/>
        </w:rPr>
      </w:pPr>
      <w:r w:rsidRPr="00980ADE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4"/>
          <w:lang w:val="en-GB"/>
          <w14:ligatures w14:val="none"/>
        </w:rPr>
        <w:t>Khaled Ben Latief Jemai</w:t>
      </w:r>
    </w:p>
    <w:p w14:paraId="763F8F56" w14:textId="6FAB72D4" w:rsidR="000D77CD" w:rsidRPr="00065FD2" w:rsidRDefault="000D77CD" w:rsidP="000D77CD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</w:pPr>
      <w:r w:rsidRPr="00065FD2">
        <w:rPr>
          <w:rFonts w:ascii="Times New Roman" w:eastAsia="SimSun" w:hAnsi="Times New Roman" w:cs="Times New Roman"/>
          <w:i/>
          <w:kern w:val="0"/>
          <w:sz w:val="24"/>
          <w:szCs w:val="24"/>
          <w:lang w:val="en-US"/>
          <w14:ligatures w14:val="none"/>
        </w:rPr>
        <w:t>Østfold University</w:t>
      </w:r>
      <w:r w:rsidRPr="00065FD2"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065FD2">
        <w:rPr>
          <w:rFonts w:ascii="Times New Roman" w:eastAsia="SimSu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College, </w:t>
      </w:r>
      <w:r w:rsidRPr="00065FD2"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  <w:t xml:space="preserve">Norway </w:t>
      </w:r>
    </w:p>
    <w:p w14:paraId="63185B19" w14:textId="11AC572B" w:rsidR="006F2F9E" w:rsidRPr="00F807FD" w:rsidRDefault="006F2F9E" w:rsidP="00A548D7">
      <w:pPr>
        <w:pStyle w:val="Brdtext"/>
        <w:rPr>
          <w:b/>
          <w:kern w:val="28"/>
          <w:sz w:val="28"/>
          <w:szCs w:val="32"/>
        </w:rPr>
      </w:pPr>
    </w:p>
    <w:p w14:paraId="5AE0B974" w14:textId="367C17E7" w:rsidR="007F3A78" w:rsidRPr="00766165" w:rsidRDefault="007F3A78" w:rsidP="001B0E69">
      <w:pPr>
        <w:spacing w:after="0"/>
        <w:jc w:val="both"/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</w:pP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Denna presentation ger en översikt </w:t>
      </w:r>
      <w:r w:rsidR="00B37E64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över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ett internationellt samarbetsprojekt som syftar till att stärka professionell </w:t>
      </w:r>
      <w:r w:rsidR="00E53776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i matematik. Inom utbildning syftar professionell </w:t>
      </w:r>
      <w:r w:rsidR="00E53776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på använd</w:t>
      </w:r>
      <w:r w:rsidR="00FD7526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andet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av kunskap, färdigheter, erfarenhet eller </w:t>
      </w:r>
      <w:r w:rsidR="00512721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intuition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för att uppfatta och utvärdera kvalitet, styrkor och svagheter i studenters arbeten. </w:t>
      </w:r>
      <w:r w:rsidR="00E53776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är den grundläggande basen för lärares pedagogiska beslut och handlingar i klassrummet (</w:t>
      </w:r>
      <w:proofErr w:type="spellStart"/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Poskitt</w:t>
      </w:r>
      <w:proofErr w:type="spellEnd"/>
      <w:r w:rsidR="00465F4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&amp;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Mitchell, 2012). Trots att det finns omfattande forskning om professionell </w:t>
      </w:r>
      <w:r w:rsidR="00E53776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bland lärare i grund- och gymnasieskolan, saknas det i stor utsträckning empiriska studier som undersöker hur universitetslärare i matematik bedömer studenters matematiska resonemang och prestationer.</w:t>
      </w:r>
      <w:r w:rsidR="00226FDD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</w:t>
      </w:r>
      <w:r w:rsidR="004955FA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Med hjälp av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teoretiska ramverk </w:t>
      </w:r>
      <w:r w:rsidR="00445662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för 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lärares bedömningskompetens (Xu </w:t>
      </w:r>
      <w:r w:rsidR="00465F45" w:rsidRPr="00465F4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&amp;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Brown, 2016) samt </w:t>
      </w:r>
      <w:r w:rsidR="008002D3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s- och beslutsfattandeprocesser (</w:t>
      </w:r>
      <w:proofErr w:type="spellStart"/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Borko</w:t>
      </w:r>
      <w:proofErr w:type="spellEnd"/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et al., 2008), adresserar denna studie de</w:t>
      </w:r>
      <w:r w:rsidR="004955FA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nn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a forsknings</w:t>
      </w:r>
      <w:r w:rsidR="00D905C4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lucka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genom:</w:t>
      </w:r>
      <w:r w:rsidR="004B5D98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(a) ett deltagarbaserat kompetensutvecklingsinitiativ som </w:t>
      </w:r>
      <w:r w:rsidR="00D905C4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främja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r tillförlitlig och konsekvent </w:t>
      </w:r>
      <w:r w:rsidR="003123C8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genom modererade, strukturerade matematiska samtal mellan kollegor, samt</w:t>
      </w:r>
      <w:r w:rsidR="004B5D98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(b) en undersökning av vilka utmaningar lärare möter när de bedömer studentarbeten i matematik.</w:t>
      </w:r>
      <w:r w:rsidR="00577CD0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Genom att betona samarbete och dialog mellan matematiker främjar projektet kommunikativa </w:t>
      </w:r>
      <w:r w:rsidR="001811F1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praxis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som kan stärka kvaliteten på professionell </w:t>
      </w:r>
      <w:r w:rsidR="003123C8"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bedömning</w:t>
      </w:r>
      <w:r w:rsidRPr="00766165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i matematikundervisningen.</w:t>
      </w:r>
    </w:p>
    <w:p w14:paraId="5BFEB577" w14:textId="77777777" w:rsidR="00A917BC" w:rsidRPr="007F3A78" w:rsidRDefault="00A917BC" w:rsidP="001B0E69">
      <w:pPr>
        <w:pStyle w:val="Liststycke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7AF3D363" w14:textId="0C98186A" w:rsidR="00EF6E28" w:rsidRPr="00F807FD" w:rsidRDefault="00EF6E28" w:rsidP="009B2B7B">
      <w:pPr>
        <w:pStyle w:val="Brdtext"/>
        <w:rPr>
          <w:b/>
          <w:kern w:val="28"/>
          <w:sz w:val="28"/>
          <w:szCs w:val="32"/>
        </w:rPr>
      </w:pPr>
      <w:r w:rsidRPr="00F807FD">
        <w:rPr>
          <w:b/>
          <w:kern w:val="28"/>
          <w:sz w:val="28"/>
          <w:szCs w:val="32"/>
        </w:rPr>
        <w:t>Metod</w:t>
      </w:r>
    </w:p>
    <w:p w14:paraId="36B23369" w14:textId="357DF6A4" w:rsidR="00104389" w:rsidRPr="00104389" w:rsidRDefault="00104389" w:rsidP="00852B9B">
      <w:pPr>
        <w:spacing w:after="0"/>
        <w:jc w:val="both"/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</w:pPr>
      <w:r w:rsidRPr="0010438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Studien genomfördes under en period av 18 månader och involverade fyra universitetslärare med specialisering inom tillämpad och teoretisk matematik. Dessa undervisade grundkurser i komplex analys, statistik och talteori vid två högre utbildningsinstitutioner i Norge och Tyskland.</w:t>
      </w:r>
      <w:r w:rsidR="00654840" w:rsidRPr="00654840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</w:t>
      </w:r>
      <w:r w:rsidRPr="0010438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Studien genomfördes i två faser. I den första fasen utvecklade lärarna gemensamt bedömningsverktyg, såsom bedömningsmatriser och exempelarbeten, i syfte att stödja e</w:t>
      </w:r>
      <w:r w:rsidR="003123C8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n</w:t>
      </w:r>
      <w:r w:rsidRPr="0010438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konsekvent och transparent professionell </w:t>
      </w:r>
      <w:r w:rsidR="003123C8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bedömning</w:t>
      </w:r>
      <w:r w:rsidRPr="0010438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. De förde samtal för att etablera gemensamma kriterier och standarder för att bedöma studenters matematiska arbeten. I den andra fasen använde lärarna dessa matriser för att analysera studentarbeten tillsammans med kollegor i strukturerade samtal som främja</w:t>
      </w:r>
      <w:r w:rsidR="00230C17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r</w:t>
      </w:r>
      <w:r w:rsidRPr="0010438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reflektion. Data om professionell </w:t>
      </w:r>
      <w:r w:rsidR="003019D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bedömning</w:t>
      </w:r>
      <w:r w:rsidRPr="0010438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och beslutsfattande samlades in från tre källor:</w:t>
      </w:r>
    </w:p>
    <w:p w14:paraId="6D6B1D35" w14:textId="3C6BC38D" w:rsidR="00104389" w:rsidRPr="00F52862" w:rsidRDefault="00104389" w:rsidP="00852B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</w:pP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lastRenderedPageBreak/>
        <w:t>(a) Tänk</w:t>
      </w:r>
      <w:r w:rsidR="00230C17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a</w:t>
      </w: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-högt-protokoll: Lärarna arbetade i par och verbaliserade sina tankar och resonemang medan de bedömde studenters arbeten. De motiverade sina bedömningar med hänvisning till matrisen. Om samsynen mellan två bedömare var otillräcklig, tillkallades en tredje.</w:t>
      </w:r>
    </w:p>
    <w:p w14:paraId="414C60D5" w14:textId="63C6E000" w:rsidR="00104389" w:rsidRPr="00F52862" w:rsidRDefault="00104389" w:rsidP="00852B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</w:pP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(b) Kognitiv</w:t>
      </w:r>
      <w:r w:rsidR="00230C17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a</w:t>
      </w: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kommentar</w:t>
      </w:r>
      <w:r w:rsidR="00230C17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er</w:t>
      </w: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: En kognitiv kommentar hjälper till att synliggöra lärares tänkande och professionella </w:t>
      </w:r>
      <w:r w:rsidR="003019D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bedömning</w:t>
      </w: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, som ofta är implicit och osynlig (Wyatt‐Smith, </w:t>
      </w:r>
      <w:r w:rsidR="00C30719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et al., </w:t>
      </w: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2024). Lärarna skrev ned sina resonemang och motiverade de poäng de tilldelade.</w:t>
      </w:r>
    </w:p>
    <w:p w14:paraId="62F6C103" w14:textId="5F61A083" w:rsidR="00220289" w:rsidRDefault="00220289" w:rsidP="00852B9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</w:pP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(c) Fokusgrupp: De deltagande lärarna ombads att reflektera över vilka utmaningar de mött under bedömningspraktiken, utifrån styrande frågor. Fokusgrupp</w:t>
      </w:r>
      <w:r w:rsidR="003573F6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>-intervjun</w:t>
      </w:r>
      <w:r w:rsidRPr="00F52862"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  <w:t xml:space="preserve"> (90 minuter) spelades in och transkriberades ordagrant med ett automatiskt transkriptionsverktyg.</w:t>
      </w:r>
    </w:p>
    <w:p w14:paraId="272C0D01" w14:textId="77777777" w:rsidR="00852B9B" w:rsidRPr="00F52862" w:rsidRDefault="00852B9B" w:rsidP="00852B9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sv-SE"/>
          <w14:ligatures w14:val="none"/>
        </w:rPr>
      </w:pPr>
    </w:p>
    <w:p w14:paraId="79188831" w14:textId="4B5D960D" w:rsidR="007B6EE8" w:rsidRPr="009B2B7B" w:rsidRDefault="007B6EE8" w:rsidP="009B2B7B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val="sv-SE"/>
          <w14:ligatures w14:val="none"/>
        </w:rPr>
      </w:pPr>
      <w:r w:rsidRPr="009B2B7B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val="sv-SE"/>
          <w14:ligatures w14:val="none"/>
        </w:rPr>
        <w:t xml:space="preserve">Resultat och </w:t>
      </w:r>
      <w:r w:rsidR="003573F6" w:rsidRPr="009B2B7B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val="sv-SE"/>
          <w14:ligatures w14:val="none"/>
        </w:rPr>
        <w:t>d</w:t>
      </w:r>
      <w:r w:rsidRPr="009B2B7B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val="sv-SE"/>
          <w14:ligatures w14:val="none"/>
        </w:rPr>
        <w:t>iskussion</w:t>
      </w:r>
    </w:p>
    <w:p w14:paraId="7EA83DBB" w14:textId="7DD2DA44" w:rsidR="00545CE0" w:rsidRPr="00683528" w:rsidRDefault="00FA2F94" w:rsidP="00383310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</w:pP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Analys av de olika datakällorna visade att lärarnas professionella </w:t>
      </w:r>
      <w:r w:rsidR="003019D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bedömningar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i hög grad är kontextberoende och </w:t>
      </w:r>
      <w:proofErr w:type="spellStart"/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ämnesspecifikt</w:t>
      </w:r>
      <w:r w:rsidR="00030ED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at</w:t>
      </w:r>
      <w:proofErr w:type="spellEnd"/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. Deras bedömningar formades genom kontinuerliga kompromisser och förhandlingar mellan personliga övertygelser och ämnesdidaktisk kunskap (t.ex. kännedom om kursplaner, förväntad lärandeprogression och studentprofiler).</w:t>
      </w:r>
      <w:r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Dessa resultat överensstämmer med tidigare forskning om </w:t>
      </w:r>
      <w:r w:rsidR="00AB4F80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att </w:t>
      </w:r>
      <w:r w:rsidR="00AB4F80"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professionell </w:t>
      </w:r>
      <w:r w:rsidR="00AB4F80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bedömning</w:t>
      </w:r>
      <w:r w:rsidR="00AB4F80"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</w:t>
      </w:r>
      <w:r w:rsidR="00AB4F80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till sin</w:t>
      </w:r>
      <w:r w:rsidR="00F64D9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natur är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adapti</w:t>
      </w:r>
      <w:r w:rsidR="00F64D9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v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och situationsbaserad</w:t>
      </w:r>
      <w:r w:rsidR="00F64D9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,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och betonar värdet av strukturerade samtal med fokus på matematik för att öka träffsäkerheten i </w:t>
      </w:r>
      <w:r w:rsidR="00F64D9E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bedömning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. Studien </w:t>
      </w:r>
      <w:r w:rsidR="003573F6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belyser</w:t>
      </w:r>
      <w:r w:rsidRPr="00005C13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behovet av skräddarsydd, evidensbaserad kompetensutveckling som bygger på kollegiala samtal för att stödja universitetslärare i att vidareutveckla sina professionella bedömningar och beslut</w:t>
      </w:r>
      <w:r w:rsidR="00383310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 xml:space="preserve"> (</w:t>
      </w:r>
      <w:r w:rsidR="0079594D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d</w:t>
      </w:r>
      <w:r w:rsidR="00545CE0" w:rsidRPr="00683528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et bör noteras att matematiklärarna också involverade sina studenter i att diskutera kvalitetskriterier i både bedömningsmatris och exempel, men i denna presentation fokuserar vi på lärarnas uppfattningar och utvärdering av kvalitetskriterier genom kollegiala diskussioner</w:t>
      </w:r>
      <w:r w:rsidR="00683528" w:rsidRPr="00683528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)</w:t>
      </w:r>
      <w:r w:rsidR="00545CE0" w:rsidRPr="00683528">
        <w:rPr>
          <w:rFonts w:ascii="Times New Roman" w:eastAsia="Times New Roman" w:hAnsi="Times New Roman" w:cs="Times New Roman"/>
          <w:bCs/>
          <w:kern w:val="0"/>
          <w:sz w:val="26"/>
          <w:szCs w:val="28"/>
          <w:lang w:val="sv-SE"/>
          <w14:ligatures w14:val="none"/>
        </w:rPr>
        <w:t>.</w:t>
      </w:r>
    </w:p>
    <w:p w14:paraId="7F1ECE5A" w14:textId="77777777" w:rsidR="00D87C01" w:rsidRPr="00D87C01" w:rsidRDefault="00D87C01" w:rsidP="00852B9B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v-SE"/>
          <w14:ligatures w14:val="none"/>
        </w:rPr>
      </w:pPr>
    </w:p>
    <w:p w14:paraId="2D392768" w14:textId="77777777" w:rsidR="009760C9" w:rsidRPr="009B2B7B" w:rsidRDefault="009760C9" w:rsidP="009B2B7B">
      <w:pPr>
        <w:spacing w:after="0" w:line="276" w:lineRule="auto"/>
        <w:rPr>
          <w:rFonts w:ascii="Times New Roman" w:eastAsia="Times New Roman" w:hAnsi="Times New Roman" w:cs="Times New Roman"/>
          <w:b/>
          <w:kern w:val="28"/>
          <w:sz w:val="28"/>
          <w:szCs w:val="32"/>
          <w:lang w:val="en-GB"/>
          <w14:ligatures w14:val="none"/>
        </w:rPr>
      </w:pPr>
      <w:proofErr w:type="spellStart"/>
      <w:r w:rsidRPr="009B2B7B">
        <w:rPr>
          <w:rFonts w:ascii="Times New Roman" w:eastAsia="Times New Roman" w:hAnsi="Times New Roman" w:cs="Times New Roman"/>
          <w:b/>
          <w:kern w:val="28"/>
          <w:sz w:val="28"/>
          <w:szCs w:val="32"/>
          <w:lang w:val="en-GB"/>
          <w14:ligatures w14:val="none"/>
        </w:rPr>
        <w:t>Referenser</w:t>
      </w:r>
      <w:proofErr w:type="spellEnd"/>
    </w:p>
    <w:p w14:paraId="0287FDC9" w14:textId="34452DA5" w:rsidR="009374CB" w:rsidRPr="009374CB" w:rsidRDefault="009374CB" w:rsidP="009959CE">
      <w:pPr>
        <w:pStyle w:val="References"/>
        <w:jc w:val="left"/>
      </w:pPr>
      <w:r w:rsidRPr="009374CB">
        <w:t>Borko, H., Roberts, S. A., &amp; Shavelson, R. (2008). Teachers' decision making: From</w:t>
      </w:r>
      <w:r>
        <w:t xml:space="preserve"> </w:t>
      </w:r>
      <w:r w:rsidR="00C6762C">
        <w:t>A</w:t>
      </w:r>
      <w:r w:rsidRPr="009374CB">
        <w:t xml:space="preserve">lan J. Bishop to today. In P. Clarkson, &amp; N. </w:t>
      </w:r>
      <w:proofErr w:type="spellStart"/>
      <w:r w:rsidRPr="009374CB">
        <w:t>Presmeg</w:t>
      </w:r>
      <w:proofErr w:type="spellEnd"/>
      <w:r w:rsidRPr="009374CB">
        <w:t xml:space="preserve"> (Eds.), </w:t>
      </w:r>
      <w:r w:rsidRPr="00DB6AB0">
        <w:rPr>
          <w:i/>
          <w:iCs/>
        </w:rPr>
        <w:t>Critical issues in mathematics</w:t>
      </w:r>
      <w:r w:rsidR="00460203" w:rsidRPr="00DB6AB0">
        <w:rPr>
          <w:i/>
          <w:iCs/>
        </w:rPr>
        <w:t xml:space="preserve"> </w:t>
      </w:r>
      <w:r w:rsidRPr="00DB6AB0">
        <w:rPr>
          <w:i/>
          <w:iCs/>
        </w:rPr>
        <w:t>education. Major contributions of Alan Bishop</w:t>
      </w:r>
      <w:r w:rsidRPr="009374CB">
        <w:t xml:space="preserve"> (pp. 37e67).</w:t>
      </w:r>
      <w:r w:rsidR="00D11DCC">
        <w:t xml:space="preserve"> </w:t>
      </w:r>
      <w:r w:rsidRPr="009374CB">
        <w:t>Springe</w:t>
      </w:r>
      <w:r w:rsidR="002A6B6B">
        <w:t>r</w:t>
      </w:r>
      <w:r w:rsidRPr="009374CB">
        <w:t>.</w:t>
      </w:r>
    </w:p>
    <w:p w14:paraId="534C8DB9" w14:textId="77777777" w:rsidR="007F60BA" w:rsidRDefault="007F60BA" w:rsidP="009959CE">
      <w:pPr>
        <w:spacing w:after="0"/>
        <w:ind w:left="284" w:hanging="284"/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</w:pPr>
      <w:r w:rsidRPr="007F60BA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Poskitt, J., &amp; Mitchell, K. (2012). New Zealand teachers’ overall teacher judgements (OTJs): Equivocal or unequivocal? </w:t>
      </w:r>
      <w:r w:rsidRPr="00E96F6A">
        <w:rPr>
          <w:rFonts w:ascii="Times New Roman" w:eastAsia="Times New Roman" w:hAnsi="Times New Roman" w:cs="Times New Roman"/>
          <w:i/>
          <w:iCs/>
          <w:kern w:val="0"/>
          <w:sz w:val="24"/>
          <w:szCs w:val="28"/>
          <w:lang w:val="en-GB"/>
          <w14:ligatures w14:val="none"/>
        </w:rPr>
        <w:t>Assessment Matters</w:t>
      </w:r>
      <w:r w:rsidRPr="007F60BA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, </w:t>
      </w:r>
      <w:r w:rsidRPr="003906F9">
        <w:rPr>
          <w:rFonts w:ascii="Times New Roman" w:eastAsia="Times New Roman" w:hAnsi="Times New Roman" w:cs="Times New Roman"/>
          <w:i/>
          <w:iCs/>
          <w:kern w:val="0"/>
          <w:sz w:val="24"/>
          <w:szCs w:val="28"/>
          <w:lang w:val="en-GB"/>
          <w14:ligatures w14:val="none"/>
        </w:rPr>
        <w:t>4</w:t>
      </w:r>
      <w:r w:rsidRPr="007F60BA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>, 53–75.</w:t>
      </w:r>
    </w:p>
    <w:p w14:paraId="31F3566C" w14:textId="36426936" w:rsidR="00DE4854" w:rsidRDefault="00F80E16" w:rsidP="009959CE">
      <w:pPr>
        <w:spacing w:after="0"/>
        <w:ind w:left="284" w:hanging="284"/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</w:pPr>
      <w:r w:rsidRPr="003F0F02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Wyatt-Smith, C., Adie, L. E., &amp; Harris, L. (2024). Supporting teacher judgement and decision-making: Using focused analysis to help teachers see students, learning, and quality in assessment data. </w:t>
      </w:r>
      <w:r w:rsidRPr="00E96F6A">
        <w:rPr>
          <w:rFonts w:ascii="Times New Roman" w:eastAsia="Times New Roman" w:hAnsi="Times New Roman" w:cs="Times New Roman"/>
          <w:i/>
          <w:iCs/>
          <w:kern w:val="0"/>
          <w:sz w:val="24"/>
          <w:szCs w:val="28"/>
          <w:lang w:val="en-GB"/>
          <w14:ligatures w14:val="none"/>
        </w:rPr>
        <w:t xml:space="preserve">British Educational Research </w:t>
      </w:r>
      <w:r w:rsidRPr="003906F9">
        <w:rPr>
          <w:rFonts w:ascii="Times New Roman" w:eastAsia="Times New Roman" w:hAnsi="Times New Roman" w:cs="Times New Roman"/>
          <w:i/>
          <w:iCs/>
          <w:kern w:val="0"/>
          <w:sz w:val="24"/>
          <w:szCs w:val="28"/>
          <w:lang w:val="en-GB"/>
          <w14:ligatures w14:val="none"/>
        </w:rPr>
        <w:t>Journal, 50</w:t>
      </w:r>
      <w:r w:rsidRPr="003F0F02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(3), 1420–1448. </w:t>
      </w:r>
      <w:hyperlink r:id="rId5" w:history="1">
        <w:r w:rsidR="00F96C96" w:rsidRPr="00436795">
          <w:rPr>
            <w:rStyle w:val="Hyperlnk"/>
            <w:rFonts w:ascii="Times New Roman" w:eastAsia="Times New Roman" w:hAnsi="Times New Roman" w:cs="Times New Roman"/>
            <w:kern w:val="0"/>
            <w:sz w:val="24"/>
            <w:szCs w:val="28"/>
            <w:lang w:val="en-GB"/>
            <w14:ligatures w14:val="none"/>
          </w:rPr>
          <w:t>https://doi.org/10.1002/berj.3984</w:t>
        </w:r>
      </w:hyperlink>
      <w:r w:rsidRPr="003F0F02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>.</w:t>
      </w:r>
    </w:p>
    <w:p w14:paraId="69347B41" w14:textId="4064F31B" w:rsidR="00E25EF0" w:rsidRPr="003F0F02" w:rsidRDefault="00F96C96" w:rsidP="000B5131">
      <w:pPr>
        <w:spacing w:after="0"/>
        <w:ind w:left="284" w:hanging="284"/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</w:pPr>
      <w:r w:rsidRPr="00F96C96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Xu, Y., &amp; Brown, G. T. L. (2016). Teacher Assessment Literacy in Practice: A Reconceptualization. </w:t>
      </w:r>
      <w:r w:rsidRPr="00E96F6A">
        <w:rPr>
          <w:rFonts w:ascii="Times New Roman" w:eastAsia="Times New Roman" w:hAnsi="Times New Roman" w:cs="Times New Roman"/>
          <w:i/>
          <w:iCs/>
          <w:kern w:val="0"/>
          <w:sz w:val="24"/>
          <w:szCs w:val="28"/>
          <w:lang w:val="en-GB"/>
          <w14:ligatures w14:val="none"/>
        </w:rPr>
        <w:t>Teaching and Teacher Education</w:t>
      </w:r>
      <w:r w:rsidRPr="00F96C96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, </w:t>
      </w:r>
      <w:r w:rsidRPr="003906F9">
        <w:rPr>
          <w:rFonts w:ascii="Times New Roman" w:eastAsia="Times New Roman" w:hAnsi="Times New Roman" w:cs="Times New Roman"/>
          <w:i/>
          <w:iCs/>
          <w:kern w:val="0"/>
          <w:sz w:val="24"/>
          <w:szCs w:val="28"/>
          <w:lang w:val="en-GB"/>
          <w14:ligatures w14:val="none"/>
        </w:rPr>
        <w:t>58</w:t>
      </w:r>
      <w:r w:rsidRPr="00F96C96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>, 149-162.</w:t>
      </w:r>
      <w:r w:rsidR="00465F45">
        <w:rPr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 xml:space="preserve"> </w:t>
      </w:r>
      <w:r w:rsidR="00E25EF0">
        <w:fldChar w:fldCharType="begin"/>
      </w:r>
      <w:r w:rsidR="00E25EF0">
        <w:instrText>HYPERLINK "https://doi.org/10.1016/j.tate.2016.05.010"</w:instrText>
      </w:r>
      <w:r w:rsidR="00E25EF0">
        <w:fldChar w:fldCharType="separate"/>
      </w:r>
      <w:r w:rsidR="00E25EF0" w:rsidRPr="00436795">
        <w:rPr>
          <w:rStyle w:val="Hyperlnk"/>
          <w:rFonts w:ascii="Times New Roman" w:eastAsia="Times New Roman" w:hAnsi="Times New Roman" w:cs="Times New Roman"/>
          <w:kern w:val="0"/>
          <w:sz w:val="24"/>
          <w:szCs w:val="28"/>
          <w:lang w:val="en-GB"/>
          <w14:ligatures w14:val="none"/>
        </w:rPr>
        <w:t>https://doi.org/10.1016/j.tate.2016.05.010</w:t>
      </w:r>
      <w:r w:rsidR="00E25EF0">
        <w:fldChar w:fldCharType="end"/>
      </w:r>
    </w:p>
    <w:sectPr w:rsidR="00E25EF0" w:rsidRPr="003F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B98"/>
    <w:multiLevelType w:val="hybridMultilevel"/>
    <w:tmpl w:val="8D5EBEBE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A249E"/>
    <w:multiLevelType w:val="multilevel"/>
    <w:tmpl w:val="B7360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6322EB"/>
    <w:multiLevelType w:val="hybridMultilevel"/>
    <w:tmpl w:val="F0FC8FB4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2017">
    <w:abstractNumId w:val="1"/>
  </w:num>
  <w:num w:numId="2" w16cid:durableId="1673751575">
    <w:abstractNumId w:val="2"/>
  </w:num>
  <w:num w:numId="3" w16cid:durableId="208787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21"/>
    <w:rsid w:val="00011018"/>
    <w:rsid w:val="00023DBB"/>
    <w:rsid w:val="00030EDE"/>
    <w:rsid w:val="00060330"/>
    <w:rsid w:val="00076721"/>
    <w:rsid w:val="00083915"/>
    <w:rsid w:val="0008761D"/>
    <w:rsid w:val="0009111A"/>
    <w:rsid w:val="000921DF"/>
    <w:rsid w:val="0009466E"/>
    <w:rsid w:val="000A3330"/>
    <w:rsid w:val="000B1804"/>
    <w:rsid w:val="000B5131"/>
    <w:rsid w:val="000B75B5"/>
    <w:rsid w:val="000C21DA"/>
    <w:rsid w:val="000D3764"/>
    <w:rsid w:val="000D77CD"/>
    <w:rsid w:val="000E7340"/>
    <w:rsid w:val="000F599C"/>
    <w:rsid w:val="00100102"/>
    <w:rsid w:val="0010230F"/>
    <w:rsid w:val="00104389"/>
    <w:rsid w:val="0010612F"/>
    <w:rsid w:val="00126842"/>
    <w:rsid w:val="001353A9"/>
    <w:rsid w:val="001419E6"/>
    <w:rsid w:val="0015310C"/>
    <w:rsid w:val="001631CA"/>
    <w:rsid w:val="00176B4D"/>
    <w:rsid w:val="001811F1"/>
    <w:rsid w:val="001A42A1"/>
    <w:rsid w:val="001B0E69"/>
    <w:rsid w:val="001B2674"/>
    <w:rsid w:val="001D3EB4"/>
    <w:rsid w:val="001F012E"/>
    <w:rsid w:val="001F2184"/>
    <w:rsid w:val="001F574C"/>
    <w:rsid w:val="00206E8D"/>
    <w:rsid w:val="002118B1"/>
    <w:rsid w:val="00220289"/>
    <w:rsid w:val="00226FDD"/>
    <w:rsid w:val="00230C17"/>
    <w:rsid w:val="00243728"/>
    <w:rsid w:val="00252638"/>
    <w:rsid w:val="002A6B6B"/>
    <w:rsid w:val="002D73FE"/>
    <w:rsid w:val="002E2387"/>
    <w:rsid w:val="002F50CA"/>
    <w:rsid w:val="002F62D4"/>
    <w:rsid w:val="003019DE"/>
    <w:rsid w:val="00301BCB"/>
    <w:rsid w:val="00306065"/>
    <w:rsid w:val="003123C8"/>
    <w:rsid w:val="00315AED"/>
    <w:rsid w:val="003573F6"/>
    <w:rsid w:val="003808FD"/>
    <w:rsid w:val="00383310"/>
    <w:rsid w:val="0038740D"/>
    <w:rsid w:val="003906F9"/>
    <w:rsid w:val="00393745"/>
    <w:rsid w:val="003A0332"/>
    <w:rsid w:val="003A34E3"/>
    <w:rsid w:val="003A551C"/>
    <w:rsid w:val="003D1597"/>
    <w:rsid w:val="003F0813"/>
    <w:rsid w:val="003F0F02"/>
    <w:rsid w:val="003F1334"/>
    <w:rsid w:val="00412234"/>
    <w:rsid w:val="00424D40"/>
    <w:rsid w:val="004403CF"/>
    <w:rsid w:val="00445662"/>
    <w:rsid w:val="00460203"/>
    <w:rsid w:val="00465F45"/>
    <w:rsid w:val="004955FA"/>
    <w:rsid w:val="004966F3"/>
    <w:rsid w:val="004A2473"/>
    <w:rsid w:val="004A2607"/>
    <w:rsid w:val="004A291A"/>
    <w:rsid w:val="004A3867"/>
    <w:rsid w:val="004B5D98"/>
    <w:rsid w:val="004B5FBA"/>
    <w:rsid w:val="004B631F"/>
    <w:rsid w:val="004E0E07"/>
    <w:rsid w:val="004F137A"/>
    <w:rsid w:val="00512721"/>
    <w:rsid w:val="005155B3"/>
    <w:rsid w:val="005416B5"/>
    <w:rsid w:val="00542B99"/>
    <w:rsid w:val="005435E9"/>
    <w:rsid w:val="0054466C"/>
    <w:rsid w:val="00545CE0"/>
    <w:rsid w:val="0055370E"/>
    <w:rsid w:val="00566287"/>
    <w:rsid w:val="00567230"/>
    <w:rsid w:val="005703D7"/>
    <w:rsid w:val="00570A4F"/>
    <w:rsid w:val="005711FF"/>
    <w:rsid w:val="00577CD0"/>
    <w:rsid w:val="005952E3"/>
    <w:rsid w:val="00595F1B"/>
    <w:rsid w:val="005D2F25"/>
    <w:rsid w:val="005D5ECD"/>
    <w:rsid w:val="005D73CD"/>
    <w:rsid w:val="005F1801"/>
    <w:rsid w:val="005F5130"/>
    <w:rsid w:val="006357BB"/>
    <w:rsid w:val="00643472"/>
    <w:rsid w:val="00654840"/>
    <w:rsid w:val="0065781E"/>
    <w:rsid w:val="0067313A"/>
    <w:rsid w:val="00677151"/>
    <w:rsid w:val="00680A6A"/>
    <w:rsid w:val="00683528"/>
    <w:rsid w:val="006852F1"/>
    <w:rsid w:val="00693EB6"/>
    <w:rsid w:val="006A6FC5"/>
    <w:rsid w:val="006B231F"/>
    <w:rsid w:val="006D1EB5"/>
    <w:rsid w:val="006D50D2"/>
    <w:rsid w:val="006D632C"/>
    <w:rsid w:val="006D67F0"/>
    <w:rsid w:val="006E76AF"/>
    <w:rsid w:val="006F2F9E"/>
    <w:rsid w:val="00705B3B"/>
    <w:rsid w:val="00717653"/>
    <w:rsid w:val="00765490"/>
    <w:rsid w:val="00766165"/>
    <w:rsid w:val="007758A4"/>
    <w:rsid w:val="00777816"/>
    <w:rsid w:val="0079594D"/>
    <w:rsid w:val="0079639F"/>
    <w:rsid w:val="00797F74"/>
    <w:rsid w:val="007B6EE8"/>
    <w:rsid w:val="007F299D"/>
    <w:rsid w:val="007F3A78"/>
    <w:rsid w:val="007F60BA"/>
    <w:rsid w:val="007F7E2C"/>
    <w:rsid w:val="008002D3"/>
    <w:rsid w:val="00804733"/>
    <w:rsid w:val="00821A5B"/>
    <w:rsid w:val="00827B86"/>
    <w:rsid w:val="008478B1"/>
    <w:rsid w:val="00852B9B"/>
    <w:rsid w:val="00893588"/>
    <w:rsid w:val="008A0B50"/>
    <w:rsid w:val="008B027F"/>
    <w:rsid w:val="008B06E2"/>
    <w:rsid w:val="008B6C25"/>
    <w:rsid w:val="008C0769"/>
    <w:rsid w:val="008C0A0D"/>
    <w:rsid w:val="008C0AA1"/>
    <w:rsid w:val="008E0885"/>
    <w:rsid w:val="008E6464"/>
    <w:rsid w:val="008F02C6"/>
    <w:rsid w:val="00907BB3"/>
    <w:rsid w:val="009374CB"/>
    <w:rsid w:val="009537E3"/>
    <w:rsid w:val="00962064"/>
    <w:rsid w:val="00965E35"/>
    <w:rsid w:val="009712E7"/>
    <w:rsid w:val="009760C9"/>
    <w:rsid w:val="00980ADE"/>
    <w:rsid w:val="00991B1E"/>
    <w:rsid w:val="009959CE"/>
    <w:rsid w:val="009A7B9A"/>
    <w:rsid w:val="009B2B7B"/>
    <w:rsid w:val="009B6250"/>
    <w:rsid w:val="009C3AA2"/>
    <w:rsid w:val="009E484E"/>
    <w:rsid w:val="009F7B52"/>
    <w:rsid w:val="00A1138F"/>
    <w:rsid w:val="00A20178"/>
    <w:rsid w:val="00A241FE"/>
    <w:rsid w:val="00A31192"/>
    <w:rsid w:val="00A466D1"/>
    <w:rsid w:val="00A548D7"/>
    <w:rsid w:val="00A757F8"/>
    <w:rsid w:val="00A917BC"/>
    <w:rsid w:val="00AA21C6"/>
    <w:rsid w:val="00AB4F80"/>
    <w:rsid w:val="00AD3D73"/>
    <w:rsid w:val="00AD5059"/>
    <w:rsid w:val="00AD5D5E"/>
    <w:rsid w:val="00AE313F"/>
    <w:rsid w:val="00AE6F5C"/>
    <w:rsid w:val="00AF386B"/>
    <w:rsid w:val="00B05D22"/>
    <w:rsid w:val="00B060FA"/>
    <w:rsid w:val="00B1191D"/>
    <w:rsid w:val="00B24259"/>
    <w:rsid w:val="00B37E64"/>
    <w:rsid w:val="00B4414A"/>
    <w:rsid w:val="00B536DD"/>
    <w:rsid w:val="00B65ABA"/>
    <w:rsid w:val="00B67E72"/>
    <w:rsid w:val="00B77CFF"/>
    <w:rsid w:val="00B93331"/>
    <w:rsid w:val="00BA421F"/>
    <w:rsid w:val="00BA63A4"/>
    <w:rsid w:val="00BB1BA3"/>
    <w:rsid w:val="00BB6444"/>
    <w:rsid w:val="00BC051B"/>
    <w:rsid w:val="00BE0438"/>
    <w:rsid w:val="00BF0DAD"/>
    <w:rsid w:val="00C11094"/>
    <w:rsid w:val="00C14B42"/>
    <w:rsid w:val="00C2332E"/>
    <w:rsid w:val="00C30719"/>
    <w:rsid w:val="00C30AE6"/>
    <w:rsid w:val="00C31DE6"/>
    <w:rsid w:val="00C34A5A"/>
    <w:rsid w:val="00C469B2"/>
    <w:rsid w:val="00C6762C"/>
    <w:rsid w:val="00C70FC2"/>
    <w:rsid w:val="00C81EC0"/>
    <w:rsid w:val="00CB1BF6"/>
    <w:rsid w:val="00CD04D6"/>
    <w:rsid w:val="00CD29CB"/>
    <w:rsid w:val="00CD3A87"/>
    <w:rsid w:val="00CE5433"/>
    <w:rsid w:val="00CF24D0"/>
    <w:rsid w:val="00D01843"/>
    <w:rsid w:val="00D0779A"/>
    <w:rsid w:val="00D11DCC"/>
    <w:rsid w:val="00D372B0"/>
    <w:rsid w:val="00D40977"/>
    <w:rsid w:val="00D6030D"/>
    <w:rsid w:val="00D82265"/>
    <w:rsid w:val="00D87C01"/>
    <w:rsid w:val="00D905C4"/>
    <w:rsid w:val="00DA1477"/>
    <w:rsid w:val="00DA6162"/>
    <w:rsid w:val="00DB6AB0"/>
    <w:rsid w:val="00DC3ED3"/>
    <w:rsid w:val="00DD391B"/>
    <w:rsid w:val="00DE1EC3"/>
    <w:rsid w:val="00DE4854"/>
    <w:rsid w:val="00DF1EE3"/>
    <w:rsid w:val="00E01088"/>
    <w:rsid w:val="00E20DCD"/>
    <w:rsid w:val="00E25EF0"/>
    <w:rsid w:val="00E53776"/>
    <w:rsid w:val="00E75F07"/>
    <w:rsid w:val="00E96F6A"/>
    <w:rsid w:val="00EA234E"/>
    <w:rsid w:val="00EF6E28"/>
    <w:rsid w:val="00F118C5"/>
    <w:rsid w:val="00F247BA"/>
    <w:rsid w:val="00F52862"/>
    <w:rsid w:val="00F57238"/>
    <w:rsid w:val="00F64D9E"/>
    <w:rsid w:val="00F807FD"/>
    <w:rsid w:val="00F80E16"/>
    <w:rsid w:val="00F87C43"/>
    <w:rsid w:val="00F96C96"/>
    <w:rsid w:val="00FA2F94"/>
    <w:rsid w:val="00FB5E55"/>
    <w:rsid w:val="00FB68FA"/>
    <w:rsid w:val="00FD58B4"/>
    <w:rsid w:val="00FD7526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D5DF"/>
  <w15:chartTrackingRefBased/>
  <w15:docId w15:val="{91044F59-4183-4F4B-8116-F4C0EEEC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b/>
        <w:color w:val="800000"/>
        <w:spacing w:val="5"/>
        <w:sz w:val="16"/>
        <w:szCs w:val="16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CD"/>
    <w:rPr>
      <w:rFonts w:asciiTheme="minorHAnsi" w:hAnsiTheme="minorHAnsi" w:cstheme="minorBidi"/>
      <w:b w:val="0"/>
      <w:color w:val="auto"/>
      <w:spacing w:val="0"/>
      <w:kern w:val="2"/>
      <w:sz w:val="22"/>
      <w:szCs w:val="22"/>
      <w14:ligatures w14:val="standardContextual"/>
    </w:rPr>
  </w:style>
  <w:style w:type="paragraph" w:styleId="Rubrik1">
    <w:name w:val="heading 1"/>
    <w:basedOn w:val="Normal"/>
    <w:next w:val="Normal"/>
    <w:link w:val="Rubrik1Char"/>
    <w:qFormat/>
    <w:rsid w:val="000767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7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6721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721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721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721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721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721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721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721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721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6721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721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721"/>
    <w:rPr>
      <w:rFonts w:asciiTheme="minorHAnsi" w:eastAsiaTheme="majorEastAsia" w:hAnsiTheme="minorHAns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72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721"/>
    <w:rPr>
      <w:rFonts w:asciiTheme="minorHAnsi" w:eastAsiaTheme="majorEastAsia" w:hAnsiTheme="minorHAns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72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721"/>
    <w:rPr>
      <w:rFonts w:asciiTheme="minorHAnsi" w:eastAsiaTheme="majorEastAsia" w:hAnsiTheme="minorHAns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72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721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721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72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7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7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7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7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721"/>
    <w:rPr>
      <w:b w:val="0"/>
      <w:bCs/>
      <w:smallCaps/>
      <w:color w:val="0F4761" w:themeColor="accent1" w:themeShade="BF"/>
      <w:spacing w:val="5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8E6464"/>
    <w:pPr>
      <w:autoSpaceDE w:val="0"/>
      <w:autoSpaceDN w:val="0"/>
      <w:spacing w:after="0" w:line="320" w:lineRule="atLeast"/>
      <w:jc w:val="both"/>
    </w:pPr>
    <w:rPr>
      <w:rFonts w:ascii="Times New Roman" w:eastAsia="Times New Roman" w:hAnsi="Times New Roman" w:cs="Times New Roman"/>
      <w:kern w:val="0"/>
      <w:sz w:val="26"/>
      <w:szCs w:val="28"/>
      <w:lang w:val="en-GB"/>
      <w14:ligatures w14:val="none"/>
    </w:rPr>
  </w:style>
  <w:style w:type="character" w:customStyle="1" w:styleId="BrdtextChar">
    <w:name w:val="Brödtext Char"/>
    <w:aliases w:val="Bread 1 Char"/>
    <w:basedOn w:val="Standardstycketeckensnitt"/>
    <w:link w:val="Brdtext"/>
    <w:uiPriority w:val="99"/>
    <w:rsid w:val="008E6464"/>
    <w:rPr>
      <w:rFonts w:ascii="Times New Roman" w:eastAsia="Times New Roman" w:hAnsi="Times New Roman" w:cs="Times New Roman"/>
      <w:b w:val="0"/>
      <w:color w:val="auto"/>
      <w:spacing w:val="0"/>
      <w:sz w:val="26"/>
      <w:szCs w:val="28"/>
      <w:lang w:val="en-GB"/>
    </w:rPr>
  </w:style>
  <w:style w:type="paragraph" w:customStyle="1" w:styleId="References">
    <w:name w:val="References"/>
    <w:basedOn w:val="Brdtext"/>
    <w:qFormat/>
    <w:rsid w:val="00CD04D6"/>
    <w:pPr>
      <w:spacing w:line="300" w:lineRule="atLeast"/>
      <w:ind w:left="425" w:hanging="425"/>
    </w:pPr>
    <w:rPr>
      <w:sz w:val="24"/>
    </w:rPr>
  </w:style>
  <w:style w:type="character" w:styleId="Hyperlnk">
    <w:name w:val="Hyperlink"/>
    <w:basedOn w:val="Standardstycketeckensnitt"/>
    <w:uiPriority w:val="99"/>
    <w:unhideWhenUsed/>
    <w:rsid w:val="00F96C9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6C9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906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berj.3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221735-26b9-4eac-ad0f-4721757a50f8}" enabled="0" method="" siteId="{e3221735-26b9-4eac-ad0f-4721757a50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4607</Characters>
  <Application>Microsoft Office Word</Application>
  <DocSecurity>0</DocSecurity>
  <Lines>38</Lines>
  <Paragraphs>10</Paragraphs>
  <ScaleCrop>false</ScaleCrop>
  <Company>HIOF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Caspari-Sadeghi</dc:creator>
  <cp:keywords/>
  <dc:description/>
  <cp:lastModifiedBy>Hanna Palmér</cp:lastModifiedBy>
  <cp:revision>5</cp:revision>
  <dcterms:created xsi:type="dcterms:W3CDTF">2025-11-24T15:03:00Z</dcterms:created>
  <dcterms:modified xsi:type="dcterms:W3CDTF">2025-11-24T15:05:00Z</dcterms:modified>
</cp:coreProperties>
</file>