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3C75" w14:textId="46C36527" w:rsidR="1C711DCF" w:rsidRPr="00BE1016" w:rsidRDefault="1C711DCF" w:rsidP="00061D7B">
      <w:pPr>
        <w:widowControl w:val="0"/>
        <w:spacing w:before="360"/>
        <w:jc w:val="center"/>
      </w:pPr>
      <w:r w:rsidRPr="00BE1016">
        <w:rPr>
          <w:sz w:val="44"/>
          <w:szCs w:val="44"/>
        </w:rPr>
        <w:t xml:space="preserve">Two reading </w:t>
      </w:r>
      <w:r w:rsidR="00BE1016" w:rsidRPr="00BE1016">
        <w:rPr>
          <w:sz w:val="44"/>
          <w:szCs w:val="44"/>
        </w:rPr>
        <w:t>behaviours</w:t>
      </w:r>
      <w:r w:rsidRPr="00BE1016">
        <w:rPr>
          <w:sz w:val="44"/>
          <w:szCs w:val="44"/>
        </w:rPr>
        <w:t xml:space="preserve"> and their effect on rea</w:t>
      </w:r>
      <w:r w:rsidR="00450CEB" w:rsidRPr="00BE1016">
        <w:rPr>
          <w:sz w:val="44"/>
          <w:szCs w:val="44"/>
        </w:rPr>
        <w:t>d</w:t>
      </w:r>
      <w:r w:rsidRPr="00BE1016">
        <w:rPr>
          <w:sz w:val="44"/>
          <w:szCs w:val="44"/>
        </w:rPr>
        <w:t>ing comprehension of mathematical texts</w:t>
      </w:r>
    </w:p>
    <w:p w14:paraId="3E0B5E03" w14:textId="09EA4AC2" w:rsidR="1C711DCF" w:rsidRPr="00A93D39" w:rsidRDefault="1C711DCF" w:rsidP="00061D7B">
      <w:pPr>
        <w:widowControl w:val="0"/>
        <w:spacing w:before="360"/>
        <w:jc w:val="center"/>
        <w:rPr>
          <w:lang w:val="sv-SE"/>
        </w:rPr>
      </w:pPr>
      <w:r w:rsidRPr="00A93D39">
        <w:rPr>
          <w:b/>
          <w:bCs/>
          <w:sz w:val="28"/>
          <w:lang w:val="sv-SE"/>
        </w:rPr>
        <w:t>Oskar Segerlund</w:t>
      </w:r>
      <w:r w:rsidR="0058772F" w:rsidRPr="00A93D39">
        <w:rPr>
          <w:b/>
          <w:bCs/>
          <w:sz w:val="28"/>
          <w:lang w:val="sv-SE"/>
        </w:rPr>
        <w:t>,</w:t>
      </w:r>
      <w:r w:rsidRPr="00A93D39">
        <w:rPr>
          <w:b/>
          <w:bCs/>
          <w:sz w:val="28"/>
          <w:lang w:val="sv-SE"/>
        </w:rPr>
        <w:t xml:space="preserve"> Ulrika Wikström Hultdin</w:t>
      </w:r>
      <w:r w:rsidR="00B465C9" w:rsidRPr="00A93D39">
        <w:rPr>
          <w:b/>
          <w:bCs/>
          <w:sz w:val="28"/>
          <w:lang w:val="sv-SE"/>
        </w:rPr>
        <w:t>, and Magnus Österholm</w:t>
      </w:r>
    </w:p>
    <w:p w14:paraId="33C2D77C" w14:textId="0050FC67" w:rsidR="1C711DCF" w:rsidRPr="00BE1016" w:rsidRDefault="1C711DCF" w:rsidP="00061D7B">
      <w:pPr>
        <w:widowControl w:val="0"/>
        <w:spacing w:after="720"/>
        <w:jc w:val="center"/>
      </w:pPr>
      <w:r w:rsidRPr="46582589">
        <w:rPr>
          <w:sz w:val="28"/>
        </w:rPr>
        <w:t xml:space="preserve">Department of </w:t>
      </w:r>
      <w:r w:rsidR="0098728C" w:rsidRPr="46582589">
        <w:rPr>
          <w:sz w:val="28"/>
        </w:rPr>
        <w:t>Science</w:t>
      </w:r>
      <w:r w:rsidRPr="46582589">
        <w:rPr>
          <w:sz w:val="28"/>
        </w:rPr>
        <w:t xml:space="preserve"> and </w:t>
      </w:r>
      <w:r w:rsidR="0098728C" w:rsidRPr="46582589">
        <w:rPr>
          <w:sz w:val="28"/>
        </w:rPr>
        <w:t>Mathematics Education</w:t>
      </w:r>
      <w:r w:rsidR="0058772F" w:rsidRPr="46582589">
        <w:rPr>
          <w:sz w:val="28"/>
        </w:rPr>
        <w:t>, U</w:t>
      </w:r>
      <w:r w:rsidR="00E0221E" w:rsidRPr="46582589">
        <w:rPr>
          <w:sz w:val="28"/>
        </w:rPr>
        <w:t>meå Mathematics Education Research Centre (UMERC)</w:t>
      </w:r>
      <w:r w:rsidR="0058772F" w:rsidRPr="46582589">
        <w:rPr>
          <w:sz w:val="28"/>
        </w:rPr>
        <w:t>, Umeå University</w:t>
      </w:r>
    </w:p>
    <w:p w14:paraId="350185E0" w14:textId="4B1E21D6" w:rsidR="69E44A07" w:rsidRDefault="69E44A07" w:rsidP="00061D7B">
      <w:pPr>
        <w:pStyle w:val="Brdtext"/>
        <w:widowControl w:val="0"/>
      </w:pPr>
      <w:r>
        <w:t>T</w:t>
      </w:r>
      <w:r w:rsidR="2E953C11">
        <w:t>his</w:t>
      </w:r>
      <w:r w:rsidR="3B328A99">
        <w:t xml:space="preserve"> presentation</w:t>
      </w:r>
      <w:r w:rsidR="47946128">
        <w:t xml:space="preserve"> </w:t>
      </w:r>
      <w:r w:rsidR="7B8817CC">
        <w:t>communicate</w:t>
      </w:r>
      <w:r w:rsidR="12A203AE">
        <w:t>s</w:t>
      </w:r>
      <w:r w:rsidR="7B8817CC">
        <w:t xml:space="preserve"> </w:t>
      </w:r>
      <w:r w:rsidR="4C271451">
        <w:t xml:space="preserve">the results </w:t>
      </w:r>
      <w:r w:rsidR="38C3AB03">
        <w:t>of</w:t>
      </w:r>
      <w:r w:rsidR="4C271451">
        <w:t xml:space="preserve"> a pilot study involving </w:t>
      </w:r>
      <w:r w:rsidR="53866088">
        <w:t>eight</w:t>
      </w:r>
      <w:r w:rsidR="4C271451">
        <w:t xml:space="preserve"> upper secondary and </w:t>
      </w:r>
      <w:r w:rsidR="7BA37B2E">
        <w:t xml:space="preserve">ten </w:t>
      </w:r>
      <w:r w:rsidR="4C271451">
        <w:t>lower secondary</w:t>
      </w:r>
      <w:r w:rsidR="422EFE80">
        <w:t xml:space="preserve"> students</w:t>
      </w:r>
      <w:r w:rsidR="78902628">
        <w:t xml:space="preserve"> reading mathematical texts</w:t>
      </w:r>
      <w:r w:rsidR="4C271451">
        <w:t>. Using eye-tracking, we</w:t>
      </w:r>
      <w:r w:rsidR="10A23BCF">
        <w:t xml:space="preserve"> </w:t>
      </w:r>
      <w:r w:rsidR="4C271451">
        <w:t>investigated whether excessive focus on symbols or longer gaze shifts</w:t>
      </w:r>
      <w:r w:rsidR="77EA1BBC">
        <w:t xml:space="preserve"> </w:t>
      </w:r>
      <w:r w:rsidR="4C271451">
        <w:t>impac</w:t>
      </w:r>
      <w:r w:rsidR="3B36D66E">
        <w:t xml:space="preserve">t </w:t>
      </w:r>
      <w:r w:rsidR="4C271451">
        <w:t>reading comprehension.</w:t>
      </w:r>
      <w:r w:rsidR="48B1C284">
        <w:t xml:space="preserve"> Th</w:t>
      </w:r>
      <w:r w:rsidR="49AA1706">
        <w:t>e</w:t>
      </w:r>
      <w:r w:rsidR="4C271451">
        <w:t xml:space="preserve"> study </w:t>
      </w:r>
      <w:r w:rsidR="56B09A92">
        <w:t>is part of a</w:t>
      </w:r>
      <w:r w:rsidR="4C271451">
        <w:t xml:space="preserve"> larger research project, with data collection planned from 75 students, ranging from lower secondary to tertiary education. </w:t>
      </w:r>
    </w:p>
    <w:p w14:paraId="4848597B" w14:textId="40202D33" w:rsidR="00521EBE" w:rsidRDefault="00521EBE" w:rsidP="00061D7B">
      <w:pPr>
        <w:widowControl w:val="0"/>
      </w:pPr>
      <w:r>
        <w:t xml:space="preserve">Linking the reading process to comprehension </w:t>
      </w:r>
      <w:r w:rsidR="00D75ED5">
        <w:t>of</w:t>
      </w:r>
      <w:r w:rsidR="000B485D">
        <w:t xml:space="preserve"> mathematical texts </w:t>
      </w:r>
      <w:r>
        <w:t>offers insight into which reading skills are beneficial to develop. E</w:t>
      </w:r>
      <w:r w:rsidR="1C711DCF">
        <w:t xml:space="preserve">xperienced readers have learned to </w:t>
      </w:r>
      <w:r w:rsidR="00B9201D">
        <w:t xml:space="preserve">attend </w:t>
      </w:r>
      <w:r w:rsidR="1C711DCF">
        <w:t>to all semiotic resources involved (Fang, 2023)</w:t>
      </w:r>
      <w:r w:rsidR="00BA58E3">
        <w:t xml:space="preserve"> </w:t>
      </w:r>
      <w:r w:rsidR="00A27272">
        <w:t>while students tend to prioritize symbolic expressions over written language, which might lead to the neglect of important content and impaired comprehension (Dee-Lucas &amp; Larkin, 1991; Österholm, 2008).</w:t>
      </w:r>
      <w:r w:rsidR="00D75ED5">
        <w:t xml:space="preserve"> </w:t>
      </w:r>
      <w:r w:rsidR="00A93D39">
        <w:t xml:space="preserve">Compared to students, </w:t>
      </w:r>
      <w:r w:rsidR="00D75ED5">
        <w:t xml:space="preserve">mathematics </w:t>
      </w:r>
      <w:r w:rsidR="00A93D39">
        <w:t xml:space="preserve">professors also tend to shift more frequently between </w:t>
      </w:r>
      <w:r w:rsidR="35B06FD7">
        <w:t xml:space="preserve">different </w:t>
      </w:r>
      <w:r w:rsidR="00A93D39">
        <w:t xml:space="preserve">parts of proofs, likely </w:t>
      </w:r>
      <w:r w:rsidR="00D75ED5">
        <w:t xml:space="preserve">in order </w:t>
      </w:r>
      <w:r w:rsidR="00A93D39">
        <w:t xml:space="preserve">to grasp more implicit meaning </w:t>
      </w:r>
      <w:r w:rsidR="00095BCC">
        <w:t>(Inglis &amp; Alcock, 2012)</w:t>
      </w:r>
      <w:r w:rsidR="00BA58E3">
        <w:t xml:space="preserve">. </w:t>
      </w:r>
    </w:p>
    <w:p w14:paraId="70938AD8" w14:textId="68F80460" w:rsidR="1C711DCF" w:rsidRPr="00BE1016" w:rsidRDefault="1C711DCF" w:rsidP="00061D7B">
      <w:pPr>
        <w:pStyle w:val="Rubrik2"/>
        <w:keepNext w:val="0"/>
        <w:widowControl w:val="0"/>
      </w:pPr>
      <w:r>
        <w:t>Method</w:t>
      </w:r>
      <w:r w:rsidR="00FD100A">
        <w:t>s</w:t>
      </w:r>
    </w:p>
    <w:p w14:paraId="287E2367" w14:textId="708627DF" w:rsidR="00DC0C2F" w:rsidRPr="00BE1016" w:rsidRDefault="00A479A7" w:rsidP="00061D7B">
      <w:pPr>
        <w:pStyle w:val="Brdtext"/>
        <w:widowControl w:val="0"/>
      </w:pPr>
      <w:bookmarkStart w:id="0" w:name="_Hlk213158854"/>
      <w:r>
        <w:t xml:space="preserve">We use </w:t>
      </w:r>
      <w:r w:rsidR="00DC0C2F">
        <w:t xml:space="preserve">six </w:t>
      </w:r>
      <w:r w:rsidR="009E52A4">
        <w:t xml:space="preserve">different mathematical texts </w:t>
      </w:r>
      <w:r w:rsidR="1C711DCF">
        <w:t>for each educational leve</w:t>
      </w:r>
      <w:r w:rsidR="00700059">
        <w:t>l</w:t>
      </w:r>
      <w:r w:rsidR="009E52A4">
        <w:t xml:space="preserve">. Each participant read </w:t>
      </w:r>
      <w:r w:rsidR="00DC0C2F">
        <w:t>six</w:t>
      </w:r>
      <w:r w:rsidR="1C711DCF">
        <w:t xml:space="preserve"> texts </w:t>
      </w:r>
      <w:r w:rsidR="009E52A4">
        <w:t xml:space="preserve">with </w:t>
      </w:r>
      <w:r w:rsidR="00DC0C2F">
        <w:t xml:space="preserve">new </w:t>
      </w:r>
      <w:r w:rsidR="009E52A4">
        <w:t xml:space="preserve">mathematical content, </w:t>
      </w:r>
      <w:r w:rsidR="1C711DCF">
        <w:t xml:space="preserve">each </w:t>
      </w:r>
      <w:r w:rsidR="00CB67C1">
        <w:t xml:space="preserve">primarily </w:t>
      </w:r>
      <w:r w:rsidR="1C711DCF">
        <w:t>present</w:t>
      </w:r>
      <w:r w:rsidR="00DC0C2F">
        <w:t>ing</w:t>
      </w:r>
      <w:r w:rsidR="1C711DCF">
        <w:t xml:space="preserve"> either mathematical concepts (</w:t>
      </w:r>
      <w:r w:rsidR="00700059">
        <w:t>2</w:t>
      </w:r>
      <w:r w:rsidR="007E06E2">
        <w:t xml:space="preserve">) </w:t>
      </w:r>
      <w:r w:rsidR="1C711DCF">
        <w:t>or procedures (</w:t>
      </w:r>
      <w:r w:rsidR="00700059">
        <w:t>4</w:t>
      </w:r>
      <w:r w:rsidR="1C711DCF">
        <w:t>).</w:t>
      </w:r>
      <w:r w:rsidR="00F31D63">
        <w:t xml:space="preserve"> The texts combine written language and symbols, while half of the texts also include mathematical visualisations. </w:t>
      </w:r>
      <w:r w:rsidR="007B74C7">
        <w:t>E</w:t>
      </w:r>
      <w:r w:rsidR="00DC0C2F">
        <w:t xml:space="preserve">ye movements were recorded </w:t>
      </w:r>
      <w:r w:rsidR="007E06E2">
        <w:t xml:space="preserve">both </w:t>
      </w:r>
      <w:r w:rsidR="00DC0C2F">
        <w:t xml:space="preserve">while reading </w:t>
      </w:r>
      <w:r w:rsidR="004F742B">
        <w:t xml:space="preserve">the </w:t>
      </w:r>
      <w:r w:rsidR="00DC0C2F">
        <w:t>texts and during the reading comprehension test</w:t>
      </w:r>
      <w:r w:rsidR="00F31D63">
        <w:t xml:space="preserve"> that </w:t>
      </w:r>
      <w:r w:rsidR="007E06E2">
        <w:t>followed each reading</w:t>
      </w:r>
      <w:r w:rsidR="00DC0C2F">
        <w:t xml:space="preserve">. To distinguish between levels of comprehension, </w:t>
      </w:r>
      <w:r w:rsidR="0076435E">
        <w:t>the reading comprehension test include</w:t>
      </w:r>
      <w:r w:rsidR="00597905">
        <w:t>d</w:t>
      </w:r>
      <w:r w:rsidR="0076435E">
        <w:t xml:space="preserve"> </w:t>
      </w:r>
      <w:r w:rsidR="00DC0C2F">
        <w:t>both</w:t>
      </w:r>
      <w:r w:rsidR="00F31D63">
        <w:t xml:space="preserve"> </w:t>
      </w:r>
      <w:r w:rsidR="00DC0C2F">
        <w:t>reproduction and application questions, corresponding to textbase and situation model questions</w:t>
      </w:r>
      <w:r w:rsidR="00FD100A">
        <w:t xml:space="preserve"> </w:t>
      </w:r>
      <w:r w:rsidR="00DC0C2F">
        <w:t xml:space="preserve">(Kintsch, 1998). To clarify the students’ answers, </w:t>
      </w:r>
      <w:r w:rsidR="00FD100A">
        <w:t>brief</w:t>
      </w:r>
      <w:r w:rsidR="00DC0C2F">
        <w:t xml:space="preserve"> interviews were </w:t>
      </w:r>
      <w:r w:rsidR="00FD100A">
        <w:t>conducted</w:t>
      </w:r>
      <w:r w:rsidR="00F31D63">
        <w:t xml:space="preserve"> after</w:t>
      </w:r>
      <w:r w:rsidR="00DC0C2F">
        <w:t xml:space="preserve"> the eye-</w:t>
      </w:r>
      <w:r w:rsidR="002F1363">
        <w:t>t</w:t>
      </w:r>
      <w:r w:rsidR="00DC0C2F">
        <w:t>racking session.</w:t>
      </w:r>
    </w:p>
    <w:bookmarkEnd w:id="0"/>
    <w:p w14:paraId="4EE1B984" w14:textId="77777777" w:rsidR="00B87192" w:rsidRDefault="00700059" w:rsidP="00061D7B">
      <w:pPr>
        <w:widowControl w:val="0"/>
      </w:pPr>
      <w:r>
        <w:t xml:space="preserve">While the dataset from upper secondary education (8 students) was complete and </w:t>
      </w:r>
      <w:r w:rsidR="00705921">
        <w:t xml:space="preserve">suitable for </w:t>
      </w:r>
      <w:r>
        <w:t>statistica</w:t>
      </w:r>
      <w:r w:rsidR="00705921">
        <w:t>l analysis</w:t>
      </w:r>
      <w:r>
        <w:t xml:space="preserve">, the dataset from lower secondary school </w:t>
      </w:r>
      <w:r w:rsidR="002F1363">
        <w:t xml:space="preserve">(10 students) </w:t>
      </w:r>
      <w:r>
        <w:t xml:space="preserve">was not, and </w:t>
      </w:r>
      <w:r w:rsidR="00705921">
        <w:t xml:space="preserve">was therefore </w:t>
      </w:r>
      <w:r>
        <w:t xml:space="preserve">examined </w:t>
      </w:r>
      <w:r w:rsidR="00705921">
        <w:t xml:space="preserve">only </w:t>
      </w:r>
      <w:r>
        <w:t>exploratively</w:t>
      </w:r>
      <w:r w:rsidR="00705921">
        <w:t xml:space="preserve"> to describe the </w:t>
      </w:r>
      <w:r w:rsidR="1C711DCF">
        <w:t xml:space="preserve">reading behaviours </w:t>
      </w:r>
      <w:r w:rsidR="00705921">
        <w:t xml:space="preserve">that </w:t>
      </w:r>
      <w:r w:rsidR="1C711DCF">
        <w:t xml:space="preserve">distinguish the most successful readers from the least successful. </w:t>
      </w:r>
      <w:r w:rsidR="00705921">
        <w:t>In the s</w:t>
      </w:r>
      <w:r w:rsidR="1C711DCF">
        <w:t>tatistical analysis</w:t>
      </w:r>
      <w:r w:rsidR="00705921">
        <w:t>,</w:t>
      </w:r>
      <w:r w:rsidR="1C711DCF">
        <w:t xml:space="preserve"> </w:t>
      </w:r>
      <w:r w:rsidR="00705921">
        <w:t xml:space="preserve">reading comprehension </w:t>
      </w:r>
      <w:r w:rsidR="1C711DCF">
        <w:t>was model</w:t>
      </w:r>
      <w:r w:rsidR="00705921">
        <w:t xml:space="preserve">led as </w:t>
      </w:r>
      <w:r w:rsidR="1C711DCF">
        <w:t>the dependent variable</w:t>
      </w:r>
      <w:r w:rsidR="00DC0C2F">
        <w:t>.</w:t>
      </w:r>
      <w:r w:rsidR="1C711DCF">
        <w:t xml:space="preserve"> </w:t>
      </w:r>
      <w:r w:rsidR="00DC0C2F">
        <w:t>A</w:t>
      </w:r>
      <w:r w:rsidR="1C711DCF">
        <w:t>s independent variables</w:t>
      </w:r>
      <w:r w:rsidR="00705921">
        <w:t>,</w:t>
      </w:r>
      <w:r w:rsidR="1C711DCF">
        <w:t xml:space="preserve"> we used the grades </w:t>
      </w:r>
      <w:r w:rsidR="001615F6">
        <w:t xml:space="preserve">(A-E) </w:t>
      </w:r>
      <w:r w:rsidR="1C711DCF">
        <w:t>of the last completed mathematics course</w:t>
      </w:r>
      <w:r w:rsidR="001615F6">
        <w:t xml:space="preserve"> </w:t>
      </w:r>
      <w:r w:rsidR="1C711DCF">
        <w:t>and reading behaviour (</w:t>
      </w:r>
      <w:r w:rsidR="005A095D">
        <w:t>length of gaze shifts</w:t>
      </w:r>
      <w:r w:rsidR="1C711DCF">
        <w:t>/time spent</w:t>
      </w:r>
      <w:r w:rsidR="005A095D">
        <w:t xml:space="preserve"> reading</w:t>
      </w:r>
      <w:r w:rsidR="1C711DCF">
        <w:t xml:space="preserve">). The analysis was conducted using Generalized Estimating Equations (GEE) to account for </w:t>
      </w:r>
      <w:r w:rsidR="1C711DCF">
        <w:lastRenderedPageBreak/>
        <w:t xml:space="preserve">correlations within repeated measurements, </w:t>
      </w:r>
      <w:r w:rsidR="00705921">
        <w:t>as</w:t>
      </w:r>
      <w:r w:rsidR="1C711DCF">
        <w:t xml:space="preserve"> </w:t>
      </w:r>
      <w:r w:rsidR="002E57DC">
        <w:t xml:space="preserve">each </w:t>
      </w:r>
      <w:r w:rsidR="1C711DCF">
        <w:t xml:space="preserve">student read six different texts. </w:t>
      </w:r>
    </w:p>
    <w:p w14:paraId="29676475" w14:textId="391DD8BD" w:rsidR="00B87192" w:rsidRDefault="00B87192" w:rsidP="00061D7B">
      <w:pPr>
        <w:pStyle w:val="Rubrik2"/>
        <w:keepNext w:val="0"/>
        <w:widowControl w:val="0"/>
      </w:pPr>
      <w:r w:rsidRPr="00B87192">
        <w:rPr>
          <w:bCs/>
          <w:szCs w:val="28"/>
        </w:rPr>
        <w:t>Results</w:t>
      </w:r>
    </w:p>
    <w:p w14:paraId="64D3752F" w14:textId="5644D334" w:rsidR="1C711DCF" w:rsidRPr="00BE1016" w:rsidRDefault="592184D3" w:rsidP="00061D7B">
      <w:pPr>
        <w:widowControl w:val="0"/>
        <w:ind w:firstLine="0"/>
      </w:pPr>
      <w:r>
        <w:t>The results showed that i</w:t>
      </w:r>
      <w:r w:rsidR="00206FCF">
        <w:t xml:space="preserve">n the data from lower </w:t>
      </w:r>
      <w:r w:rsidR="1C711DCF">
        <w:t>secondary</w:t>
      </w:r>
      <w:r w:rsidR="00206FCF">
        <w:t xml:space="preserve"> level</w:t>
      </w:r>
      <w:r w:rsidR="00206FCF" w:rsidRPr="69C0902F">
        <w:rPr>
          <w:b/>
          <w:bCs/>
        </w:rPr>
        <w:t>—</w:t>
      </w:r>
      <w:r w:rsidR="00206FCF">
        <w:t>consistent with previous research (Dee-Lucas &amp; Larkin, 1991; Österholm 2008)</w:t>
      </w:r>
      <w:r w:rsidR="00206FCF" w:rsidRPr="69C0902F">
        <w:rPr>
          <w:b/>
          <w:bCs/>
        </w:rPr>
        <w:t>—</w:t>
      </w:r>
      <w:r w:rsidR="1C711DCF">
        <w:t xml:space="preserve">students </w:t>
      </w:r>
      <w:r w:rsidR="00206FCF">
        <w:t xml:space="preserve">appeared to focus particularly </w:t>
      </w:r>
      <w:r w:rsidR="1C711DCF">
        <w:t>on symbols and formulas</w:t>
      </w:r>
      <w:r w:rsidR="00206FCF">
        <w:t>, at least in some contexts</w:t>
      </w:r>
      <w:r w:rsidR="1C711DCF">
        <w:t xml:space="preserve">. For example, </w:t>
      </w:r>
      <w:r w:rsidR="00206FCF">
        <w:t>in</w:t>
      </w:r>
      <w:r w:rsidR="1C711DCF">
        <w:t xml:space="preserve"> a text </w:t>
      </w:r>
      <w:r w:rsidR="00206FCF">
        <w:t xml:space="preserve">presenting </w:t>
      </w:r>
      <w:r w:rsidR="00713303">
        <w:t xml:space="preserve">some </w:t>
      </w:r>
      <w:r w:rsidR="1C711DCF">
        <w:t>concepts</w:t>
      </w:r>
      <w:r w:rsidR="006D392A">
        <w:t xml:space="preserve"> of symmetry</w:t>
      </w:r>
      <w:r w:rsidR="00206FCF">
        <w:t>,</w:t>
      </w:r>
      <w:r w:rsidR="1C711DCF">
        <w:t xml:space="preserve"> the students scored 44% correct on concept reproduction, 6% on concept application</w:t>
      </w:r>
      <w:r w:rsidR="009F3E4D">
        <w:t>,</w:t>
      </w:r>
      <w:r w:rsidR="1C711DCF">
        <w:t xml:space="preserve"> and 75% on concept application </w:t>
      </w:r>
      <w:r w:rsidR="00FA7AE1">
        <w:t xml:space="preserve">when using </w:t>
      </w:r>
      <w:r w:rsidR="1C711DCF">
        <w:t xml:space="preserve">a presented formula. Review of the eye-tracking video also showed </w:t>
      </w:r>
      <w:r w:rsidR="00206FCF">
        <w:t xml:space="preserve">that students </w:t>
      </w:r>
      <w:r w:rsidR="00FA7AE1">
        <w:t xml:space="preserve">displayed </w:t>
      </w:r>
      <w:r w:rsidR="408170FE">
        <w:t>greater</w:t>
      </w:r>
      <w:r w:rsidR="00FA7AE1">
        <w:t xml:space="preserve"> </w:t>
      </w:r>
      <w:r w:rsidR="00206FCF">
        <w:t xml:space="preserve">interest in </w:t>
      </w:r>
      <w:r w:rsidR="1C711DCF">
        <w:t xml:space="preserve">the part of the text </w:t>
      </w:r>
      <w:r w:rsidR="00FD100A">
        <w:t xml:space="preserve">containing </w:t>
      </w:r>
      <w:r w:rsidR="1C711DCF">
        <w:t>the formula</w:t>
      </w:r>
      <w:r w:rsidR="00FA7AE1">
        <w:t xml:space="preserve">, compared </w:t>
      </w:r>
      <w:r w:rsidR="756AF3AB">
        <w:t>with</w:t>
      </w:r>
      <w:r w:rsidR="1C711DCF">
        <w:t xml:space="preserve"> the </w:t>
      </w:r>
      <w:r w:rsidR="00206FCF">
        <w:t xml:space="preserve">visualisations </w:t>
      </w:r>
      <w:r w:rsidR="1C711DCF">
        <w:t xml:space="preserve">or </w:t>
      </w:r>
      <w:r w:rsidR="007C0D6B">
        <w:t xml:space="preserve">the </w:t>
      </w:r>
      <w:r w:rsidR="5ACE7A32">
        <w:t xml:space="preserve">words describing the </w:t>
      </w:r>
      <w:r w:rsidR="20F26DF5">
        <w:t>concepts</w:t>
      </w:r>
      <w:r w:rsidR="1C711DCF">
        <w:t>.</w:t>
      </w:r>
    </w:p>
    <w:p w14:paraId="4D7AD92C" w14:textId="69865655" w:rsidR="1C711DCF" w:rsidRPr="00BE1016" w:rsidRDefault="00FA7AE1" w:rsidP="00061D7B">
      <w:pPr>
        <w:widowControl w:val="0"/>
      </w:pPr>
      <w:r>
        <w:t>The</w:t>
      </w:r>
      <w:r w:rsidR="1C711DCF">
        <w:t xml:space="preserve"> statistical analysis </w:t>
      </w:r>
      <w:r>
        <w:t xml:space="preserve">of the data from </w:t>
      </w:r>
      <w:r w:rsidR="1C711DCF">
        <w:t xml:space="preserve">upper secondary school </w:t>
      </w:r>
      <w:r>
        <w:t>showed that b</w:t>
      </w:r>
      <w:r w:rsidR="1C711DCF">
        <w:t xml:space="preserve">oth grades (β = 2.31, p = 0.009) and </w:t>
      </w:r>
      <w:r w:rsidR="005A095D">
        <w:t xml:space="preserve">length of gaze shifts per time unit </w:t>
      </w:r>
      <w:r w:rsidR="1C711DCF">
        <w:t>(β = 1.32, p &lt; 0.001) were positively associated with reading comprehension</w:t>
      </w:r>
      <w:r w:rsidR="005A095D">
        <w:t>.</w:t>
      </w:r>
      <w:r w:rsidR="1C711DCF">
        <w:t xml:space="preserve"> </w:t>
      </w:r>
      <w:r w:rsidR="005A095D">
        <w:t>T</w:t>
      </w:r>
      <w:r w:rsidR="1C711DCF">
        <w:t xml:space="preserve">he interaction between </w:t>
      </w:r>
      <w:r w:rsidR="005A095D">
        <w:t>the</w:t>
      </w:r>
      <w:r w:rsidR="00216985">
        <w:t>se</w:t>
      </w:r>
      <w:r w:rsidR="005A095D">
        <w:t xml:space="preserve"> </w:t>
      </w:r>
      <w:r w:rsidR="005941E8">
        <w:t xml:space="preserve">two </w:t>
      </w:r>
      <w:r w:rsidR="005A095D">
        <w:t xml:space="preserve">variables </w:t>
      </w:r>
      <w:r w:rsidR="1C711DCF">
        <w:t>(β = -0.25, p = 0.002) was</w:t>
      </w:r>
      <w:r w:rsidR="005A095D">
        <w:t xml:space="preserve"> </w:t>
      </w:r>
      <w:r w:rsidR="1C711DCF">
        <w:t xml:space="preserve">statistically significant in predicting reading comprehension. </w:t>
      </w:r>
      <w:r w:rsidR="00947DF9">
        <w:t xml:space="preserve">That is, </w:t>
      </w:r>
      <w:r w:rsidR="1C711DCF">
        <w:t xml:space="preserve">students who performed better on the </w:t>
      </w:r>
      <w:r w:rsidR="005A095D">
        <w:t xml:space="preserve">comprehension </w:t>
      </w:r>
      <w:r w:rsidR="1C711DCF">
        <w:t>test</w:t>
      </w:r>
      <w:r w:rsidR="005A095D">
        <w:t xml:space="preserve"> </w:t>
      </w:r>
      <w:r w:rsidR="000246BD">
        <w:t xml:space="preserve">in general </w:t>
      </w:r>
      <w:r w:rsidR="005A095D">
        <w:t xml:space="preserve">made longer gaze shifts per time unit, which is consistent </w:t>
      </w:r>
      <w:r w:rsidR="1C711DCF">
        <w:t xml:space="preserve">with </w:t>
      </w:r>
      <w:r w:rsidR="005A095D">
        <w:t>previous</w:t>
      </w:r>
      <w:r w:rsidR="1C711DCF">
        <w:t xml:space="preserve"> </w:t>
      </w:r>
      <w:r w:rsidR="00FE7513">
        <w:t xml:space="preserve">findings </w:t>
      </w:r>
      <w:r w:rsidR="1C711DCF">
        <w:t xml:space="preserve">(Inglis &amp; Alcock, 2012). However, </w:t>
      </w:r>
      <w:r w:rsidR="005A095D">
        <w:t xml:space="preserve">this </w:t>
      </w:r>
      <w:r w:rsidR="00FE7513">
        <w:t xml:space="preserve">contrasts </w:t>
      </w:r>
      <w:r w:rsidR="1C711DCF">
        <w:t xml:space="preserve">with </w:t>
      </w:r>
      <w:r w:rsidR="00FE7513">
        <w:t xml:space="preserve">our results for students with </w:t>
      </w:r>
      <w:r w:rsidR="1C711DCF">
        <w:t>lower grades (</w:t>
      </w:r>
      <w:r w:rsidR="00590F28">
        <w:t>D and E</w:t>
      </w:r>
      <w:r w:rsidR="1C711DCF">
        <w:t>)</w:t>
      </w:r>
      <w:r w:rsidR="00FE7513">
        <w:t>,</w:t>
      </w:r>
      <w:r w:rsidR="1C711DCF">
        <w:t xml:space="preserve"> </w:t>
      </w:r>
      <w:r w:rsidR="00FE7513">
        <w:t xml:space="preserve">who </w:t>
      </w:r>
      <w:r w:rsidR="1C711DCF">
        <w:t xml:space="preserve">performed worse </w:t>
      </w:r>
      <w:r w:rsidR="00FE7513">
        <w:t>as their gaze shift lengths increased.</w:t>
      </w:r>
    </w:p>
    <w:p w14:paraId="43FD1753" w14:textId="215B4D24" w:rsidR="1C711DCF" w:rsidRPr="00BE1016" w:rsidRDefault="1C711DCF" w:rsidP="00061D7B">
      <w:pPr>
        <w:pStyle w:val="Rubrik2"/>
        <w:keepNext w:val="0"/>
        <w:widowControl w:val="0"/>
      </w:pPr>
      <w:r w:rsidRPr="00BE1016">
        <w:rPr>
          <w:bCs/>
          <w:szCs w:val="28"/>
        </w:rPr>
        <w:t>Discussion and implications</w:t>
      </w:r>
    </w:p>
    <w:p w14:paraId="5D9B49F5" w14:textId="4C5CC68D" w:rsidR="1C711DCF" w:rsidRPr="00BE1016" w:rsidRDefault="00FE7513" w:rsidP="00061D7B">
      <w:pPr>
        <w:pStyle w:val="Brdtext"/>
        <w:widowControl w:val="0"/>
      </w:pPr>
      <w:r>
        <w:t>Although our</w:t>
      </w:r>
      <w:r w:rsidR="1C711DCF">
        <w:t xml:space="preserve"> results </w:t>
      </w:r>
      <w:r>
        <w:t>largely</w:t>
      </w:r>
      <w:r w:rsidR="1C711DCF">
        <w:t xml:space="preserve"> </w:t>
      </w:r>
      <w:r>
        <w:t>align</w:t>
      </w:r>
      <w:r w:rsidR="002F1363">
        <w:t xml:space="preserve"> </w:t>
      </w:r>
      <w:r w:rsidR="1C711DCF">
        <w:t>with earlier research</w:t>
      </w:r>
      <w:r>
        <w:t>, they also r</w:t>
      </w:r>
      <w:r w:rsidR="002F1363">
        <w:t>a</w:t>
      </w:r>
      <w:r>
        <w:t xml:space="preserve">ise questions about what </w:t>
      </w:r>
      <w:r w:rsidR="002F1363">
        <w:t xml:space="preserve">constitutes </w:t>
      </w:r>
      <w:r>
        <w:t xml:space="preserve">optimal reading </w:t>
      </w:r>
      <w:r w:rsidR="0054056E">
        <w:t>behaviour</w:t>
      </w:r>
      <w:r>
        <w:t xml:space="preserve">, and whether this can be measured in the same way </w:t>
      </w:r>
      <w:r w:rsidR="002F1363">
        <w:t xml:space="preserve">regardless of students’ </w:t>
      </w:r>
      <w:r>
        <w:t>level</w:t>
      </w:r>
      <w:r w:rsidR="002F1363">
        <w:t>s</w:t>
      </w:r>
      <w:r>
        <w:t xml:space="preserve"> of </w:t>
      </w:r>
      <w:r w:rsidR="00B61988">
        <w:t xml:space="preserve">prior </w:t>
      </w:r>
      <w:r>
        <w:t>knowledge and skills.</w:t>
      </w:r>
      <w:r w:rsidR="002F1363">
        <w:t xml:space="preserve"> Moving</w:t>
      </w:r>
      <w:r w:rsidR="1C711DCF">
        <w:t xml:space="preserve"> forward</w:t>
      </w:r>
      <w:r>
        <w:t>,</w:t>
      </w:r>
      <w:r w:rsidR="1C711DCF">
        <w:t xml:space="preserve"> we plan to </w:t>
      </w:r>
      <w:r w:rsidR="002F1363">
        <w:t xml:space="preserve">expand the </w:t>
      </w:r>
      <w:r w:rsidR="1C711DCF">
        <w:t>statistical analysis</w:t>
      </w:r>
      <w:r w:rsidR="009C0834">
        <w:t xml:space="preserve">, using more </w:t>
      </w:r>
      <w:r w:rsidR="0011194F">
        <w:t xml:space="preserve">independent variables, including </w:t>
      </w:r>
      <w:r w:rsidR="002F1363">
        <w:t>additional</w:t>
      </w:r>
      <w:r w:rsidR="1C711DCF">
        <w:t xml:space="preserve"> measure</w:t>
      </w:r>
      <w:r w:rsidR="002F1363">
        <w:t>s</w:t>
      </w:r>
      <w:r w:rsidR="1C711DCF">
        <w:t xml:space="preserve"> of reading behaviour</w:t>
      </w:r>
      <w:r w:rsidR="00D75ED5" w:rsidRPr="04A717A5">
        <w:rPr>
          <w:b/>
          <w:bCs/>
        </w:rPr>
        <w:t>—</w:t>
      </w:r>
      <w:r w:rsidR="365F0AD0">
        <w:t>for example,</w:t>
      </w:r>
      <w:r w:rsidR="1C711DCF">
        <w:t xml:space="preserve"> the proportion of time spent on symbols and the number of visits to </w:t>
      </w:r>
      <w:r w:rsidR="002F1363">
        <w:t xml:space="preserve">various </w:t>
      </w:r>
      <w:r w:rsidR="1C711DCF">
        <w:t>text areas</w:t>
      </w:r>
      <w:r>
        <w:t xml:space="preserve"> of interest</w:t>
      </w:r>
      <w:r w:rsidR="1C711DCF">
        <w:t xml:space="preserve">. We also plan to analyse the eye-tracking </w:t>
      </w:r>
      <w:r w:rsidR="00AA4BBB">
        <w:t>data</w:t>
      </w:r>
      <w:r w:rsidR="1C711DCF">
        <w:t xml:space="preserve"> and test </w:t>
      </w:r>
      <w:r w:rsidR="002F1363">
        <w:t>responses</w:t>
      </w:r>
      <w:r w:rsidR="1C711DCF">
        <w:t xml:space="preserve"> </w:t>
      </w:r>
      <w:r w:rsidR="002F1363">
        <w:t>using</w:t>
      </w:r>
      <w:r w:rsidR="1C711DCF">
        <w:t xml:space="preserve"> qualitative methods.</w:t>
      </w:r>
    </w:p>
    <w:p w14:paraId="7CA2FBE6" w14:textId="755B6B9F" w:rsidR="1C711DCF" w:rsidRPr="00BE1016" w:rsidRDefault="1C711DCF" w:rsidP="00061D7B">
      <w:pPr>
        <w:pStyle w:val="Rubrik2"/>
        <w:keepNext w:val="0"/>
        <w:widowControl w:val="0"/>
      </w:pPr>
      <w:r w:rsidRPr="00BE1016">
        <w:rPr>
          <w:bCs/>
          <w:szCs w:val="28"/>
        </w:rPr>
        <w:t>References</w:t>
      </w:r>
    </w:p>
    <w:p w14:paraId="7438C07B" w14:textId="434F2523" w:rsidR="1C711DCF" w:rsidRPr="00BE1016" w:rsidRDefault="1C711DCF" w:rsidP="00061D7B">
      <w:pPr>
        <w:widowControl w:val="0"/>
        <w:ind w:left="425" w:hanging="425"/>
        <w:rPr>
          <w:sz w:val="24"/>
          <w:szCs w:val="24"/>
        </w:rPr>
      </w:pPr>
      <w:r w:rsidRPr="46582589">
        <w:rPr>
          <w:sz w:val="24"/>
          <w:szCs w:val="24"/>
        </w:rPr>
        <w:t xml:space="preserve">Dee-Lucas, D., &amp; Larkin, J. H. (1991). Equations in scientific proofs: Effects on comprehension. </w:t>
      </w:r>
      <w:r w:rsidRPr="46582589">
        <w:rPr>
          <w:i/>
          <w:iCs/>
          <w:sz w:val="24"/>
          <w:szCs w:val="24"/>
        </w:rPr>
        <w:t>American Educational Research Journal, 28</w:t>
      </w:r>
      <w:r w:rsidRPr="46582589">
        <w:rPr>
          <w:sz w:val="24"/>
          <w:szCs w:val="24"/>
        </w:rPr>
        <w:t xml:space="preserve">(3), 661-682.  </w:t>
      </w:r>
      <w:hyperlink r:id="rId10">
        <w:r w:rsidR="0061D990" w:rsidRPr="46582589">
          <w:rPr>
            <w:rStyle w:val="Hyperlnk"/>
            <w:sz w:val="24"/>
            <w:szCs w:val="24"/>
          </w:rPr>
          <w:t>https://doi.org/10.3102/00028312028003661</w:t>
        </w:r>
      </w:hyperlink>
    </w:p>
    <w:p w14:paraId="4B42F555" w14:textId="748B753A" w:rsidR="1C711DCF" w:rsidRPr="00BE1016" w:rsidRDefault="1C711DCF" w:rsidP="00061D7B">
      <w:pPr>
        <w:widowControl w:val="0"/>
        <w:ind w:left="425" w:hanging="425"/>
        <w:rPr>
          <w:sz w:val="24"/>
          <w:szCs w:val="24"/>
        </w:rPr>
      </w:pPr>
      <w:r w:rsidRPr="46582589">
        <w:rPr>
          <w:sz w:val="24"/>
          <w:szCs w:val="24"/>
        </w:rPr>
        <w:t xml:space="preserve">Fang, Z. (2023). </w:t>
      </w:r>
      <w:r w:rsidRPr="46582589">
        <w:rPr>
          <w:i/>
          <w:iCs/>
          <w:sz w:val="24"/>
          <w:szCs w:val="24"/>
        </w:rPr>
        <w:t>Demystifying academic reading: A disciplinary literacy approach to reading across content areas</w:t>
      </w:r>
      <w:r w:rsidRPr="46582589">
        <w:rPr>
          <w:sz w:val="24"/>
          <w:szCs w:val="24"/>
        </w:rPr>
        <w:t>. Taylor &amp; Francis.</w:t>
      </w:r>
      <w:r w:rsidR="007A0DFA">
        <w:rPr>
          <w:sz w:val="24"/>
          <w:szCs w:val="24"/>
        </w:rPr>
        <w:t xml:space="preserve"> </w:t>
      </w:r>
      <w:hyperlink r:id="rId11" w:history="1">
        <w:r w:rsidR="007A0DFA" w:rsidRPr="00137BEE">
          <w:rPr>
            <w:rStyle w:val="Hyperlnk"/>
            <w:sz w:val="24"/>
            <w:szCs w:val="24"/>
          </w:rPr>
          <w:t>https://doi.org/10.4324/9781003432258</w:t>
        </w:r>
      </w:hyperlink>
    </w:p>
    <w:p w14:paraId="26D49882" w14:textId="73BAA6FC" w:rsidR="1C711DCF" w:rsidRPr="00BE1016" w:rsidRDefault="1C711DCF" w:rsidP="00061D7B">
      <w:pPr>
        <w:widowControl w:val="0"/>
        <w:ind w:left="425" w:hanging="425"/>
        <w:rPr>
          <w:sz w:val="24"/>
          <w:szCs w:val="24"/>
        </w:rPr>
      </w:pPr>
      <w:r w:rsidRPr="46582589">
        <w:rPr>
          <w:sz w:val="24"/>
          <w:szCs w:val="24"/>
        </w:rPr>
        <w:t xml:space="preserve">Inglis, M. &amp; Alcock, L. (2012). Expert and novice approaches to reading mathematical proofs. </w:t>
      </w:r>
      <w:r w:rsidRPr="46582589">
        <w:rPr>
          <w:i/>
          <w:iCs/>
          <w:sz w:val="24"/>
          <w:szCs w:val="24"/>
        </w:rPr>
        <w:t>Journal for Research in Mathematics Education, 43</w:t>
      </w:r>
      <w:r w:rsidRPr="46582589">
        <w:rPr>
          <w:sz w:val="24"/>
          <w:szCs w:val="24"/>
        </w:rPr>
        <w:t>, 358-390.</w:t>
      </w:r>
      <w:r w:rsidR="00381769">
        <w:rPr>
          <w:sz w:val="24"/>
          <w:szCs w:val="24"/>
        </w:rPr>
        <w:t xml:space="preserve"> </w:t>
      </w:r>
      <w:hyperlink r:id="rId12" w:history="1">
        <w:r w:rsidR="00381769" w:rsidRPr="00137BEE">
          <w:rPr>
            <w:rStyle w:val="Hyperlnk"/>
            <w:sz w:val="24"/>
            <w:szCs w:val="24"/>
          </w:rPr>
          <w:t>https://doi.org/10.5951/jresematheduc.43.4.0358</w:t>
        </w:r>
      </w:hyperlink>
    </w:p>
    <w:p w14:paraId="2A613935" w14:textId="07C2615C" w:rsidR="1C711DCF" w:rsidRPr="00BE1016" w:rsidRDefault="1C711DCF" w:rsidP="00061D7B">
      <w:pPr>
        <w:widowControl w:val="0"/>
        <w:ind w:left="425" w:hanging="425"/>
      </w:pPr>
      <w:r w:rsidRPr="00BE1016">
        <w:rPr>
          <w:sz w:val="24"/>
          <w:szCs w:val="24"/>
        </w:rPr>
        <w:t xml:space="preserve">Kintsch, W. (1998). </w:t>
      </w:r>
      <w:r w:rsidRPr="00BE1016">
        <w:rPr>
          <w:i/>
          <w:iCs/>
          <w:sz w:val="24"/>
          <w:szCs w:val="24"/>
        </w:rPr>
        <w:t>Comprehension: A paradigm for cognition</w:t>
      </w:r>
      <w:r w:rsidRPr="00BE1016">
        <w:rPr>
          <w:sz w:val="24"/>
          <w:szCs w:val="24"/>
        </w:rPr>
        <w:t xml:space="preserve">. Cambridge University Press.  </w:t>
      </w:r>
    </w:p>
    <w:p w14:paraId="49C3CE61" w14:textId="28084EA3" w:rsidR="4B1172FC" w:rsidRPr="00BE1016" w:rsidRDefault="1C711DCF" w:rsidP="00061D7B">
      <w:pPr>
        <w:widowControl w:val="0"/>
        <w:ind w:left="425" w:hanging="425"/>
      </w:pPr>
      <w:r w:rsidRPr="00BE1016">
        <w:rPr>
          <w:sz w:val="24"/>
          <w:szCs w:val="24"/>
        </w:rPr>
        <w:t xml:space="preserve">Österholm, M. (2008). Do students need to learn how to use their mathematics textbooks? The case of reading comprehension. </w:t>
      </w:r>
      <w:r w:rsidRPr="00BE1016">
        <w:rPr>
          <w:i/>
          <w:iCs/>
          <w:sz w:val="24"/>
          <w:szCs w:val="24"/>
        </w:rPr>
        <w:t>Nordic Studies in Mathematics Education, 13</w:t>
      </w:r>
      <w:r w:rsidRPr="00BE1016">
        <w:rPr>
          <w:sz w:val="24"/>
          <w:szCs w:val="24"/>
        </w:rPr>
        <w:t>, 53-73.</w:t>
      </w:r>
      <w:r w:rsidR="001820E4">
        <w:rPr>
          <w:sz w:val="24"/>
          <w:szCs w:val="24"/>
        </w:rPr>
        <w:t xml:space="preserve"> </w:t>
      </w:r>
      <w:hyperlink r:id="rId13" w:history="1">
        <w:r w:rsidR="001820E4" w:rsidRPr="008B4186">
          <w:rPr>
            <w:rStyle w:val="Hyperlnk"/>
            <w:sz w:val="24"/>
            <w:szCs w:val="24"/>
          </w:rPr>
          <w:t>https://doi.org/10.7146/nomad.v13i3.148124</w:t>
        </w:r>
      </w:hyperlink>
    </w:p>
    <w:sectPr w:rsidR="4B1172FC" w:rsidRPr="00BE1016" w:rsidSect="000761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5A26" w14:textId="77777777" w:rsidR="00B84AEF" w:rsidRDefault="00B84AEF">
      <w:pPr>
        <w:spacing w:line="240" w:lineRule="auto"/>
      </w:pPr>
      <w:r>
        <w:separator/>
      </w:r>
    </w:p>
  </w:endnote>
  <w:endnote w:type="continuationSeparator" w:id="0">
    <w:p w14:paraId="24C1F0EC" w14:textId="77777777" w:rsidR="00B84AEF" w:rsidRDefault="00B84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FF66B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FF66B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77777777" w:rsidR="0075497C" w:rsidRDefault="00754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2D8B" w14:textId="77777777" w:rsidR="00B84AEF" w:rsidRDefault="00B84AEF">
      <w:pPr>
        <w:spacing w:line="240" w:lineRule="auto"/>
      </w:pPr>
      <w:r>
        <w:separator/>
      </w:r>
    </w:p>
  </w:footnote>
  <w:footnote w:type="continuationSeparator" w:id="0">
    <w:p w14:paraId="394BC2B0" w14:textId="77777777" w:rsidR="00B84AEF" w:rsidRDefault="00B84A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F5E0" w14:textId="6DED70CC" w:rsidR="00BE4964" w:rsidRDefault="00BE496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664A690D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F399" w14:textId="19194C0F" w:rsidR="00BE4964" w:rsidRDefault="00BE49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150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246BD"/>
    <w:rsid w:val="000417F7"/>
    <w:rsid w:val="00045332"/>
    <w:rsid w:val="00053461"/>
    <w:rsid w:val="00061D7B"/>
    <w:rsid w:val="00064A57"/>
    <w:rsid w:val="0007480F"/>
    <w:rsid w:val="000761F4"/>
    <w:rsid w:val="0008190B"/>
    <w:rsid w:val="000824C1"/>
    <w:rsid w:val="00084739"/>
    <w:rsid w:val="00087C74"/>
    <w:rsid w:val="00095BCC"/>
    <w:rsid w:val="000A760C"/>
    <w:rsid w:val="000A7C5A"/>
    <w:rsid w:val="000B485D"/>
    <w:rsid w:val="000D2258"/>
    <w:rsid w:val="000F7629"/>
    <w:rsid w:val="000F7BC9"/>
    <w:rsid w:val="001038BE"/>
    <w:rsid w:val="0011194F"/>
    <w:rsid w:val="00117332"/>
    <w:rsid w:val="00117643"/>
    <w:rsid w:val="0012229A"/>
    <w:rsid w:val="00133F5F"/>
    <w:rsid w:val="001613C0"/>
    <w:rsid w:val="001615F6"/>
    <w:rsid w:val="001618CF"/>
    <w:rsid w:val="00166A3B"/>
    <w:rsid w:val="0017239D"/>
    <w:rsid w:val="001807E8"/>
    <w:rsid w:val="001820E4"/>
    <w:rsid w:val="00183E75"/>
    <w:rsid w:val="001C1126"/>
    <w:rsid w:val="001D175B"/>
    <w:rsid w:val="001E10A8"/>
    <w:rsid w:val="001E69ED"/>
    <w:rsid w:val="001F51E2"/>
    <w:rsid w:val="00206FCF"/>
    <w:rsid w:val="00216985"/>
    <w:rsid w:val="00221533"/>
    <w:rsid w:val="002472BF"/>
    <w:rsid w:val="00251524"/>
    <w:rsid w:val="00272432"/>
    <w:rsid w:val="002824CB"/>
    <w:rsid w:val="002A38E1"/>
    <w:rsid w:val="002B5AE6"/>
    <w:rsid w:val="002C5CC7"/>
    <w:rsid w:val="002C65E6"/>
    <w:rsid w:val="002D420A"/>
    <w:rsid w:val="002E1741"/>
    <w:rsid w:val="002E4EF5"/>
    <w:rsid w:val="002E57DC"/>
    <w:rsid w:val="002E6298"/>
    <w:rsid w:val="002F1363"/>
    <w:rsid w:val="002F7A66"/>
    <w:rsid w:val="00300B00"/>
    <w:rsid w:val="00302879"/>
    <w:rsid w:val="0031515E"/>
    <w:rsid w:val="003263BE"/>
    <w:rsid w:val="003664B5"/>
    <w:rsid w:val="00381769"/>
    <w:rsid w:val="00384FE2"/>
    <w:rsid w:val="003909F6"/>
    <w:rsid w:val="00394794"/>
    <w:rsid w:val="003A21CC"/>
    <w:rsid w:val="003B0E33"/>
    <w:rsid w:val="003B2647"/>
    <w:rsid w:val="003B58C9"/>
    <w:rsid w:val="003F244F"/>
    <w:rsid w:val="004013F0"/>
    <w:rsid w:val="004474B2"/>
    <w:rsid w:val="00450CEB"/>
    <w:rsid w:val="00460D70"/>
    <w:rsid w:val="00461D61"/>
    <w:rsid w:val="00485E2A"/>
    <w:rsid w:val="004924E7"/>
    <w:rsid w:val="004B0F73"/>
    <w:rsid w:val="004D180F"/>
    <w:rsid w:val="004E6AC1"/>
    <w:rsid w:val="004E6BFD"/>
    <w:rsid w:val="004E6FCA"/>
    <w:rsid w:val="004F742B"/>
    <w:rsid w:val="00510006"/>
    <w:rsid w:val="00513C13"/>
    <w:rsid w:val="005156F4"/>
    <w:rsid w:val="00521EBE"/>
    <w:rsid w:val="0054056E"/>
    <w:rsid w:val="0056571A"/>
    <w:rsid w:val="00567B75"/>
    <w:rsid w:val="00567E52"/>
    <w:rsid w:val="005710F8"/>
    <w:rsid w:val="0058772F"/>
    <w:rsid w:val="00590F28"/>
    <w:rsid w:val="005941E8"/>
    <w:rsid w:val="0059652F"/>
    <w:rsid w:val="00597905"/>
    <w:rsid w:val="005A095D"/>
    <w:rsid w:val="005A363B"/>
    <w:rsid w:val="005A6FD0"/>
    <w:rsid w:val="005B2435"/>
    <w:rsid w:val="005C08C5"/>
    <w:rsid w:val="005C70C7"/>
    <w:rsid w:val="005E3911"/>
    <w:rsid w:val="0061332F"/>
    <w:rsid w:val="006146FB"/>
    <w:rsid w:val="0061D990"/>
    <w:rsid w:val="0064070C"/>
    <w:rsid w:val="006412F3"/>
    <w:rsid w:val="00642FB7"/>
    <w:rsid w:val="00672077"/>
    <w:rsid w:val="006811C4"/>
    <w:rsid w:val="006A0028"/>
    <w:rsid w:val="006B2858"/>
    <w:rsid w:val="006D392A"/>
    <w:rsid w:val="006E539F"/>
    <w:rsid w:val="006F20E5"/>
    <w:rsid w:val="00700059"/>
    <w:rsid w:val="00701A2C"/>
    <w:rsid w:val="00705921"/>
    <w:rsid w:val="00711F00"/>
    <w:rsid w:val="00713303"/>
    <w:rsid w:val="00737C28"/>
    <w:rsid w:val="007501FF"/>
    <w:rsid w:val="00752C3C"/>
    <w:rsid w:val="0075497C"/>
    <w:rsid w:val="007628ED"/>
    <w:rsid w:val="0076435E"/>
    <w:rsid w:val="00764CD8"/>
    <w:rsid w:val="00781872"/>
    <w:rsid w:val="007921BB"/>
    <w:rsid w:val="007A0DFA"/>
    <w:rsid w:val="007A1D83"/>
    <w:rsid w:val="007B5F3E"/>
    <w:rsid w:val="007B74C7"/>
    <w:rsid w:val="007C0D6B"/>
    <w:rsid w:val="007D7402"/>
    <w:rsid w:val="007E06E2"/>
    <w:rsid w:val="007E544F"/>
    <w:rsid w:val="007F210F"/>
    <w:rsid w:val="00814A5B"/>
    <w:rsid w:val="00832A90"/>
    <w:rsid w:val="0083567F"/>
    <w:rsid w:val="00842F58"/>
    <w:rsid w:val="008678C3"/>
    <w:rsid w:val="00892B98"/>
    <w:rsid w:val="008977EF"/>
    <w:rsid w:val="008C0AD3"/>
    <w:rsid w:val="008C4C60"/>
    <w:rsid w:val="008D6BFB"/>
    <w:rsid w:val="00907265"/>
    <w:rsid w:val="0091141D"/>
    <w:rsid w:val="0091579A"/>
    <w:rsid w:val="00926CCA"/>
    <w:rsid w:val="00933A03"/>
    <w:rsid w:val="00936736"/>
    <w:rsid w:val="00936954"/>
    <w:rsid w:val="00947DF9"/>
    <w:rsid w:val="0098728C"/>
    <w:rsid w:val="009C0834"/>
    <w:rsid w:val="009C103B"/>
    <w:rsid w:val="009C5BB4"/>
    <w:rsid w:val="009E52A4"/>
    <w:rsid w:val="009F0A47"/>
    <w:rsid w:val="009F3E4D"/>
    <w:rsid w:val="00A2654B"/>
    <w:rsid w:val="00A27272"/>
    <w:rsid w:val="00A44CFB"/>
    <w:rsid w:val="00A479A7"/>
    <w:rsid w:val="00A732D9"/>
    <w:rsid w:val="00A85CEC"/>
    <w:rsid w:val="00A90493"/>
    <w:rsid w:val="00A93D39"/>
    <w:rsid w:val="00AA2424"/>
    <w:rsid w:val="00AA4BBB"/>
    <w:rsid w:val="00AF06BD"/>
    <w:rsid w:val="00AF6C9F"/>
    <w:rsid w:val="00B13C57"/>
    <w:rsid w:val="00B465C9"/>
    <w:rsid w:val="00B52B8F"/>
    <w:rsid w:val="00B61988"/>
    <w:rsid w:val="00B61B34"/>
    <w:rsid w:val="00B61B71"/>
    <w:rsid w:val="00B7501E"/>
    <w:rsid w:val="00B76A29"/>
    <w:rsid w:val="00B84AEF"/>
    <w:rsid w:val="00B87192"/>
    <w:rsid w:val="00B91BA9"/>
    <w:rsid w:val="00B9201D"/>
    <w:rsid w:val="00BA58E3"/>
    <w:rsid w:val="00BC36AA"/>
    <w:rsid w:val="00BE1016"/>
    <w:rsid w:val="00BE4964"/>
    <w:rsid w:val="00BF47FC"/>
    <w:rsid w:val="00C00291"/>
    <w:rsid w:val="00C05503"/>
    <w:rsid w:val="00C12770"/>
    <w:rsid w:val="00C32D6E"/>
    <w:rsid w:val="00C43508"/>
    <w:rsid w:val="00C5127D"/>
    <w:rsid w:val="00C73AE4"/>
    <w:rsid w:val="00C91E39"/>
    <w:rsid w:val="00CB670F"/>
    <w:rsid w:val="00CB67C1"/>
    <w:rsid w:val="00CD4CF6"/>
    <w:rsid w:val="00CE6A6A"/>
    <w:rsid w:val="00CE79CD"/>
    <w:rsid w:val="00CE7E6A"/>
    <w:rsid w:val="00D30994"/>
    <w:rsid w:val="00D30CAD"/>
    <w:rsid w:val="00D47411"/>
    <w:rsid w:val="00D61637"/>
    <w:rsid w:val="00D63E29"/>
    <w:rsid w:val="00D667BA"/>
    <w:rsid w:val="00D67003"/>
    <w:rsid w:val="00D75ED5"/>
    <w:rsid w:val="00D827A1"/>
    <w:rsid w:val="00D97214"/>
    <w:rsid w:val="00DA260B"/>
    <w:rsid w:val="00DC0C2F"/>
    <w:rsid w:val="00DF26F2"/>
    <w:rsid w:val="00E0221E"/>
    <w:rsid w:val="00E27C0C"/>
    <w:rsid w:val="00E31918"/>
    <w:rsid w:val="00E47544"/>
    <w:rsid w:val="00E54FC7"/>
    <w:rsid w:val="00E90B43"/>
    <w:rsid w:val="00E956CF"/>
    <w:rsid w:val="00EA5020"/>
    <w:rsid w:val="00EB3CA2"/>
    <w:rsid w:val="00EB66E5"/>
    <w:rsid w:val="00ED011F"/>
    <w:rsid w:val="00ED0ED5"/>
    <w:rsid w:val="00ED2199"/>
    <w:rsid w:val="00F26422"/>
    <w:rsid w:val="00F31513"/>
    <w:rsid w:val="00F31D63"/>
    <w:rsid w:val="00F3330D"/>
    <w:rsid w:val="00F42DFA"/>
    <w:rsid w:val="00F44F11"/>
    <w:rsid w:val="00F5400D"/>
    <w:rsid w:val="00F76678"/>
    <w:rsid w:val="00FA4ED7"/>
    <w:rsid w:val="00FA56B8"/>
    <w:rsid w:val="00FA7AE1"/>
    <w:rsid w:val="00FB0747"/>
    <w:rsid w:val="00FD100A"/>
    <w:rsid w:val="00FD2CF2"/>
    <w:rsid w:val="00FE486F"/>
    <w:rsid w:val="00FE534A"/>
    <w:rsid w:val="00FE7513"/>
    <w:rsid w:val="00FF66B1"/>
    <w:rsid w:val="04A717A5"/>
    <w:rsid w:val="06278707"/>
    <w:rsid w:val="07E12855"/>
    <w:rsid w:val="0B2E796F"/>
    <w:rsid w:val="0D25E417"/>
    <w:rsid w:val="0DD4C0BB"/>
    <w:rsid w:val="0E52F36B"/>
    <w:rsid w:val="0F57C63E"/>
    <w:rsid w:val="109973F5"/>
    <w:rsid w:val="10A23BCF"/>
    <w:rsid w:val="12A203AE"/>
    <w:rsid w:val="17B008D4"/>
    <w:rsid w:val="186845E1"/>
    <w:rsid w:val="19A66C97"/>
    <w:rsid w:val="1A4CA420"/>
    <w:rsid w:val="1C711DCF"/>
    <w:rsid w:val="1C92BB67"/>
    <w:rsid w:val="1D9FECC1"/>
    <w:rsid w:val="1F47866C"/>
    <w:rsid w:val="1F9842B3"/>
    <w:rsid w:val="20F26DF5"/>
    <w:rsid w:val="225142B7"/>
    <w:rsid w:val="23A4654B"/>
    <w:rsid w:val="28FE9F40"/>
    <w:rsid w:val="29456635"/>
    <w:rsid w:val="2BD23E27"/>
    <w:rsid w:val="2E953C11"/>
    <w:rsid w:val="2F69369F"/>
    <w:rsid w:val="31ED5694"/>
    <w:rsid w:val="35B06FD7"/>
    <w:rsid w:val="365F0AD0"/>
    <w:rsid w:val="38C3AB03"/>
    <w:rsid w:val="3B318DA6"/>
    <w:rsid w:val="3B328A99"/>
    <w:rsid w:val="3B36D66E"/>
    <w:rsid w:val="3B57BCB0"/>
    <w:rsid w:val="3D3EED59"/>
    <w:rsid w:val="3DE21246"/>
    <w:rsid w:val="408170FE"/>
    <w:rsid w:val="40C3ADAF"/>
    <w:rsid w:val="415B683A"/>
    <w:rsid w:val="4176A5D7"/>
    <w:rsid w:val="422EFE80"/>
    <w:rsid w:val="429858BD"/>
    <w:rsid w:val="46582589"/>
    <w:rsid w:val="46BD0922"/>
    <w:rsid w:val="47946128"/>
    <w:rsid w:val="480504E9"/>
    <w:rsid w:val="48B1C284"/>
    <w:rsid w:val="49AA1706"/>
    <w:rsid w:val="4A4F3412"/>
    <w:rsid w:val="4B1172FC"/>
    <w:rsid w:val="4C271451"/>
    <w:rsid w:val="4F181B43"/>
    <w:rsid w:val="53866088"/>
    <w:rsid w:val="5505CD98"/>
    <w:rsid w:val="56B09A92"/>
    <w:rsid w:val="5863F845"/>
    <w:rsid w:val="58A7448E"/>
    <w:rsid w:val="592184D3"/>
    <w:rsid w:val="5927742E"/>
    <w:rsid w:val="5ACE7A32"/>
    <w:rsid w:val="5E93146A"/>
    <w:rsid w:val="5F35B547"/>
    <w:rsid w:val="637D0918"/>
    <w:rsid w:val="670D712D"/>
    <w:rsid w:val="693A61AD"/>
    <w:rsid w:val="69C0902F"/>
    <w:rsid w:val="69E44A07"/>
    <w:rsid w:val="6B9F6C66"/>
    <w:rsid w:val="6C0D1C36"/>
    <w:rsid w:val="6D0CF97A"/>
    <w:rsid w:val="6E162AD0"/>
    <w:rsid w:val="722A1F8A"/>
    <w:rsid w:val="74667F52"/>
    <w:rsid w:val="756AF3AB"/>
    <w:rsid w:val="775FA2C7"/>
    <w:rsid w:val="77EA1BBC"/>
    <w:rsid w:val="78902628"/>
    <w:rsid w:val="7907EA56"/>
    <w:rsid w:val="7B8817CC"/>
    <w:rsid w:val="7BA37B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3F72BD"/>
  <w14:defaultImageDpi w14:val="300"/>
  <w15:docId w15:val="{F626A116-D70D-43FE-92E1-13C0CCD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link w:val="Rubrik2Char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paragraph" w:styleId="Sidhuvud">
    <w:name w:val="header"/>
    <w:basedOn w:val="Normal"/>
    <w:link w:val="SidhuvudChar"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7628ED"/>
    <w:rPr>
      <w:sz w:val="26"/>
      <w:szCs w:val="28"/>
      <w:lang w:val="en-GB" w:eastAsia="en-US"/>
    </w:rPr>
  </w:style>
  <w:style w:type="character" w:styleId="Kommentarsreferens">
    <w:name w:val="annotation reference"/>
    <w:basedOn w:val="Standardstycketeckensnitt"/>
    <w:semiHidden/>
    <w:unhideWhenUsed/>
    <w:rsid w:val="005156F4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5156F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5156F4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5156F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5156F4"/>
    <w:rPr>
      <w:b/>
      <w:bCs/>
      <w:lang w:val="en-GB" w:eastAsia="en-US"/>
    </w:rPr>
  </w:style>
  <w:style w:type="character" w:customStyle="1" w:styleId="Rubrik2Char">
    <w:name w:val="Rubrik 2 Char"/>
    <w:aliases w:val="Head 1 Char"/>
    <w:basedOn w:val="Standardstycketeckensnitt"/>
    <w:link w:val="Rubrik2"/>
    <w:rsid w:val="00FA56B8"/>
    <w:rPr>
      <w:b/>
      <w:kern w:val="28"/>
      <w:sz w:val="28"/>
      <w:szCs w:val="32"/>
      <w:lang w:val="en-GB" w:eastAsia="en-US"/>
    </w:rPr>
  </w:style>
  <w:style w:type="character" w:styleId="Hyperlnk">
    <w:name w:val="Hyperlink"/>
    <w:basedOn w:val="Standardstycketeckensnitt"/>
    <w:uiPriority w:val="99"/>
    <w:unhideWhenUsed/>
    <w:rsid w:val="4658258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0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7146/nomad.v13i3.148124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5951/jresematheduc.43.4.035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4324/9781003432258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doi.org/10.3102/00028312028003661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f1e05-8b65-4512-95dd-9f669bd9b4e8">
      <Terms xmlns="http://schemas.microsoft.com/office/infopath/2007/PartnerControls"/>
    </lcf76f155ced4ddcb4097134ff3c332f>
    <TaxCatchAll xmlns="3674543a-ff2e-446e-980a-b7b57440f4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06F3FBB831E4A82C965666AA2376B" ma:contentTypeVersion="18" ma:contentTypeDescription="Skapa ett nytt dokument." ma:contentTypeScope="" ma:versionID="20c0b63008f6fdf33ceca13ed0ca5e92">
  <xsd:schema xmlns:xsd="http://www.w3.org/2001/XMLSchema" xmlns:xs="http://www.w3.org/2001/XMLSchema" xmlns:p="http://schemas.microsoft.com/office/2006/metadata/properties" xmlns:ns2="c30f1e05-8b65-4512-95dd-9f669bd9b4e8" xmlns:ns3="3674543a-ff2e-446e-980a-b7b57440f42e" targetNamespace="http://schemas.microsoft.com/office/2006/metadata/properties" ma:root="true" ma:fieldsID="bdfc5f82c1698a806b4eabeb779e6869" ns2:_="" ns3:_="">
    <xsd:import namespace="c30f1e05-8b65-4512-95dd-9f669bd9b4e8"/>
    <xsd:import namespace="3674543a-ff2e-446e-980a-b7b57440f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1e05-8b65-4512-95dd-9f669bd9b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4543a-ff2e-446e-980a-b7b57440f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a98883-3b57-4d72-bce8-d9ca1b867ed4}" ma:internalName="TaxCatchAll" ma:showField="CatchAllData" ma:web="3674543a-ff2e-446e-980a-b7b57440f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6C519-9358-403A-8BB0-FD0D0B71E979}">
  <ds:schemaRefs>
    <ds:schemaRef ds:uri="http://schemas.microsoft.com/office/2006/metadata/properties"/>
    <ds:schemaRef ds:uri="http://schemas.microsoft.com/office/infopath/2007/PartnerControls"/>
    <ds:schemaRef ds:uri="c30f1e05-8b65-4512-95dd-9f669bd9b4e8"/>
    <ds:schemaRef ds:uri="3674543a-ff2e-446e-980a-b7b57440f42e"/>
  </ds:schemaRefs>
</ds:datastoreItem>
</file>

<file path=customXml/itemProps2.xml><?xml version="1.0" encoding="utf-8"?>
<ds:datastoreItem xmlns:ds="http://schemas.openxmlformats.org/officeDocument/2006/customXml" ds:itemID="{5FFC3257-FED0-4B48-81B9-034ED8D9E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f1e05-8b65-4512-95dd-9f669bd9b4e8"/>
    <ds:schemaRef ds:uri="3674543a-ff2e-446e-980a-b7b57440f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85A52-D47D-4A68-9243-33CC073221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5086</Characters>
  <Application>Microsoft Office Word</Application>
  <DocSecurity>4</DocSecurity>
  <Lines>79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MADIF8 PROCEEDINGS STYLE TEMPLATE</vt:lpstr>
    </vt:vector>
  </TitlesOfParts>
  <Manager/>
  <Company/>
  <LinksUpToDate>false</LinksUpToDate>
  <CharactersWithSpaces>5890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>Hanna Palmér</dc:creator>
  <cp:keywords/>
  <dc:description/>
  <cp:lastModifiedBy>Hanna Palmér</cp:lastModifiedBy>
  <cp:revision>2</cp:revision>
  <dcterms:created xsi:type="dcterms:W3CDTF">2025-11-09T16:01:00Z</dcterms:created>
  <dcterms:modified xsi:type="dcterms:W3CDTF">2025-11-09T16:01:00Z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0x01010038006F3FBB831E4A82C965666AA2376B</vt:lpwstr>
  </property>
  <property fmtid="{D5CDD505-2E9C-101B-9397-08002B2CF9AE}" pid="3" name="MediaServiceImageTags">
    <vt:lpwstr/>
  </property>
</Properties>
</file>