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A1F1" w14:textId="17B14436" w:rsidR="00FD1E17" w:rsidRPr="00FD1E17" w:rsidRDefault="00FD1E17" w:rsidP="00FD1E17">
      <w:pPr>
        <w:pStyle w:val="Rubrik1"/>
      </w:pPr>
      <w:r w:rsidRPr="00FD1E17">
        <w:t>Mathematics Teachers’ Adoption of Novel Instructional Practices: Factors Shaping Implementation in Professional Development</w:t>
      </w:r>
    </w:p>
    <w:p w14:paraId="080E0699" w14:textId="124F6C55" w:rsidR="00CE6A6A" w:rsidRDefault="00C04EC1" w:rsidP="00CE6A6A">
      <w:pPr>
        <w:pStyle w:val="Rubrik8"/>
      </w:pPr>
      <w:r>
        <w:t>Seif Sharif</w:t>
      </w:r>
    </w:p>
    <w:p w14:paraId="65C507C0" w14:textId="1DAA431C" w:rsidR="00ED2199" w:rsidRDefault="00C04EC1" w:rsidP="00C278C7">
      <w:pPr>
        <w:pStyle w:val="Rubrik9"/>
      </w:pPr>
      <w:r>
        <w:t xml:space="preserve">Gothenburg </w:t>
      </w:r>
      <w:r w:rsidR="00FB176D">
        <w:t>University</w:t>
      </w:r>
    </w:p>
    <w:p w14:paraId="38CE90B5" w14:textId="5B375AB3" w:rsidR="00C04EC1" w:rsidRDefault="00C04EC1" w:rsidP="00C04EC1">
      <w:pPr>
        <w:pStyle w:val="Brdtext"/>
      </w:pPr>
      <w:r>
        <w:t xml:space="preserve">Educational reforms frequently introduce new pedagogical approaches with the expectation that teachers will integrate them into practice. However, adoption is complex and shaped by teachers’ beliefs, classroom contexts, and practical constraints. This </w:t>
      </w:r>
      <w:r w:rsidR="00337FE0">
        <w:t xml:space="preserve">presentation </w:t>
      </w:r>
      <w:r>
        <w:t>highlights</w:t>
      </w:r>
      <w:r w:rsidR="00FB176D">
        <w:t xml:space="preserve"> how</w:t>
      </w:r>
      <w:r>
        <w:t xml:space="preserve"> five themes that emerged from </w:t>
      </w:r>
      <w:r w:rsidR="00FD1E17">
        <w:t xml:space="preserve">a </w:t>
      </w:r>
      <w:r>
        <w:t>thematic analysis</w:t>
      </w:r>
      <w:r w:rsidR="00FB176D">
        <w:t xml:space="preserve"> affect implementation of new pedagogical approaches </w:t>
      </w:r>
      <w:r w:rsidR="00FD1E17">
        <w:t xml:space="preserve">within the context of professional development (PD). </w:t>
      </w:r>
      <w:r>
        <w:t xml:space="preserve"> </w:t>
      </w:r>
    </w:p>
    <w:p w14:paraId="0AD21A6A" w14:textId="5DD4E89A" w:rsidR="00C04EC1" w:rsidRDefault="00C04EC1" w:rsidP="00C04EC1">
      <w:pPr>
        <w:pStyle w:val="Rubrik2"/>
      </w:pPr>
      <w:r>
        <w:t>Method</w:t>
      </w:r>
    </w:p>
    <w:p w14:paraId="3B31C441" w14:textId="5498D206" w:rsidR="00C04EC1" w:rsidRDefault="00C04EC1" w:rsidP="00C04EC1">
      <w:pPr>
        <w:pStyle w:val="Brdtext"/>
      </w:pPr>
      <w:r>
        <w:t xml:space="preserve">Three teachers (2–25 years’ experience) who had participated in a project involving physical and digital mathematics resources were interviewed. </w:t>
      </w:r>
      <w:r w:rsidR="008E6ADC">
        <w:t>Semi‑structured interviews were transcribed and analysed inductively using Braun and Clarke’s (2006) six‑step thematic analysis. Codes were generated from teachers’ descriptions of their experiences, challenges, and reflections about new teaching methods.</w:t>
      </w:r>
    </w:p>
    <w:p w14:paraId="14465805" w14:textId="6C7115B1" w:rsidR="00671385" w:rsidRPr="00671385" w:rsidRDefault="00671385" w:rsidP="00671385">
      <w:pPr>
        <w:pStyle w:val="Rubrik2"/>
      </w:pPr>
      <w:r>
        <w:t>Findings</w:t>
      </w:r>
    </w:p>
    <w:p w14:paraId="55AF9581" w14:textId="299095AF" w:rsidR="008E6ADC" w:rsidRPr="00671385" w:rsidRDefault="008E6ADC" w:rsidP="00671385">
      <w:pPr>
        <w:pStyle w:val="Brdtext"/>
      </w:pPr>
      <w:r w:rsidRPr="00671385">
        <w:t>The five themes</w:t>
      </w:r>
      <w:r w:rsidR="00A2749C" w:rsidRPr="00671385">
        <w:t xml:space="preserve"> found</w:t>
      </w:r>
      <w:r w:rsidRPr="00671385">
        <w:t xml:space="preserve">, </w:t>
      </w:r>
      <w:r w:rsidR="00A2749C" w:rsidRPr="00671385">
        <w:t xml:space="preserve">and </w:t>
      </w:r>
      <w:r w:rsidRPr="00671385">
        <w:t>explored deeper in Sharif (2026), were as follows: (1) Professional autonomy</w:t>
      </w:r>
      <w:r w:rsidR="00A2749C" w:rsidRPr="00671385">
        <w:t>. F</w:t>
      </w:r>
      <w:r w:rsidRPr="00671385">
        <w:t>lexibility to adapt innovations to personal teaching styles is essential; rigid mandates face resistance. (2) Student engagement</w:t>
      </w:r>
      <w:r w:rsidR="00A2749C" w:rsidRPr="00671385">
        <w:t xml:space="preserve">. </w:t>
      </w:r>
      <w:r w:rsidRPr="00671385">
        <w:t xml:space="preserve"> </w:t>
      </w:r>
      <w:r w:rsidR="00A2749C" w:rsidRPr="00671385">
        <w:t>M</w:t>
      </w:r>
      <w:r w:rsidRPr="00671385">
        <w:t>aterials that spark curiosity and collaboration motivate continued use, though effectiveness varies by student group. (3) Learning outcomes. Preference for methods that enhance conceptual understanding and confidence, especially for struggling learners. (4) Practical and logistical barriers. Barriers like noise, preparation time, unclear instructions, and monitoring challenges can outweigh benefits. (5) Student-material fit. Success hinges on matching difficulty and structure to diverse class needs; adaptability is critical.</w:t>
      </w:r>
    </w:p>
    <w:p w14:paraId="5E5BEF07" w14:textId="07EDD4CF" w:rsidR="00012EE8" w:rsidRPr="00012EE8" w:rsidRDefault="00C04EC1" w:rsidP="00012EE8">
      <w:pPr>
        <w:pStyle w:val="Rubrik2"/>
      </w:pPr>
      <w:r>
        <w:t>Discussion</w:t>
      </w:r>
    </w:p>
    <w:p w14:paraId="3BD2F805" w14:textId="4ACBD5D7" w:rsidR="00C278C7" w:rsidRDefault="00012EE8" w:rsidP="00C278C7">
      <w:pPr>
        <w:pStyle w:val="Brdtext"/>
      </w:pPr>
      <w:r>
        <w:t xml:space="preserve">The </w:t>
      </w:r>
      <w:r w:rsidR="008E6ADC">
        <w:t>themes</w:t>
      </w:r>
      <w:r>
        <w:t xml:space="preserve"> should not be viewed independently; teachers evaluate innovations holistically. A method that fits students well and improves learning may outweigh logistical challenges, whereas a method that limits autonomy or fails to support learning is unlikely to persist. </w:t>
      </w:r>
      <w:r w:rsidR="00C278C7">
        <w:t xml:space="preserve">The findings align with theoretical frameworks such as Rogers’ </w:t>
      </w:r>
      <w:r w:rsidR="00013691">
        <w:t xml:space="preserve">(2003) </w:t>
      </w:r>
      <w:r w:rsidR="00C278C7" w:rsidRPr="00522EF7">
        <w:rPr>
          <w:i/>
          <w:iCs/>
        </w:rPr>
        <w:t>Diffusion of Innovations</w:t>
      </w:r>
      <w:r w:rsidR="00C278C7">
        <w:t xml:space="preserve">, Clarke and Hollingsworth’s </w:t>
      </w:r>
      <w:r w:rsidR="00013691">
        <w:t xml:space="preserve">(2002) </w:t>
      </w:r>
      <w:r w:rsidR="00013691" w:rsidRPr="00522EF7">
        <w:rPr>
          <w:i/>
          <w:iCs/>
        </w:rPr>
        <w:t>Interconnected M</w:t>
      </w:r>
      <w:r w:rsidR="00C278C7" w:rsidRPr="00522EF7">
        <w:rPr>
          <w:i/>
          <w:iCs/>
        </w:rPr>
        <w:t xml:space="preserve">odel of </w:t>
      </w:r>
      <w:r w:rsidR="00013691" w:rsidRPr="00522EF7">
        <w:rPr>
          <w:i/>
          <w:iCs/>
        </w:rPr>
        <w:t>T</w:t>
      </w:r>
      <w:r w:rsidR="00C278C7" w:rsidRPr="00522EF7">
        <w:rPr>
          <w:i/>
          <w:iCs/>
        </w:rPr>
        <w:t xml:space="preserve">eacher </w:t>
      </w:r>
      <w:r w:rsidR="00013691" w:rsidRPr="00522EF7">
        <w:rPr>
          <w:i/>
          <w:iCs/>
        </w:rPr>
        <w:t>G</w:t>
      </w:r>
      <w:r w:rsidR="00C278C7" w:rsidRPr="00522EF7">
        <w:rPr>
          <w:i/>
          <w:iCs/>
        </w:rPr>
        <w:t>rowth</w:t>
      </w:r>
      <w:r w:rsidR="00C278C7">
        <w:t xml:space="preserve">, and Hall and Hord’s </w:t>
      </w:r>
      <w:r w:rsidR="00013691">
        <w:t xml:space="preserve">(2020) </w:t>
      </w:r>
      <w:r w:rsidR="00013691" w:rsidRPr="00522EF7">
        <w:rPr>
          <w:i/>
          <w:iCs/>
        </w:rPr>
        <w:t>Concerns-Based Adoption Model</w:t>
      </w:r>
      <w:r w:rsidR="00013691">
        <w:t xml:space="preserve"> </w:t>
      </w:r>
      <w:r w:rsidR="00013691">
        <w:lastRenderedPageBreak/>
        <w:t>(</w:t>
      </w:r>
      <w:proofErr w:type="spellStart"/>
      <w:r w:rsidR="00C278C7">
        <w:t>CBAM</w:t>
      </w:r>
      <w:proofErr w:type="spellEnd"/>
      <w:r w:rsidR="00013691">
        <w:t>)</w:t>
      </w:r>
      <w:r w:rsidR="00C278C7">
        <w:t>, all of which emphasize compatibility, perceived benefits, and manageable complexity.</w:t>
      </w:r>
    </w:p>
    <w:p w14:paraId="3CA3CC63" w14:textId="6520E1CF" w:rsidR="00C278C7" w:rsidRDefault="00C278C7" w:rsidP="00C278C7">
      <w:pPr>
        <w:pStyle w:val="Rubrik2"/>
      </w:pPr>
      <w:r>
        <w:t>Implications</w:t>
      </w:r>
    </w:p>
    <w:p w14:paraId="54C141C8" w14:textId="0975F018" w:rsidR="00F42B5F" w:rsidRDefault="00F42B5F" w:rsidP="00F42B5F">
      <w:pPr>
        <w:pStyle w:val="Brdtext"/>
      </w:pPr>
      <w:r w:rsidRPr="00F42B5F">
        <w:t xml:space="preserve">A central contribution of the study lies in its implications for how </w:t>
      </w:r>
      <w:r>
        <w:t>(</w:t>
      </w:r>
      <w:r w:rsidRPr="00F42B5F">
        <w:t>PD</w:t>
      </w:r>
      <w:r>
        <w:t>)</w:t>
      </w:r>
      <w:r w:rsidRPr="00F42B5F">
        <w:t xml:space="preserve"> can more effectively support sustained instructional change in mathematics.</w:t>
      </w:r>
    </w:p>
    <w:p w14:paraId="06CAAF6A" w14:textId="1DC34FCC" w:rsidR="00671385" w:rsidRPr="00A2749C" w:rsidRDefault="00A2749C" w:rsidP="00671385">
      <w:r w:rsidRPr="00A2749C">
        <w:t xml:space="preserve">The findings suggest that professional development initiatives should prioritize teacher autonomy by offering adaptable strategies rather than imposing rigid, prescriptive methods, thereby respecting teachers’ professional judgment. Training programs need to equip educators with practical techniques for fostering student engagement, including leveraging </w:t>
      </w:r>
      <w:r w:rsidR="00671385">
        <w:t>the material to</w:t>
      </w:r>
      <w:r w:rsidRPr="00A2749C">
        <w:t xml:space="preserve"> accommodate diverse learner profiles. Furthermore, PD should emphasize the pedagogical value of concrete tools in enhancing conceptual understanding and confidence, particularly for students who struggle with abstract representations, while guiding teachers to weigh minor drawbacks against demonstrable learning gains. Addressing practical barriers is equally critical; programs should provide classroom management strategies for mitigating noise and time-intensive preparation, alongside guidance for efficient implementation and monitoring of digital tools. Finally, PD </w:t>
      </w:r>
      <w:r w:rsidR="00671385">
        <w:t xml:space="preserve">should </w:t>
      </w:r>
      <w:r w:rsidRPr="00A2749C">
        <w:t xml:space="preserve">promote flexible design principles by </w:t>
      </w:r>
      <w:r w:rsidR="00671385">
        <w:t xml:space="preserve">offering </w:t>
      </w:r>
      <w:r w:rsidRPr="00A2749C">
        <w:t xml:space="preserve">teachers </w:t>
      </w:r>
      <w:r w:rsidR="00671385">
        <w:t xml:space="preserve">the option </w:t>
      </w:r>
      <w:r w:rsidRPr="00A2749C">
        <w:t>to adjust difficulty and structure to suit mixed-ability classrooms</w:t>
      </w:r>
      <w:r w:rsidR="00671385">
        <w:t>.</w:t>
      </w:r>
    </w:p>
    <w:p w14:paraId="1EDF5621" w14:textId="243945FF" w:rsidR="004565F3" w:rsidRDefault="004565F3" w:rsidP="004565F3">
      <w:pPr>
        <w:pStyle w:val="Rubrik2"/>
      </w:pPr>
      <w:r>
        <w:t>Conclusion</w:t>
      </w:r>
    </w:p>
    <w:p w14:paraId="586F7AD8" w14:textId="77777777" w:rsidR="00F42B5F" w:rsidRDefault="00F42B5F" w:rsidP="00F42B5F">
      <w:pPr>
        <w:pStyle w:val="Brdtext"/>
      </w:pPr>
      <w:r>
        <w:t>This short communication highlights broader implications from a qualitative study of mathematics teachers’ reflections on adopting a new instructional method. Teachers’ adoption decisions were shaped by a combination of pedagogical reasoning, practical constraints, and perceived alignment with student needs. These insights underscore the importance of PD that is responsive to both the structural and instructional realities of mathematics classrooms. A forthcoming full article will present the detailed thematic analysis and theoretical integration underlying these implications.</w:t>
      </w:r>
    </w:p>
    <w:p w14:paraId="6F203C91" w14:textId="3391CA8D" w:rsidR="00CE6A6A" w:rsidRDefault="00CE6A6A">
      <w:pPr>
        <w:pStyle w:val="Rubrik2"/>
      </w:pPr>
      <w:r>
        <w:t>References</w:t>
      </w:r>
    </w:p>
    <w:p w14:paraId="7C98CA38" w14:textId="77777777" w:rsidR="00013691" w:rsidRPr="0074436E" w:rsidRDefault="00013691" w:rsidP="00013691">
      <w:pPr>
        <w:pStyle w:val="References"/>
      </w:pPr>
      <w:r w:rsidRPr="0074436E">
        <w:t xml:space="preserve">Braun, V., &amp; Clarke, V. (2006). Using thematic analysis in psychology. </w:t>
      </w:r>
      <w:r w:rsidRPr="0074436E">
        <w:rPr>
          <w:rStyle w:val="Betoning"/>
          <w:color w:val="000000" w:themeColor="text1"/>
        </w:rPr>
        <w:t>Qualitative Research in Psychology</w:t>
      </w:r>
      <w:r w:rsidRPr="0074436E">
        <w:t>, 3(2), 77–101. https://doi.org/10.1191/1478088706qp063oa</w:t>
      </w:r>
    </w:p>
    <w:p w14:paraId="12E34A90" w14:textId="77777777" w:rsidR="009D3D6B" w:rsidRDefault="00013691" w:rsidP="00013691">
      <w:pPr>
        <w:pStyle w:val="References"/>
      </w:pPr>
      <w:r w:rsidRPr="0074436E">
        <w:t xml:space="preserve">Clarke, D., &amp; Hollingsworth, H. (2002). Elaborating a model of teacher professional growth. </w:t>
      </w:r>
      <w:r w:rsidRPr="0074436E">
        <w:rPr>
          <w:rStyle w:val="Betoning"/>
          <w:color w:val="000000" w:themeColor="text1"/>
        </w:rPr>
        <w:t>Teaching and Teacher Education</w:t>
      </w:r>
      <w:r w:rsidRPr="0074436E">
        <w:t xml:space="preserve">, 18(8), 947–967. </w:t>
      </w:r>
    </w:p>
    <w:p w14:paraId="083308EF" w14:textId="50922D5E" w:rsidR="00013691" w:rsidRPr="0074436E" w:rsidRDefault="00013691" w:rsidP="00522EF7">
      <w:pPr>
        <w:pStyle w:val="References"/>
        <w:ind w:firstLine="0"/>
      </w:pPr>
      <w:r w:rsidRPr="0074436E">
        <w:t>https://doi.org/10.1016/S0742-051X(02)00053-7</w:t>
      </w:r>
    </w:p>
    <w:p w14:paraId="78021919" w14:textId="77777777" w:rsidR="006C72CC" w:rsidRPr="0074436E" w:rsidRDefault="006C72CC" w:rsidP="006C72CC">
      <w:pPr>
        <w:pStyle w:val="References"/>
      </w:pPr>
      <w:r w:rsidRPr="0074436E">
        <w:t>Hall, G. E., &amp; Hord, S. M. (20</w:t>
      </w:r>
      <w:r>
        <w:t>20</w:t>
      </w:r>
      <w:r w:rsidRPr="0074436E">
        <w:t xml:space="preserve">). </w:t>
      </w:r>
      <w:r w:rsidRPr="0074436E">
        <w:rPr>
          <w:rStyle w:val="Betoning"/>
          <w:color w:val="000000" w:themeColor="text1"/>
        </w:rPr>
        <w:t>Implementing change: Patterns, principles, and potholes</w:t>
      </w:r>
      <w:r w:rsidRPr="0074436E">
        <w:t xml:space="preserve"> (</w:t>
      </w:r>
      <w:r>
        <w:t>5</w:t>
      </w:r>
      <w:r w:rsidRPr="00C24D45">
        <w:rPr>
          <w:vertAlign w:val="superscript"/>
        </w:rPr>
        <w:t>th</w:t>
      </w:r>
      <w:r w:rsidRPr="0074436E">
        <w:t xml:space="preserve"> ed.). Pearson.</w:t>
      </w:r>
    </w:p>
    <w:p w14:paraId="17807270" w14:textId="1E4C6B45" w:rsidR="00671385" w:rsidRDefault="006C72CC" w:rsidP="00671385">
      <w:pPr>
        <w:pStyle w:val="References"/>
      </w:pPr>
      <w:r w:rsidRPr="0074436E">
        <w:t xml:space="preserve">Rogers, E. M. (2003). </w:t>
      </w:r>
      <w:r w:rsidRPr="0074436E">
        <w:rPr>
          <w:rStyle w:val="Betoning"/>
          <w:color w:val="000000" w:themeColor="text1"/>
        </w:rPr>
        <w:t>Diffusion of innovations</w:t>
      </w:r>
      <w:r w:rsidRPr="0074436E">
        <w:t xml:space="preserve"> (5th ed.). Free Press.</w:t>
      </w:r>
    </w:p>
    <w:p w14:paraId="69A757A9" w14:textId="6D718489" w:rsidR="00FD1E17" w:rsidRPr="009C103B" w:rsidRDefault="00671385" w:rsidP="00FD1E17">
      <w:pPr>
        <w:pStyle w:val="References"/>
      </w:pPr>
      <w:r>
        <w:t xml:space="preserve">Sharif, S. (2026). </w:t>
      </w:r>
      <w:r>
        <w:rPr>
          <w:rStyle w:val="Betoning"/>
        </w:rPr>
        <w:t>Mathematics teachers’ adoption of novel pedagogical methods</w:t>
      </w:r>
      <w:r>
        <w:t xml:space="preserve"> [Conference paper in preparation]</w:t>
      </w:r>
    </w:p>
    <w:sectPr w:rsidR="00FD1E17" w:rsidRPr="009C103B" w:rsidSect="000761F4">
      <w:headerReference w:type="default" r:id="rId7"/>
      <w:footerReference w:type="even" r:id="rId8"/>
      <w:footerReference w:type="default" r:id="rId9"/>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9CDF" w14:textId="77777777" w:rsidR="00D17F59" w:rsidRDefault="00D17F59">
      <w:pPr>
        <w:spacing w:line="240" w:lineRule="auto"/>
      </w:pPr>
      <w:r>
        <w:separator/>
      </w:r>
    </w:p>
  </w:endnote>
  <w:endnote w:type="continuationSeparator" w:id="0">
    <w:p w14:paraId="7DC66C7E" w14:textId="77777777" w:rsidR="00D17F59" w:rsidRDefault="00D17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653D" w14:textId="77777777" w:rsidR="00D17F59" w:rsidRDefault="00D17F59">
      <w:pPr>
        <w:spacing w:line="240" w:lineRule="auto"/>
      </w:pPr>
      <w:r>
        <w:separator/>
      </w:r>
    </w:p>
  </w:footnote>
  <w:footnote w:type="continuationSeparator" w:id="0">
    <w:p w14:paraId="4B5D6AE1" w14:textId="77777777" w:rsidR="00D17F59" w:rsidRDefault="00D17F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C01BF"/>
    <w:multiLevelType w:val="hybridMultilevel"/>
    <w:tmpl w:val="19484160"/>
    <w:lvl w:ilvl="0" w:tplc="CFDA7D0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6B23C7E"/>
    <w:multiLevelType w:val="hybridMultilevel"/>
    <w:tmpl w:val="1736DEEE"/>
    <w:lvl w:ilvl="0" w:tplc="EA3A352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8BB5592"/>
    <w:multiLevelType w:val="hybridMultilevel"/>
    <w:tmpl w:val="209C72D0"/>
    <w:lvl w:ilvl="0" w:tplc="ABFC725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11501581">
    <w:abstractNumId w:val="0"/>
  </w:num>
  <w:num w:numId="2" w16cid:durableId="1631016137">
    <w:abstractNumId w:val="1"/>
  </w:num>
  <w:num w:numId="3" w16cid:durableId="735594646">
    <w:abstractNumId w:val="2"/>
  </w:num>
  <w:num w:numId="4" w16cid:durableId="252595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12EE8"/>
    <w:rsid w:val="00013691"/>
    <w:rsid w:val="00053461"/>
    <w:rsid w:val="00064A57"/>
    <w:rsid w:val="000761F4"/>
    <w:rsid w:val="00084739"/>
    <w:rsid w:val="000D2258"/>
    <w:rsid w:val="000F7629"/>
    <w:rsid w:val="000F7BC9"/>
    <w:rsid w:val="00117643"/>
    <w:rsid w:val="00133F5F"/>
    <w:rsid w:val="001E69ED"/>
    <w:rsid w:val="001F6C49"/>
    <w:rsid w:val="002026FF"/>
    <w:rsid w:val="002824CB"/>
    <w:rsid w:val="002A38E1"/>
    <w:rsid w:val="002C65E6"/>
    <w:rsid w:val="00337FE0"/>
    <w:rsid w:val="003B2647"/>
    <w:rsid w:val="004565F3"/>
    <w:rsid w:val="00461D61"/>
    <w:rsid w:val="004A06D3"/>
    <w:rsid w:val="004E6BFD"/>
    <w:rsid w:val="00522EF7"/>
    <w:rsid w:val="00567E52"/>
    <w:rsid w:val="005710F8"/>
    <w:rsid w:val="0059652F"/>
    <w:rsid w:val="005A363B"/>
    <w:rsid w:val="005E3911"/>
    <w:rsid w:val="00671385"/>
    <w:rsid w:val="00672077"/>
    <w:rsid w:val="00682307"/>
    <w:rsid w:val="006A35CE"/>
    <w:rsid w:val="006C72CC"/>
    <w:rsid w:val="00737C28"/>
    <w:rsid w:val="0075497C"/>
    <w:rsid w:val="007628ED"/>
    <w:rsid w:val="007A1D83"/>
    <w:rsid w:val="007F210F"/>
    <w:rsid w:val="00842F58"/>
    <w:rsid w:val="008B5B35"/>
    <w:rsid w:val="008C4C60"/>
    <w:rsid w:val="008E6ADC"/>
    <w:rsid w:val="0091579A"/>
    <w:rsid w:val="00926CCA"/>
    <w:rsid w:val="00933A03"/>
    <w:rsid w:val="009C103B"/>
    <w:rsid w:val="009D3D6B"/>
    <w:rsid w:val="00A2654B"/>
    <w:rsid w:val="00A2749C"/>
    <w:rsid w:val="00A97DDD"/>
    <w:rsid w:val="00B13C57"/>
    <w:rsid w:val="00BA47D0"/>
    <w:rsid w:val="00BC36AA"/>
    <w:rsid w:val="00C04EC1"/>
    <w:rsid w:val="00C05503"/>
    <w:rsid w:val="00C278C7"/>
    <w:rsid w:val="00C32D6E"/>
    <w:rsid w:val="00C52FA5"/>
    <w:rsid w:val="00CA1610"/>
    <w:rsid w:val="00CA6071"/>
    <w:rsid w:val="00CD4CF6"/>
    <w:rsid w:val="00CE6A6A"/>
    <w:rsid w:val="00D17F59"/>
    <w:rsid w:val="00D827A1"/>
    <w:rsid w:val="00DF26F2"/>
    <w:rsid w:val="00E90B43"/>
    <w:rsid w:val="00ED2199"/>
    <w:rsid w:val="00F42B5F"/>
    <w:rsid w:val="00F42DFA"/>
    <w:rsid w:val="00F5400D"/>
    <w:rsid w:val="00FA4ED7"/>
    <w:rsid w:val="00FB0747"/>
    <w:rsid w:val="00FB176D"/>
    <w:rsid w:val="00FD1E17"/>
    <w:rsid w:val="00FD2CF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semiHidden/>
    <w:unhideWhenUsed/>
    <w:rsid w:val="007628ED"/>
    <w:pPr>
      <w:tabs>
        <w:tab w:val="center" w:pos="4536"/>
        <w:tab w:val="right" w:pos="9072"/>
      </w:tabs>
      <w:spacing w:line="240" w:lineRule="auto"/>
    </w:pPr>
  </w:style>
  <w:style w:type="character" w:customStyle="1" w:styleId="SidhuvudChar">
    <w:name w:val="Sidhuvud Char"/>
    <w:basedOn w:val="Standardstycketeckensnitt"/>
    <w:link w:val="Sidhuvud"/>
    <w:semiHidden/>
    <w:rsid w:val="007628ED"/>
    <w:rPr>
      <w:sz w:val="26"/>
      <w:szCs w:val="28"/>
      <w:lang w:val="en-GB" w:eastAsia="en-US"/>
    </w:rPr>
  </w:style>
  <w:style w:type="character" w:styleId="Betoning">
    <w:name w:val="Emphasis"/>
    <w:basedOn w:val="Standardstycketeckensnitt"/>
    <w:uiPriority w:val="20"/>
    <w:qFormat/>
    <w:rsid w:val="00013691"/>
    <w:rPr>
      <w:i/>
      <w:iCs/>
    </w:rPr>
  </w:style>
  <w:style w:type="paragraph" w:styleId="Revision">
    <w:name w:val="Revision"/>
    <w:hidden/>
    <w:semiHidden/>
    <w:rsid w:val="00337FE0"/>
    <w:rPr>
      <w:sz w:val="26"/>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4266</Characters>
  <Application>Microsoft Office Word</Application>
  <DocSecurity>0</DocSecurity>
  <Lines>99</Lines>
  <Paragraphs>44</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4842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
  <cp:keywords/>
  <dc:description/>
  <cp:lastModifiedBy/>
  <cp:revision>1</cp:revision>
  <dcterms:created xsi:type="dcterms:W3CDTF">2025-12-01T15:20:00Z</dcterms:created>
  <dcterms:modified xsi:type="dcterms:W3CDTF">2025-12-03T07:51:00Z</dcterms:modified>
  <cp:category/>
</cp:coreProperties>
</file>