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heading=h.hmn290638nas" w:id="0"/>
      <w:bookmarkEnd w:id="0"/>
      <w:r w:rsidDel="00000000" w:rsidR="00000000" w:rsidRPr="00000000">
        <w:rPr>
          <w:rtl w:val="0"/>
        </w:rPr>
        <w:t xml:space="preserve">Teaching ordinality of numbers in preschool counting rhymes with representations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Camilla Björklund and Helen Lindgren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of Gothenburg, Sweden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this presentation, the starting point is an ambition to design teaching activities for preschoolers to whom numbers are novel concepts. In the tradition of variation theory of learning (Marton, 2015), to learn a new concept such as numbers, the child first has to differentiate the aspects ordinality and cardinality of numbers, before these can be coordinated and constitute a powerful way of experiencing and making use of numbers. Fuson (1988) defines ordinality as ordinal number, sequence and order relations. Cardinality describes the number of elements in a set. How to teach ordinality has shown to be more complicated than teaching cardinality, because ordinality usually appears intertwined with other attributes of numbers (Askew &amp; Venkat, 2020). </w:t>
      </w:r>
    </w:p>
    <w:p w:rsidR="00000000" w:rsidDel="00000000" w:rsidP="00000000" w:rsidRDefault="00000000" w:rsidRPr="00000000" w14:paraId="00000005">
      <w:pPr>
        <w:rPr/>
      </w:pPr>
      <w:r w:rsidDel="00000000" w:rsidR="00000000" w:rsidRPr="00000000">
        <w:rPr>
          <w:rtl w:val="0"/>
        </w:rPr>
        <w:t xml:space="preserve">Children encounter numbers in daily situations and teaching practices, through representations in different modes. Using different representations when teaching is a way to support conceptual understanding and help children see connections between different ways of expressing a mathematical idea (Lesh, 1981). Representations are complex in themselves because they refer to something that is not present or directly experienced. Representations of numbers to preschoolers can be manipulative materials, pictures, and symbols including finger patterns (see Björklund &amp; Palmér, 2022). </w:t>
      </w:r>
    </w:p>
    <w:p w:rsidR="00000000" w:rsidDel="00000000" w:rsidP="00000000" w:rsidRDefault="00000000" w:rsidRPr="00000000" w14:paraId="00000006">
      <w:pPr>
        <w:rPr/>
      </w:pPr>
      <w:r w:rsidDel="00000000" w:rsidR="00000000" w:rsidRPr="00000000">
        <w:rPr>
          <w:rtl w:val="0"/>
        </w:rPr>
        <w:t xml:space="preserve">This study investigates specifically what challenges there are in teaching the idea of ordinality of numbers. The research questions are: 1) What is critical for differentiating ordinality of numbers as an object of learning? and 2) In what ways do representations support this differentiation? We will in the analysis reveal how differentiation is made possible in observed teaching situations, regarding ordinality as the object of learning. </w:t>
      </w:r>
    </w:p>
    <w:p w:rsidR="00000000" w:rsidDel="00000000" w:rsidP="00000000" w:rsidRDefault="00000000" w:rsidRPr="00000000" w14:paraId="00000007">
      <w:pPr>
        <w:pStyle w:val="Heading2"/>
        <w:rPr/>
      </w:pPr>
      <w:r w:rsidDel="00000000" w:rsidR="00000000" w:rsidRPr="00000000">
        <w:rPr>
          <w:rtl w:val="0"/>
        </w:rPr>
        <w:t xml:space="preserve">Methods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Interventions designed as games and activities familiar to the preschool settings were developed and trialled in collaboration between preschool teachers and researchers. Data for analysis consists of 38 video recorded observations (230 minutes) of five teachers conducting teaching activities with 3–5-yearolds. They were using a counting rhyme of their own choice together with materials, gestures and spoken language to represent mathematical meaning. The analysis, informed by variation theory, reveals significant challenges in offering children opportunities to discern critical aspects of ordinality, which is related to both the nature of the object of learning and what representations are used to support the learning process.</w:t>
      </w:r>
    </w:p>
    <w:p w:rsidR="00000000" w:rsidDel="00000000" w:rsidP="00000000" w:rsidRDefault="00000000" w:rsidRPr="00000000" w14:paraId="00000009">
      <w:pPr>
        <w:pStyle w:val="Heading2"/>
        <w:rPr/>
      </w:pPr>
      <w:r w:rsidDel="00000000" w:rsidR="00000000" w:rsidRPr="00000000">
        <w:rPr>
          <w:rtl w:val="0"/>
        </w:rPr>
        <w:t xml:space="preserve">Results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Activities that include the number sequence in the shape of counting rhymes were chosen as means to teach ordinality as a significant aspect of numbers. The counting rhymes are enacted together with different materials, and consequently, different representations of ordinality are presented to the children. The observations of the enacted teaching shows that there seems to be some fundamental features that are necessary to discern before numerals (symbols) can be introduced: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units of a sequence, stable order of the sequence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positions of units within the sequence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These are brought fore in the teachers’ use of different representations, such as identical figures, that are handled systematically to make units, order and positions discernible. The key point identified is to direct attention to units as separate but ordered (rather than as a collection), and that each unit can be experienced as situated within a stable sequence. To discern units of a sequence, is primarily non-numerical and attention is directed to this by pointing out units (objects) one at a time in an orderly fashion, preferably in a straight line. The latter can be taught through activities (games and play) where in particular number words are used to recite the sequence of words and explore positions and order relations in numbers by contrasting the positions of the numbers in the sequence. These build a foundational way of experiencing sequence, as a prerequisite for discerning ordinality in numbers. </w:t>
      </w:r>
    </w:p>
    <w:p w:rsidR="00000000" w:rsidDel="00000000" w:rsidP="00000000" w:rsidRDefault="00000000" w:rsidRPr="00000000" w14:paraId="0000000B">
      <w:pPr>
        <w:pStyle w:val="Heading2"/>
        <w:rPr/>
      </w:pPr>
      <w:r w:rsidDel="00000000" w:rsidR="00000000" w:rsidRPr="00000000">
        <w:rPr>
          <w:rtl w:val="0"/>
        </w:rPr>
        <w:t xml:space="preserve">Discussion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study shows that when trying to bring for ordinality, the choice of representations may in fact hinder this objective and instead emphasize cardinality or trigger enumeration. By identifying fundamental ways of making ordinality discernible, we broaden the idea of what it means to learn about ordinality as an aspect of numbers (c.f. Fuson, 1988). This also implicates a need for further research and intervention studies to confirm or challenge the findings.</w:t>
      </w:r>
    </w:p>
    <w:p w:rsidR="00000000" w:rsidDel="00000000" w:rsidP="00000000" w:rsidRDefault="00000000" w:rsidRPr="00000000" w14:paraId="0000000D">
      <w:pPr>
        <w:pStyle w:val="Heading2"/>
        <w:rPr/>
      </w:pPr>
      <w:r w:rsidDel="00000000" w:rsidR="00000000" w:rsidRPr="00000000">
        <w:rPr>
          <w:rtl w:val="0"/>
        </w:rPr>
        <w:t xml:space="preserve">References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Askew, M., &amp; Venkat, H. (2020). Deconstructing South African Grade 1 learners’ awareness of number in terms of cardinality, ordinality and relational understandings.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Mathematics Education, 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(4),793–804. https://doi.org/10.1007/s1185 8-020-01132-2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Björklund, C. &amp; Palmér, H. (2022). Teaching toddlers the meaning of numbers - Connecting modes of mathematical representations in book reading.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 110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525–544. https://doi.org/10.1007/s10649-022-10147-3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Fuson, K. C. (1988). Some further clarifications of numerical terminology using results from young children.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Behavioral and Brain Science,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583–585.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Lesh, R. (1981). Applied mathematical problem solving.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235–264. https://doi.org/10.1007/BF00305624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Marton, F. (2015).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Necessary condition of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Routledge.</w:t>
      </w:r>
    </w:p>
    <w:sectPr>
      <w:headerReference r:id="rId7" w:type="default"/>
      <w:footerReference r:id="rId8" w:type="default"/>
      <w:footerReference r:id="rId9"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qFormat w:val="1"/>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Liststycke">
    <w:name w:val="List Paragraph"/>
    <w:basedOn w:val="Normal"/>
    <w:rsid w:val="008F2162"/>
    <w:pPr>
      <w:ind w:left="720"/>
      <w:contextualSpacing w:val="1"/>
    </w:pPr>
  </w:style>
  <w:style w:type="paragraph" w:styleId="Sidhuvud">
    <w:name w:val="header"/>
    <w:basedOn w:val="Normal"/>
    <w:link w:val="SidhuvudChar"/>
    <w:semiHidden w:val="1"/>
    <w:unhideWhenUsed w:val="1"/>
    <w:rsid w:val="00E80A0F"/>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E80A0F"/>
    <w:rPr>
      <w:sz w:val="26"/>
      <w:szCs w:val="28"/>
      <w:lang w:eastAsia="en-US" w:val="en-GB"/>
    </w:rPr>
  </w:style>
  <w:style w:type="character" w:styleId="Kommentarsreferens">
    <w:name w:val="annotation reference"/>
    <w:basedOn w:val="Standardstycketeckensnitt"/>
    <w:semiHidden w:val="1"/>
    <w:unhideWhenUsed w:val="1"/>
    <w:rsid w:val="00527CAF"/>
    <w:rPr>
      <w:sz w:val="16"/>
      <w:szCs w:val="16"/>
    </w:rPr>
  </w:style>
  <w:style w:type="paragraph" w:styleId="Kommentarer">
    <w:name w:val="annotation text"/>
    <w:basedOn w:val="Normal"/>
    <w:link w:val="KommentarerChar"/>
    <w:unhideWhenUsed w:val="1"/>
    <w:rsid w:val="00527CAF"/>
    <w:pPr>
      <w:spacing w:line="240" w:lineRule="auto"/>
    </w:pPr>
    <w:rPr>
      <w:sz w:val="20"/>
      <w:szCs w:val="20"/>
    </w:rPr>
  </w:style>
  <w:style w:type="character" w:styleId="KommentarerChar" w:customStyle="1">
    <w:name w:val="Kommentarer Char"/>
    <w:basedOn w:val="Standardstycketeckensnitt"/>
    <w:link w:val="Kommentarer"/>
    <w:rsid w:val="00527CAF"/>
    <w:rPr>
      <w:lang w:eastAsia="en-US" w:val="en-GB"/>
    </w:rPr>
  </w:style>
  <w:style w:type="paragraph" w:styleId="Kommentarsmne">
    <w:name w:val="annotation subject"/>
    <w:basedOn w:val="Kommentarer"/>
    <w:next w:val="Kommentarer"/>
    <w:link w:val="KommentarsmneChar"/>
    <w:semiHidden w:val="1"/>
    <w:unhideWhenUsed w:val="1"/>
    <w:rsid w:val="00527CAF"/>
    <w:rPr>
      <w:b w:val="1"/>
      <w:bCs w:val="1"/>
    </w:rPr>
  </w:style>
  <w:style w:type="character" w:styleId="KommentarsmneChar" w:customStyle="1">
    <w:name w:val="Kommentarsämne Char"/>
    <w:basedOn w:val="KommentarerChar"/>
    <w:link w:val="Kommentarsmne"/>
    <w:semiHidden w:val="1"/>
    <w:rsid w:val="00527CAF"/>
    <w:rPr>
      <w:b w:val="1"/>
      <w:bCs w:val="1"/>
      <w:lang w:eastAsia="en-US" w:val="en-GB"/>
    </w:rPr>
  </w:style>
  <w:style w:type="paragraph" w:styleId="Revision">
    <w:name w:val="Revision"/>
    <w:hidden w:val="1"/>
    <w:semiHidden w:val="1"/>
    <w:rsid w:val="000911F7"/>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6RnAactfEM9woCMt/QKFf3DuA==">CgMxLjAyDmguaG1uMjkwNjM4bmFzOAByITFNXzFSbmxvYW9OYWR4N2tXQ0VtRkpLYUlpUzZsMjluTw==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2025-11-27T18:05:00Z</dcterms:created>
  <dc:creator>Helen Lindgren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0x010100C7C811754E204E47A665D3B7C5D98E1E010096176767CA6A8E469CE4DB568B4D061E</vt:lpwstr>
  </property>
  <property fmtid="{D5CDD505-2E9C-101B-9397-08002B2CF9AE}" pid="3" name="_dlc_DocIdItemGuid">
    <vt:lpwstr>4962735a-9457-4a08-9bdc-97a0fc9fff9d</vt:lpwstr>
  </property>
  <property fmtid="{D5CDD505-2E9C-101B-9397-08002B2CF9AE}" pid="4" name="TaxKeyword">
    <vt:lpwstr/>
  </property>
  <property fmtid="{D5CDD505-2E9C-101B-9397-08002B2CF9AE}" pid="5" name="GU_DocOrganisation">
    <vt:lpwstr>1;#Institutionen för pedagogik kommunikation och lärande|bf308125-367f-44e6-82af-719b4ace190d</vt:lpwstr>
  </property>
  <property fmtid="{D5CDD505-2E9C-101B-9397-08002B2CF9AE}" pid="6" name="GU_RecordType">
    <vt:lpwstr/>
  </property>
</Properties>
</file>