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7219" w14:textId="14150BF5" w:rsidR="00F5400D" w:rsidRDefault="00DB72A6" w:rsidP="00F200C7">
      <w:pPr>
        <w:pStyle w:val="Rubrik1"/>
      </w:pPr>
      <w:r>
        <w:t>Effects of Different Methods for Teaching Trigonometry Related to the Unit Circle</w:t>
      </w:r>
      <w:r w:rsidR="0075497C">
        <w:t xml:space="preserve"> </w:t>
      </w:r>
    </w:p>
    <w:p w14:paraId="080E0699" w14:textId="70EDE794" w:rsidR="00CE6A6A" w:rsidRDefault="00BB783A" w:rsidP="00CE6A6A">
      <w:pPr>
        <w:pStyle w:val="Rubrik8"/>
      </w:pPr>
      <w:r>
        <w:t>Christian Thifors</w:t>
      </w:r>
    </w:p>
    <w:p w14:paraId="6074C7E7" w14:textId="43091632" w:rsidR="00CE6A6A" w:rsidRDefault="00BB783A" w:rsidP="00B2332C">
      <w:pPr>
        <w:pStyle w:val="Rubrik9"/>
      </w:pPr>
      <w:r>
        <w:t>Lund University</w:t>
      </w:r>
    </w:p>
    <w:p w14:paraId="2D0F98E7" w14:textId="3D0CC20E" w:rsidR="00710EAB" w:rsidRDefault="00B2332C" w:rsidP="00B2332C">
      <w:pPr>
        <w:pStyle w:val="Brdtext"/>
      </w:pPr>
      <w:r>
        <w:t xml:space="preserve">This presentation reports on an ongoing </w:t>
      </w:r>
      <w:r w:rsidR="00CC3DFA">
        <w:t>learning study</w:t>
      </w:r>
      <w:r>
        <w:t xml:space="preserve"> </w:t>
      </w:r>
      <w:r w:rsidR="00CC3DFA">
        <w:t>focusing on</w:t>
      </w:r>
      <w:r>
        <w:t xml:space="preserve"> the unit circle</w:t>
      </w:r>
      <w:r w:rsidR="00CC3DFA">
        <w:t>, which</w:t>
      </w:r>
      <w:r w:rsidR="005A2CA9">
        <w:t xml:space="preserve"> plays a fundamental role in students’ understanding of trigonometr</w:t>
      </w:r>
      <w:r w:rsidR="0029184B">
        <w:t>y</w:t>
      </w:r>
      <w:r w:rsidR="00121D83">
        <w:t>.</w:t>
      </w:r>
      <w:r w:rsidR="0029184B">
        <w:t xml:space="preserve"> </w:t>
      </w:r>
      <w:r w:rsidR="00121D83">
        <w:t>U</w:t>
      </w:r>
      <w:r w:rsidR="0029184B">
        <w:t>sing</w:t>
      </w:r>
      <w:r w:rsidR="005A2CA9">
        <w:t xml:space="preserve"> sine and cosine</w:t>
      </w:r>
      <w:r w:rsidR="0029184B">
        <w:t xml:space="preserve"> functions</w:t>
      </w:r>
      <w:r w:rsidR="00121D83">
        <w:t>,</w:t>
      </w:r>
      <w:r w:rsidR="0029184B">
        <w:t xml:space="preserve"> it </w:t>
      </w:r>
      <w:r w:rsidR="003632A6">
        <w:t>is possible to</w:t>
      </w:r>
      <w:r w:rsidR="0029184B">
        <w:t xml:space="preserve"> represent </w:t>
      </w:r>
      <w:r w:rsidR="005A2CA9">
        <w:t xml:space="preserve">periodic phenomena. </w:t>
      </w:r>
      <w:r w:rsidR="005A2CA9" w:rsidRPr="005A2CA9">
        <w:t xml:space="preserve">However, </w:t>
      </w:r>
      <w:r w:rsidR="002705C9">
        <w:t xml:space="preserve">previous </w:t>
      </w:r>
      <w:r w:rsidR="005A2CA9" w:rsidRPr="005A2CA9">
        <w:t xml:space="preserve">research </w:t>
      </w:r>
      <w:r w:rsidR="0029184B">
        <w:t>show</w:t>
      </w:r>
      <w:r w:rsidR="00A96865">
        <w:t>s</w:t>
      </w:r>
      <w:r w:rsidR="0029184B">
        <w:t xml:space="preserve"> </w:t>
      </w:r>
      <w:r w:rsidR="005A2CA9" w:rsidRPr="005A2CA9">
        <w:t xml:space="preserve">students </w:t>
      </w:r>
      <w:r w:rsidR="005A2CA9">
        <w:t>struggle transition</w:t>
      </w:r>
      <w:r w:rsidR="002705C9">
        <w:t>ing</w:t>
      </w:r>
      <w:r w:rsidR="005A2CA9">
        <w:t xml:space="preserve"> from triangle trigonometry to circle trigonometry </w:t>
      </w:r>
      <w:r w:rsidR="008E3B0C">
        <w:fldChar w:fldCharType="begin">
          <w:fldData xml:space="preserve">PEVuZE5vdGU+PENpdGU+PEF1dGhvcj5Ccm93bjwvQXV0aG9yPjxZZWFyPjIwMDU8L1llYXI+PFJl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</w:fldData>
        </w:fldChar>
      </w:r>
      <w:r w:rsidR="008E3B0C">
        <w:instrText xml:space="preserve"> ADDIN EN.CITE </w:instrText>
      </w:r>
      <w:r w:rsidR="008E3B0C">
        <w:fldChar w:fldCharType="begin">
          <w:fldData xml:space="preserve">PEVuZE5vdGU+PENpdGU+PEF1dGhvcj5Ccm93bjwvQXV0aG9yPjxZZWFyPjIwMDU8L1llYXI+PFJl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</w:fldData>
        </w:fldChar>
      </w:r>
      <w:r w:rsidR="008E3B0C">
        <w:instrText xml:space="preserve"> ADDIN EN.CITE.DATA </w:instrText>
      </w:r>
      <w:r w:rsidR="008E3B0C">
        <w:fldChar w:fldCharType="end"/>
      </w:r>
      <w:r w:rsidR="008E3B0C">
        <w:fldChar w:fldCharType="separate"/>
      </w:r>
      <w:r w:rsidR="008E3B0C">
        <w:rPr>
          <w:noProof/>
        </w:rPr>
        <w:t>(Brown, 2005; Maknun et al., 2022)</w:t>
      </w:r>
      <w:r w:rsidR="008E3B0C">
        <w:fldChar w:fldCharType="end"/>
      </w:r>
      <w:r w:rsidR="002705C9">
        <w:t>,</w:t>
      </w:r>
      <w:r w:rsidR="00D1010D">
        <w:t xml:space="preserve"> </w:t>
      </w:r>
      <w:r w:rsidR="002705C9">
        <w:t xml:space="preserve">due to difficulties with periodicity </w:t>
      </w:r>
      <w:r w:rsidR="002705C9">
        <w:fldChar w:fldCharType="begin"/>
      </w:r>
      <w:r w:rsidR="002705C9">
        <w:instrText xml:space="preserve"> ADDIN EN.CITE &lt;EndNote&gt;&lt;Cite&gt;&lt;Author&gt;Kamber&lt;/Author&gt;&lt;Year&gt;2018&lt;/Year&gt;&lt;RecNum&gt;180&lt;/RecNum&gt;&lt;DisplayText&gt;(Kamber &amp;amp; Takaci, 2018)&lt;/DisplayText&gt;&lt;record&gt;&lt;rec-number&gt;180&lt;/rec-number&gt;&lt;foreign-keys&gt;&lt;key app="EN" db-id="fff9xv9p5rvf55e9ewcv2xrx22rzppdz2st0" timestamp="1737638749"&gt;180&lt;/key&gt;&lt;/foreign-keys&gt;&lt;ref-type name="Journal Article"&gt;17&lt;/ref-type&gt;&lt;contributors&gt;&lt;authors&gt;&lt;author&gt;Kamber, Dina&lt;/author&gt;&lt;author&gt;Takaci, Djurdjica&lt;/author&gt;&lt;/authors&gt;&lt;/contributors&gt;&lt;titles&gt;&lt;title&gt;On problematic aspects in learning trigonometry&lt;/title&gt;&lt;secondary-title&gt;International Journal of Mathematical Education in Science and Technology&lt;/secondary-title&gt;&lt;/titles&gt;&lt;periodical&gt;&lt;full-title&gt;International Journal of Mathematical Education in Science and Technology&lt;/full-title&gt;&lt;/periodical&gt;&lt;pages&gt;161-175&lt;/pages&gt;&lt;volume&gt;49&lt;/volume&gt;&lt;number&gt;2&lt;/number&gt;&lt;dates&gt;&lt;year&gt;2018&lt;/year&gt;&lt;pub-dates&gt;&lt;date&gt;2018/02/17&lt;/date&gt;&lt;/pub-dates&gt;&lt;/dates&gt;&lt;publisher&gt;Taylor &amp;amp; Francis&lt;/publisher&gt;&lt;isbn&gt;0020-739X&lt;/isbn&gt;&lt;urls&gt;&lt;related-urls&gt;&lt;url&gt;https://doi.org/10.1080/0020739X.2017.1357846&lt;/url&gt;&lt;/related-urls&gt;&lt;/urls&gt;&lt;electronic-resource-num&gt;10.1080/0020739X.2017.1357846&lt;/electronic-resource-num&gt;&lt;/record&gt;&lt;/Cite&gt;&lt;/EndNote&gt;</w:instrText>
      </w:r>
      <w:r w:rsidR="002705C9">
        <w:fldChar w:fldCharType="separate"/>
      </w:r>
      <w:r w:rsidR="002705C9">
        <w:rPr>
          <w:noProof/>
        </w:rPr>
        <w:t xml:space="preserve">(Kamber &amp; Takaci, </w:t>
      </w:r>
      <w:r w:rsidR="002705C9" w:rsidRPr="00B2332C">
        <w:t>2018</w:t>
      </w:r>
      <w:r w:rsidR="002705C9">
        <w:rPr>
          <w:noProof/>
        </w:rPr>
        <w:t>)</w:t>
      </w:r>
      <w:r w:rsidR="002705C9">
        <w:fldChar w:fldCharType="end"/>
      </w:r>
      <w:r w:rsidR="002705C9">
        <w:t xml:space="preserve"> and </w:t>
      </w:r>
      <w:r w:rsidR="00D1010D">
        <w:t xml:space="preserve">reliance on procedural routines </w:t>
      </w:r>
      <w:r w:rsidR="00D1010D">
        <w:fldChar w:fldCharType="begin"/>
      </w:r>
      <w:r w:rsidR="00C60864">
        <w:instrText xml:space="preserve"> ADDIN EN.CITE &lt;EndNote&gt;&lt;Cite&gt;&lt;Author&gt;Yiǧit Koyunkaya&lt;/Author&gt;&lt;Year&gt;2016&lt;/Year&gt;&lt;RecNum&gt;181&lt;/RecNum&gt;&lt;DisplayText&gt;(Yiǧit Koyunkaya, 2016)&lt;/DisplayText&gt;&lt;record&gt;&lt;rec-number&gt;181&lt;/rec-number&gt;&lt;foreign-keys&gt;&lt;key app="EN" db-id="fff9xv9p5rvf55e9ewcv2xrx22rzppdz2st0" timestamp="1737638892"&gt;181&lt;/key&gt;&lt;/foreign-keys&gt;&lt;ref-type name="Journal Article"&gt;17&lt;/ref-type&gt;&lt;contributors&gt;&lt;authors&gt;&lt;author&gt;Yiǧit Koyunkaya, Melike&lt;/author&gt;&lt;/authors&gt;&lt;/contributors&gt;&lt;titles&gt;&lt;title&gt;Mathematics education graduate students’ understanding of trigonometric ratios&lt;/title&gt;&lt;secondary-title&gt;International Journal of Mathematical Education in Science and Technology&lt;/secondary-title&gt;&lt;/titles&gt;&lt;periodical&gt;&lt;full-title&gt;International Journal of Mathematical Education in Science and Technology&lt;/full-title&gt;&lt;/periodical&gt;&lt;pages&gt;1028-1047&lt;/pages&gt;&lt;volume&gt;47&lt;/volume&gt;&lt;number&gt;7&lt;/number&gt;&lt;dates&gt;&lt;year&gt;2016&lt;/year&gt;&lt;pub-dates&gt;&lt;date&gt;2016/10/02&lt;/date&gt;&lt;/pub-dates&gt;&lt;/dates&gt;&lt;publisher&gt;Taylor &amp;amp; Francis&lt;/publisher&gt;&lt;isbn&gt;0020-739X&lt;/isbn&gt;&lt;urls&gt;&lt;related-urls&gt;&lt;url&gt;https://doi.org/10.1080/0020739X.2016.1155774&lt;/url&gt;&lt;/related-urls&gt;&lt;/urls&gt;&lt;electronic-resource-num&gt;10.1080/0020739X.2016.1155774&lt;/electronic-resource-num&gt;&lt;/record&gt;&lt;/Cite&gt;&lt;/EndNote&gt;</w:instrText>
      </w:r>
      <w:r w:rsidR="00D1010D">
        <w:fldChar w:fldCharType="separate"/>
      </w:r>
      <w:r w:rsidR="00C60864">
        <w:rPr>
          <w:noProof/>
        </w:rPr>
        <w:t>(Yiǧit Koyunkaya, 2016)</w:t>
      </w:r>
      <w:r w:rsidR="00D1010D">
        <w:fldChar w:fldCharType="end"/>
      </w:r>
      <w:r w:rsidR="00EC00C6">
        <w:t>.</w:t>
      </w:r>
      <w:r w:rsidR="003B4A4C">
        <w:t xml:space="preserve"> </w:t>
      </w:r>
      <w:r w:rsidR="00B5381A" w:rsidRPr="00B5381A">
        <w:t xml:space="preserve">This study aims to investigate how different instructional designs influence students’ learning of the unit circle. By exploring how variation in teaching content affects students’ discernment of </w:t>
      </w:r>
      <w:r w:rsidR="00B5381A">
        <w:t>trigonometric concepts</w:t>
      </w:r>
      <w:r w:rsidR="00B5381A" w:rsidRPr="00B5381A">
        <w:t xml:space="preserve">, </w:t>
      </w:r>
      <w:r w:rsidR="003632A6" w:rsidRPr="003632A6">
        <w:t>the study contributes knowledge of effective strategies for teaching trigonometry.</w:t>
      </w:r>
    </w:p>
    <w:p w14:paraId="2D393423" w14:textId="6E7C912D" w:rsidR="00DB72A6" w:rsidRDefault="00DB72A6" w:rsidP="00DB72A6">
      <w:pPr>
        <w:pStyle w:val="Rubrik2"/>
      </w:pPr>
      <w:r>
        <w:t xml:space="preserve">Theoretical </w:t>
      </w:r>
      <w:r w:rsidR="005A2CA9">
        <w:t>F</w:t>
      </w:r>
      <w:r>
        <w:t>ramework</w:t>
      </w:r>
    </w:p>
    <w:p w14:paraId="32FEE324" w14:textId="584D128F" w:rsidR="00DB72A6" w:rsidRPr="00DB72A6" w:rsidRDefault="005A2CA9" w:rsidP="00F200C7">
      <w:pPr>
        <w:pStyle w:val="Brdtext"/>
      </w:pPr>
      <w:r w:rsidRPr="005A2CA9">
        <w:t xml:space="preserve">This study </w:t>
      </w:r>
      <w:r w:rsidR="00B5381A">
        <w:t>uses</w:t>
      </w:r>
      <w:r w:rsidRPr="005A2CA9">
        <w:t xml:space="preserve"> variation theory as the analytical and design framework. Variation theory focuses on the relationship between teaching and learning, emphasizing how structured variation of content can help students discern critical aspects of a</w:t>
      </w:r>
      <w:r w:rsidR="001864D0">
        <w:t xml:space="preserve">n object of </w:t>
      </w:r>
      <w:r w:rsidRPr="005A2CA9">
        <w:t xml:space="preserve">learning </w:t>
      </w:r>
      <w:r w:rsidR="008E3B0C">
        <w:fldChar w:fldCharType="begin"/>
      </w:r>
      <w:r w:rsidR="008E3B0C">
        <w:instrText xml:space="preserve"> ADDIN EN.CITE &lt;EndNote&gt;&lt;Cite&gt;&lt;Author&gt;Marton&lt;/Author&gt;&lt;Year&gt;2015&lt;/Year&gt;&lt;RecNum&gt;5&lt;/RecNum&gt;&lt;DisplayText&gt;(Marton, 2015)&lt;/DisplayText&gt;&lt;record&gt;&lt;rec-number&gt;5&lt;/rec-number&gt;&lt;foreign-keys&gt;&lt;key app="EN" db-id="fff9xv9p5rvf55e9ewcv2xrx22rzppdz2st0" timestamp="1728539975"&gt;5&lt;/key&gt;&lt;/foreign-keys&gt;&lt;ref-type name="Book"&gt;6&lt;/ref-type&gt;&lt;contributors&gt;&lt;authors&gt;&lt;author&gt;Marton, Ference&lt;/author&gt;&lt;/authors&gt;&lt;/contributors&gt;&lt;titles&gt;&lt;title&gt;Necessary conditions of learning&lt;/title&gt;&lt;/titles&gt;&lt;keywords&gt;&lt;keyword&gt;Inlärningspsykologi&lt;/keyword&gt;&lt;keyword&gt;Fenomenologisk psykologi&lt;/keyword&gt;&lt;keyword&gt;Learning, Psychology of&lt;/keyword&gt;&lt;keyword&gt;Phenomenological psychology&lt;/keyword&gt;&lt;keyword&gt;Teaching&lt;/keyword&gt;&lt;/keywords&gt;&lt;dates&gt;&lt;year&gt;2015&lt;/year&gt;&lt;/dates&gt;&lt;publisher&gt;Routledge&lt;/publisher&gt;&lt;isbn&gt;9781315816876&amp;#xD;9780415739139&amp;#xD;0415739136&amp;#xD;9780415739146&lt;/isbn&gt;&lt;urls&gt;&lt;/urls&gt;&lt;electronic-resource-num&gt;10.4324/9781315816876&lt;/electronic-resource-num&gt;&lt;remote-database-name&gt;Library catalogue (LUBcat)&lt;/remote-database-name&gt;&lt;remote-database-provider&gt;EBSCOhost&lt;/remote-database-provider&gt;&lt;/record&gt;&lt;/Cite&gt;&lt;/EndNote&gt;</w:instrText>
      </w:r>
      <w:r w:rsidR="008E3B0C">
        <w:fldChar w:fldCharType="separate"/>
      </w:r>
      <w:r w:rsidR="008E3B0C">
        <w:rPr>
          <w:noProof/>
        </w:rPr>
        <w:t>(Marton, 2015)</w:t>
      </w:r>
      <w:r w:rsidR="008E3B0C">
        <w:fldChar w:fldCharType="end"/>
      </w:r>
      <w:r>
        <w:t xml:space="preserve">. </w:t>
      </w:r>
      <w:r w:rsidRPr="005A2CA9">
        <w:t xml:space="preserve">The </w:t>
      </w:r>
      <w:r w:rsidRPr="00121D83">
        <w:t xml:space="preserve">concepts of intended, enacted, and lived </w:t>
      </w:r>
      <w:r w:rsidR="001864D0" w:rsidRPr="00121D83">
        <w:t>object</w:t>
      </w:r>
      <w:r w:rsidR="001864D0">
        <w:t xml:space="preserve"> of </w:t>
      </w:r>
      <w:r w:rsidRPr="005A2CA9">
        <w:t>learning</w:t>
      </w:r>
      <w:r>
        <w:t xml:space="preserve"> </w:t>
      </w:r>
      <w:r w:rsidR="00B73611">
        <w:fldChar w:fldCharType="begin"/>
      </w:r>
      <w:r w:rsidR="00B73611">
        <w:instrText xml:space="preserve"> ADDIN EN.CITE &lt;EndNote&gt;&lt;Cite&gt;&lt;Author&gt;Marton&lt;/Author&gt;&lt;Year&gt;2004&lt;/Year&gt;&lt;RecNum&gt;190&lt;/RecNum&gt;&lt;DisplayText&gt;(Marton &amp;amp; Tsui, 2004)&lt;/DisplayText&gt;&lt;record&gt;&lt;rec-number&gt;190&lt;/rec-number&gt;&lt;foreign-keys&gt;&lt;key app="EN" db-id="fff9xv9p5rvf55e9ewcv2xrx22rzppdz2st0" timestamp="1738662656"&gt;190&lt;/key&gt;&lt;/foreign-keys&gt;&lt;ref-type name="Book"&gt;6&lt;/ref-type&gt;&lt;contributors&gt;&lt;authors&gt;&lt;author&gt;Marton, Ference&lt;/author&gt;&lt;author&gt;Tsui, Amy B. M.&lt;/author&gt;&lt;/authors&gt;&lt;/contributors&gt;&lt;titles&gt;&lt;title&gt;Classroom Discourse and the Space of Learning&lt;/title&gt;&lt;/titles&gt;&lt;keywords&gt;&lt;keyword&gt;Communication in education&lt;/keyword&gt;&lt;keyword&gt;Learning&lt;/keyword&gt;&lt;keyword&gt;Classroom environment&lt;/keyword&gt;&lt;keyword&gt;EDUCATION / General&lt;/keyword&gt;&lt;keyword&gt;EDUCATION / Educational Psychology&lt;/keyword&gt;&lt;keyword&gt;LANGUAGE ARTS &amp;amp; DISCIPLINES / Communication Studies&lt;/keyword&gt;&lt;/keywords&gt;&lt;dates&gt;&lt;year&gt;2004&lt;/year&gt;&lt;/dates&gt;&lt;pub-location&gt;Mahwah, N.J.&lt;/pub-location&gt;&lt;publisher&gt;Routledge&lt;/publisher&gt;&lt;isbn&gt;9780805840087&amp;#xD;9780805840094&amp;#xD;9781135642341&amp;#xD;9781135642334&amp;#xD;9781135642310&amp;#xD;9781410609762&lt;/isbn&gt;&lt;urls&gt;&lt;/urls&gt;&lt;remote-database-name&gt;eBook Collection (EBSCOhost)&lt;/remote-database-name&gt;&lt;remote-database-provider&gt;EBSCOhost&lt;/remote-database-provider&gt;&lt;language&gt;English&lt;/language&gt;&lt;/record&gt;&lt;/Cite&gt;&lt;/EndNote&gt;</w:instrText>
      </w:r>
      <w:r w:rsidR="00B73611">
        <w:fldChar w:fldCharType="separate"/>
      </w:r>
      <w:r w:rsidR="00B73611">
        <w:rPr>
          <w:noProof/>
        </w:rPr>
        <w:t>(Marton &amp; Tsui, 2004)</w:t>
      </w:r>
      <w:r w:rsidR="00B73611">
        <w:fldChar w:fldCharType="end"/>
      </w:r>
      <w:r>
        <w:t xml:space="preserve"> </w:t>
      </w:r>
      <w:r w:rsidRPr="005A2CA9">
        <w:t xml:space="preserve">guide the analysis, alongside a framework for </w:t>
      </w:r>
      <w:r w:rsidR="001864D0">
        <w:t>handling translations</w:t>
      </w:r>
      <w:r w:rsidRPr="005A2CA9">
        <w:t xml:space="preserve"> in trigonometr</w:t>
      </w:r>
      <w:r>
        <w:t xml:space="preserve">y </w:t>
      </w:r>
      <w:r w:rsidR="008E3B0C">
        <w:fldChar w:fldCharType="begin"/>
      </w:r>
      <w:r w:rsidR="008E3B0C">
        <w:instrText xml:space="preserve"> ADDIN EN.CITE &lt;EndNote&gt;&lt;Cite&gt;&lt;Author&gt;Brown&lt;/Author&gt;&lt;Year&gt;2005&lt;/Year&gt;&lt;RecNum&gt;188&lt;/RecNum&gt;&lt;DisplayText&gt;(Brown, 2005)&lt;/DisplayText&gt;&lt;record&gt;&lt;rec-number&gt;188&lt;/rec-number&gt;&lt;foreign-keys&gt;&lt;key app="EN" db-id="fff9xv9p5rvf55e9ewcv2xrx22rzppdz2st0" timestamp="1738661129"&gt;188&lt;/key&gt;&lt;/foreign-keys&gt;&lt;ref-type name="Thesis"&gt;32&lt;/ref-type&gt;&lt;contributors&gt;&lt;authors&gt;&lt;author&gt;Brown, Susan A.&lt;/author&gt;&lt;/authors&gt;&lt;tertiary-authors&gt;&lt;author&gt;Presmeg, Norma C.&lt;/author&gt;&lt;/tertiary-authors&gt;&lt;/contributors&gt;&lt;titles&gt;&lt;title&gt;The trigonometric connection: Students&amp;apos; understanding of sine and cosine&lt;/title&gt;&lt;/titles&gt;&lt;pages&gt;328&lt;/pages&gt;&lt;number&gt;3233908&lt;/number&gt;&lt;keywords&gt;&lt;keyword&gt;Education&lt;/keyword&gt;&lt;keyword&gt;Cosine&lt;/keyword&gt;&lt;keyword&gt;Sine&lt;/keyword&gt;&lt;keyword&gt;Trigonometric&lt;/keyword&gt;&lt;keyword&gt;Mathematics education&lt;/keyword&gt;&lt;keyword&gt;0280:Mathematics education&lt;/keyword&gt;&lt;/keywords&gt;&lt;dates&gt;&lt;year&gt;2005&lt;/year&gt;&lt;pub-dates&gt;&lt;date&gt;2005&lt;/date&gt;&lt;/pub-dates&gt;&lt;/dates&gt;&lt;pub-location&gt;ProQuest Dissertations and Theses Global&lt;/pub-location&gt;&lt;publisher&gt;Illinois State University&lt;/publisher&gt;&lt;isbn&gt;978-0-542-87422-2&lt;/isbn&gt;&lt;accession-num&gt;304986316&lt;/accession-num&gt;&lt;work-type&gt;Doctoral dissertation&lt;/work-type&gt;&lt;urls&gt;&lt;/urls&gt;&lt;language&gt;English&lt;/language&gt;&lt;/record&gt;&lt;/Cite&gt;&lt;/EndNote&gt;</w:instrText>
      </w:r>
      <w:r w:rsidR="008E3B0C">
        <w:fldChar w:fldCharType="separate"/>
      </w:r>
      <w:r w:rsidR="008E3B0C">
        <w:rPr>
          <w:noProof/>
        </w:rPr>
        <w:t>(Brown, 2005)</w:t>
      </w:r>
      <w:r w:rsidR="008E3B0C">
        <w:fldChar w:fldCharType="end"/>
      </w:r>
      <w:r w:rsidR="00815ABF">
        <w:t>.</w:t>
      </w:r>
    </w:p>
    <w:p w14:paraId="60133DCC" w14:textId="4450DCC2" w:rsidR="00DB72A6" w:rsidRDefault="005F3D8E" w:rsidP="00DB72A6">
      <w:pPr>
        <w:pStyle w:val="Rubrik2"/>
      </w:pPr>
      <w:r>
        <w:t xml:space="preserve">Empirical </w:t>
      </w:r>
      <w:r w:rsidR="00CE1B2D">
        <w:t>S</w:t>
      </w:r>
      <w:r>
        <w:t>tudy</w:t>
      </w:r>
    </w:p>
    <w:p w14:paraId="45EE008B" w14:textId="53D93CA6" w:rsidR="005B4DBB" w:rsidRDefault="001864D0" w:rsidP="00DB72A6">
      <w:pPr>
        <w:pStyle w:val="Brdtext"/>
      </w:pPr>
      <w:r w:rsidRPr="001864D0">
        <w:t>A modified learning study</w:t>
      </w:r>
      <w:r w:rsidR="00532C54">
        <w:t xml:space="preserve"> </w:t>
      </w:r>
      <w:r w:rsidR="008E3B0C">
        <w:fldChar w:fldCharType="begin"/>
      </w:r>
      <w:r w:rsidR="008E3B0C">
        <w:instrText xml:space="preserve"> ADDIN EN.CITE &lt;EndNote&gt;&lt;Cite&gt;&lt;Author&gt;Kullberg&lt;/Author&gt;&lt;Year&gt;2024&lt;/Year&gt;&lt;RecNum&gt;148&lt;/RecNum&gt;&lt;DisplayText&gt;(Kullberg et al., 2024)&lt;/DisplayText&gt;&lt;record&gt;&lt;rec-number&gt;148&lt;/rec-number&gt;&lt;foreign-keys&gt;&lt;key app="EN" db-id="fff9xv9p5rvf55e9ewcv2xrx22rzppdz2st0" timestamp="1735550921"&gt;148&lt;/key&gt;&lt;/foreign-keys&gt;&lt;ref-type name="Book"&gt;6&lt;/ref-type&gt;&lt;contributors&gt;&lt;authors&gt;&lt;author&gt;Kullberg, Angelika&lt;/author&gt;&lt;author&gt;Ingerman, Åke&lt;/author&gt;&lt;author&gt;Marton, Ference&lt;/author&gt;&lt;/authors&gt;&lt;/contributors&gt;&lt;titles&gt;&lt;title&gt;Planning and analyzing teaching. Using the variation theory of learning&lt;/title&gt;&lt;alt-title&gt;Taylor &amp;amp; Francis Complete 2024 eBooks; Taylor &amp;amp; Francis eBooks (Open Access); OAPEN (Open Access Publishing in European Networks); DOAB Directory of Open Access Books&lt;/alt-title&gt;&lt;/titles&gt;&lt;keywords&gt;&lt;keyword&gt;Teaching&lt;/keyword&gt;&lt;keyword&gt;Learning&lt;/keyword&gt;&lt;keyword&gt;Knowledge, Theory of&lt;/keyword&gt;&lt;/keywords&gt;&lt;dates&gt;&lt;year&gt;2024&lt;/year&gt;&lt;/dates&gt;&lt;publisher&gt;Routledge&lt;/publisher&gt;&lt;isbn&gt;9781032048475&amp;#xD;9781032048567&amp;#xD;9781003194903&amp;#xD;9781003861560&amp;#xD;9781003861621&lt;/isbn&gt;&lt;urls&gt;&lt;/urls&gt;&lt;electronic-resource-num&gt;10.4324/9781003194903&lt;/electronic-resource-num&gt;&lt;remote-database-name&gt;ePublications&lt;/remote-database-name&gt;&lt;remote-database-provider&gt;EBSCOhost&lt;/remote-database-provider&gt;&lt;/record&gt;&lt;/Cite&gt;&lt;/EndNote&gt;</w:instrText>
      </w:r>
      <w:r w:rsidR="008E3B0C">
        <w:fldChar w:fldCharType="separate"/>
      </w:r>
      <w:r w:rsidR="008E3B0C">
        <w:rPr>
          <w:noProof/>
        </w:rPr>
        <w:t>(Kullberg et al., 2024)</w:t>
      </w:r>
      <w:r w:rsidR="008E3B0C">
        <w:fldChar w:fldCharType="end"/>
      </w:r>
      <w:r w:rsidRPr="001864D0">
        <w:t xml:space="preserve"> is </w:t>
      </w:r>
      <w:r>
        <w:t>ongoing</w:t>
      </w:r>
      <w:r w:rsidRPr="001864D0">
        <w:t xml:space="preserve"> with four upper secondary teachers, each implementing one of two contrasting teaching designs in parallel classrooms. The instructional designs are structured around the contrast and generalization phases of variation theory to make critical aspects of the unit circle visible to students.</w:t>
      </w:r>
      <w:r>
        <w:t xml:space="preserve"> </w:t>
      </w:r>
      <w:r w:rsidRPr="001864D0">
        <w:t>The designs are informed by a prior pilot study</w:t>
      </w:r>
      <w:r w:rsidR="00121D83">
        <w:t>,</w:t>
      </w:r>
      <w:r w:rsidRPr="001864D0">
        <w:t xml:space="preserve"> </w:t>
      </w:r>
      <w:r w:rsidR="00121D83">
        <w:t>which</w:t>
      </w:r>
      <w:r w:rsidRPr="001864D0">
        <w:t xml:space="preserve"> identified potential critical aspects (PCA)</w:t>
      </w:r>
      <w:r w:rsidR="00B46E54">
        <w:t xml:space="preserve"> as defined by</w:t>
      </w:r>
      <w:r w:rsidRPr="001864D0">
        <w:t xml:space="preserve"> </w:t>
      </w:r>
      <w:r w:rsidR="008E3B0C">
        <w:fldChar w:fldCharType="begin"/>
      </w:r>
      <w:r w:rsidR="00B46E54">
        <w:instrText xml:space="preserve"> ADDIN EN.CITE &lt;EndNote&gt;&lt;Cite AuthorYear="1"&gt;&lt;Author&gt;Olteanu&lt;/Author&gt;&lt;Year&gt;2013&lt;/Year&gt;&lt;RecNum&gt;217&lt;/RecNum&gt;&lt;DisplayText&gt;Olteanu and Olteanu (2013)&lt;/DisplayText&gt;&lt;record&gt;&lt;rec-number&gt;217&lt;/rec-number&gt;&lt;foreign-keys&gt;&lt;key app="EN" db-id="fff9xv9p5rvf55e9ewcv2xrx22rzppdz2st0" timestamp="1739864188"&gt;217&lt;/key&gt;&lt;/foreign-keys&gt;&lt;ref-type name="Journal Article"&gt;17&lt;/ref-type&gt;&lt;contributors&gt;&lt;authors&gt;&lt;author&gt;Olteanu, Constanta&lt;/author&gt;&lt;author&gt;Olteanu, Lucian&lt;/author&gt;&lt;/authors&gt;&lt;/contributors&gt;&lt;titles&gt;&lt;title&gt;Enhancing mathematics communication using critical aspects and dimensions of variation&lt;/title&gt;&lt;secondary-title&gt;International Journal of Mathematical Education in Science and Technology&lt;/secondary-title&gt;&lt;/titles&gt;&lt;periodical&gt;&lt;full-title&gt;International Journal of Mathematical Education in Science and Technology&lt;/full-title&gt;&lt;/periodical&gt;&lt;pages&gt;513-522&lt;/pages&gt;&lt;volume&gt;44&lt;/volume&gt;&lt;number&gt;4&lt;/number&gt;&lt;dates&gt;&lt;year&gt;2013&lt;/year&gt;&lt;pub-dates&gt;&lt;date&gt;2013/06/01&lt;/date&gt;&lt;/pub-dates&gt;&lt;/dates&gt;&lt;publisher&gt;Taylor &amp;amp; Francis&lt;/publisher&gt;&lt;isbn&gt;0020-739X&lt;/isbn&gt;&lt;urls&gt;&lt;related-urls&gt;&lt;url&gt;https://doi.org/10.1080/0020739X.2012.742153&lt;/url&gt;&lt;/related-urls&gt;&lt;/urls&gt;&lt;electronic-resource-num&gt;10.1080/0020739X.2012.742153&lt;/electronic-resource-num&gt;&lt;/record&gt;&lt;/Cite&gt;&lt;/EndNote&gt;</w:instrText>
      </w:r>
      <w:r w:rsidR="008E3B0C">
        <w:fldChar w:fldCharType="separate"/>
      </w:r>
      <w:r w:rsidR="00B46E54">
        <w:rPr>
          <w:noProof/>
        </w:rPr>
        <w:t>Olteanu and Olteanu (2013)</w:t>
      </w:r>
      <w:r w:rsidR="008E3B0C">
        <w:fldChar w:fldCharType="end"/>
      </w:r>
      <w:r w:rsidR="00CE1B2D">
        <w:t>,</w:t>
      </w:r>
      <w:r>
        <w:t xml:space="preserve"> </w:t>
      </w:r>
      <w:r w:rsidRPr="001864D0">
        <w:t>related</w:t>
      </w:r>
      <w:r w:rsidR="005B4DBB">
        <w:t xml:space="preserve"> </w:t>
      </w:r>
      <w:r w:rsidR="00121D83">
        <w:t xml:space="preserve">to </w:t>
      </w:r>
      <w:r w:rsidR="005B4DBB">
        <w:t>the</w:t>
      </w:r>
      <w:r w:rsidRPr="001864D0">
        <w:t xml:space="preserve"> unit circle</w:t>
      </w:r>
      <w:r w:rsidR="005B4DBB">
        <w:t xml:space="preserve"> </w:t>
      </w:r>
      <w:r w:rsidR="00B46E54">
        <w:t xml:space="preserve">and students’ solutions of </w:t>
      </w:r>
      <w:r w:rsidR="005B4DBB">
        <w:t>trigonometric equations of the form</w:t>
      </w:r>
      <w:r w:rsidR="00D3483B">
        <w:t>:</w:t>
      </w:r>
    </w:p>
    <w:p w14:paraId="3FDB7179" w14:textId="55DC8D95" w:rsidR="007F459A" w:rsidRDefault="00090287" w:rsidP="00D3483B">
      <w:pPr>
        <w:pStyle w:val="Brdtext"/>
        <w:jc w:val="right"/>
      </w:pPr>
      <m:oMath>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kθ</m:t>
                </m:r>
                <m:r>
                  <w:rPr>
                    <w:rFonts w:ascii="Cambria Math" w:hAnsi="Cambria Math"/>
                  </w:rPr>
                  <m:t>+</m:t>
                </m:r>
                <m:r>
                  <w:rPr>
                    <w:rFonts w:ascii="Cambria Math" w:hAnsi="Cambria Math"/>
                  </w:rPr>
                  <m:t>φ</m:t>
                </m:r>
              </m:e>
            </m:d>
          </m:e>
        </m:func>
        <m:r>
          <w:rPr>
            <w:rFonts w:ascii="Cambria Math" w:hAnsi="Cambria Math"/>
          </w:rPr>
          <m:t>=</m:t>
        </m:r>
        <m:r>
          <w:rPr>
            <w:rFonts w:ascii="Cambria Math" w:hAnsi="Cambria Math"/>
          </w:rPr>
          <m:t>C</m:t>
        </m:r>
      </m:oMath>
      <w:r w:rsidR="007F459A">
        <w:tab/>
      </w:r>
      <w:r w:rsidR="007F459A">
        <w:tab/>
      </w:r>
      <w:r w:rsidR="007F459A">
        <w:tab/>
      </w:r>
      <w:r w:rsidR="007F459A">
        <w:tab/>
      </w:r>
      <w:r w:rsidR="007F459A">
        <w:tab/>
      </w:r>
      <w:r w:rsidR="007F459A">
        <w:tab/>
        <w:t>(1)</w:t>
      </w:r>
    </w:p>
    <w:p w14:paraId="23BB8233" w14:textId="5D77BEB8" w:rsidR="00DB72A6" w:rsidRDefault="00090287" w:rsidP="007F459A">
      <w:pPr>
        <w:pStyle w:val="Brdtext"/>
        <w:jc w:val="right"/>
      </w:pPr>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kθ</m:t>
                </m:r>
                <m:r>
                  <w:rPr>
                    <w:rFonts w:ascii="Cambria Math" w:hAnsi="Cambria Math"/>
                  </w:rPr>
                  <m:t>+</m:t>
                </m:r>
                <m:r>
                  <w:rPr>
                    <w:rFonts w:ascii="Cambria Math" w:hAnsi="Cambria Math"/>
                  </w:rPr>
                  <m:t>φ</m:t>
                </m:r>
              </m:e>
            </m:d>
          </m:e>
        </m:func>
        <m:r>
          <w:rPr>
            <w:rFonts w:ascii="Cambria Math" w:hAnsi="Cambria Math"/>
          </w:rPr>
          <m:t>=</m:t>
        </m:r>
        <m:r>
          <w:rPr>
            <w:rFonts w:ascii="Cambria Math" w:hAnsi="Cambria Math"/>
          </w:rPr>
          <m:t>C</m:t>
        </m:r>
      </m:oMath>
      <w:r w:rsidR="007F459A">
        <w:tab/>
      </w:r>
      <w:r w:rsidR="007F459A">
        <w:tab/>
      </w:r>
      <w:r w:rsidR="007F459A">
        <w:tab/>
      </w:r>
      <w:r w:rsidR="007F459A">
        <w:tab/>
      </w:r>
      <w:r w:rsidR="007F459A">
        <w:tab/>
      </w:r>
      <w:r w:rsidR="007F459A">
        <w:tab/>
        <w:t>(2)</w:t>
      </w:r>
    </w:p>
    <w:p w14:paraId="5CB8E2CA" w14:textId="573E9D99" w:rsidR="00397038" w:rsidRDefault="00397038" w:rsidP="00121D83">
      <w:r>
        <w:t xml:space="preserve">Data collection </w:t>
      </w:r>
      <w:r w:rsidRPr="00397038">
        <w:t>includes</w:t>
      </w:r>
      <w:r w:rsidR="00D3483B">
        <w:t xml:space="preserve"> video</w:t>
      </w:r>
      <w:r w:rsidR="00A96865">
        <w:t>-</w:t>
      </w:r>
      <w:r w:rsidR="00D3483B">
        <w:t>recorded</w:t>
      </w:r>
      <w:r w:rsidRPr="00397038">
        <w:t xml:space="preserve"> lesson</w:t>
      </w:r>
      <w:r w:rsidR="00D3483B">
        <w:t>s,</w:t>
      </w:r>
      <w:r w:rsidRPr="00397038">
        <w:t xml:space="preserve"> observations,</w:t>
      </w:r>
      <w:r w:rsidR="00B81035">
        <w:t xml:space="preserve"> one</w:t>
      </w:r>
      <w:r w:rsidRPr="00397038">
        <w:t xml:space="preserve"> pre-</w:t>
      </w:r>
      <w:r w:rsidR="00B81035">
        <w:t>test,</w:t>
      </w:r>
      <w:r w:rsidR="00BD7A17">
        <w:t xml:space="preserve"> and </w:t>
      </w:r>
      <w:r w:rsidR="00B81035">
        <w:t xml:space="preserve">two </w:t>
      </w:r>
      <w:r w:rsidRPr="00397038">
        <w:t>post</w:t>
      </w:r>
      <w:r w:rsidR="00C91957">
        <w:t>-</w:t>
      </w:r>
      <w:r w:rsidRPr="00397038">
        <w:t>tests</w:t>
      </w:r>
      <w:r w:rsidR="00B81035">
        <w:t xml:space="preserve"> — one of which is </w:t>
      </w:r>
      <w:r w:rsidRPr="00397038">
        <w:t>a delayed post</w:t>
      </w:r>
      <w:r w:rsidR="00C91957">
        <w:t>-</w:t>
      </w:r>
      <w:r w:rsidRPr="00397038">
        <w:t>test to capture long-term learning outcomes.</w:t>
      </w:r>
      <w:r>
        <w:t xml:space="preserve"> </w:t>
      </w:r>
      <w:r w:rsidRPr="00397038">
        <w:t>The analysis</w:t>
      </w:r>
      <w:r w:rsidR="00B46E54">
        <w:t xml:space="preserve"> </w:t>
      </w:r>
      <w:r w:rsidR="00CE1B2D">
        <w:t xml:space="preserve">will focus </w:t>
      </w:r>
      <w:r w:rsidRPr="00397038">
        <w:t>on how variations in teaching design relate to differences in students’ learning, as revealed through their ability to shift between various representations of trigonometric concepts.</w:t>
      </w:r>
      <w:r w:rsidR="00121D83">
        <w:t xml:space="preserve"> </w:t>
      </w:r>
      <w:r w:rsidR="00CE1B2D">
        <w:t>To</w:t>
      </w:r>
      <w:r>
        <w:t xml:space="preserve"> classify the tasks in the tests</w:t>
      </w:r>
      <w:r w:rsidR="00D3483B">
        <w:t>,</w:t>
      </w:r>
      <w:r>
        <w:t xml:space="preserve"> a modified </w:t>
      </w:r>
      <w:r>
        <w:lastRenderedPageBreak/>
        <w:t>version of</w:t>
      </w:r>
      <w:r w:rsidR="00B46E54">
        <w:t xml:space="preserve"> Brown’s (2005, p. 133)</w:t>
      </w:r>
      <w:r>
        <w:t xml:space="preserve"> </w:t>
      </w:r>
      <w:r w:rsidR="00D3483B">
        <w:t xml:space="preserve">analytic framework </w:t>
      </w:r>
      <w:r w:rsidR="00CE1B2D">
        <w:t>is</w:t>
      </w:r>
      <w:r>
        <w:t xml:space="preserve"> used.</w:t>
      </w:r>
      <w:r w:rsidR="00CE1B2D">
        <w:t xml:space="preserve"> This framework was also applied in the pilot study.</w:t>
      </w:r>
      <w:r w:rsidR="00D3483B">
        <w:rPr>
          <w:lang w:val="en-US"/>
        </w:rPr>
        <w:t xml:space="preserve"> Since </w:t>
      </w:r>
      <w:r w:rsidRPr="00FE373D">
        <w:rPr>
          <w:lang w:val="en-US"/>
        </w:rPr>
        <w:t>this study d</w:t>
      </w:r>
      <w:r w:rsidR="00D3483B">
        <w:rPr>
          <w:lang w:val="en-US"/>
        </w:rPr>
        <w:t>oes</w:t>
      </w:r>
      <w:r w:rsidRPr="00FE373D">
        <w:rPr>
          <w:lang w:val="en-US"/>
        </w:rPr>
        <w:t xml:space="preserve"> not include the sinusoid, it was removed from </w:t>
      </w:r>
      <w:r>
        <w:rPr>
          <w:lang w:val="en-US"/>
        </w:rPr>
        <w:t>Brown</w:t>
      </w:r>
      <w:r w:rsidR="00D3483B">
        <w:rPr>
          <w:lang w:val="en-US"/>
        </w:rPr>
        <w:t>’</w:t>
      </w:r>
      <w:r>
        <w:rPr>
          <w:lang w:val="en-US"/>
        </w:rPr>
        <w:t>s original framework</w:t>
      </w:r>
      <w:r w:rsidR="00D3483B">
        <w:rPr>
          <w:lang w:val="en-US"/>
        </w:rPr>
        <w:t>;</w:t>
      </w:r>
      <w:r w:rsidR="002F55F2">
        <w:rPr>
          <w:lang w:val="en-US"/>
        </w:rPr>
        <w:t xml:space="preserve"> the modified version </w:t>
      </w:r>
      <w:r w:rsidR="00D3483B">
        <w:rPr>
          <w:lang w:val="en-US"/>
        </w:rPr>
        <w:t>is presented</w:t>
      </w:r>
      <w:r w:rsidR="002F55F2">
        <w:rPr>
          <w:lang w:val="en-US"/>
        </w:rPr>
        <w:t xml:space="preserve"> in</w:t>
      </w:r>
      <w:r>
        <w:rPr>
          <w:lang w:val="en-US"/>
        </w:rPr>
        <w:t xml:space="preserve"> Figure 1.</w:t>
      </w:r>
      <w:r>
        <w:t xml:space="preserve"> </w:t>
      </w:r>
      <w:r w:rsidR="002F55F2">
        <w:t xml:space="preserve">This framework also </w:t>
      </w:r>
      <w:r w:rsidR="00D3483B">
        <w:t>informed the</w:t>
      </w:r>
      <w:r w:rsidR="002F55F2">
        <w:t xml:space="preserve"> analysi</w:t>
      </w:r>
      <w:r w:rsidR="00D3483B">
        <w:t>s of</w:t>
      </w:r>
      <w:r w:rsidR="002F55F2">
        <w:t xml:space="preserve"> students’ answers.</w:t>
      </w:r>
    </w:p>
    <w:p w14:paraId="750A1289" w14:textId="77777777" w:rsidR="002F55F2" w:rsidRDefault="002F55F2" w:rsidP="002F55F2">
      <w:pPr>
        <w:rPr>
          <w:i/>
          <w:iCs/>
          <w:lang w:val="en-US"/>
        </w:rPr>
      </w:pPr>
    </w:p>
    <w:tbl>
      <w:tblPr>
        <w:tblStyle w:val="Tabellrutnt"/>
        <w:tblW w:w="9067" w:type="dxa"/>
        <w:tblLook w:val="04A0" w:firstRow="1" w:lastRow="0" w:firstColumn="1" w:lastColumn="0" w:noHBand="0" w:noVBand="1"/>
      </w:tblPr>
      <w:tblGrid>
        <w:gridCol w:w="1271"/>
        <w:gridCol w:w="2552"/>
        <w:gridCol w:w="2409"/>
        <w:gridCol w:w="2835"/>
      </w:tblGrid>
      <w:tr w:rsidR="002F55F2" w14:paraId="70C749D0" w14:textId="77777777" w:rsidTr="00243D17">
        <w:tc>
          <w:tcPr>
            <w:tcW w:w="1271" w:type="dxa"/>
            <w:tcBorders>
              <w:tl2br w:val="single" w:sz="4" w:space="0" w:color="auto"/>
            </w:tcBorders>
          </w:tcPr>
          <w:p w14:paraId="776FE05B" w14:textId="77777777" w:rsidR="002F55F2" w:rsidRPr="003632A6" w:rsidRDefault="002F55F2" w:rsidP="002F55F2">
            <w:pPr>
              <w:jc w:val="right"/>
              <w:rPr>
                <w:rFonts w:ascii="Aptos" w:hAnsi="Aptos"/>
                <w:sz w:val="22"/>
                <w:szCs w:val="22"/>
                <w:lang w:val="en-US"/>
              </w:rPr>
            </w:pPr>
            <w:r w:rsidRPr="003632A6">
              <w:rPr>
                <w:rFonts w:ascii="Aptos" w:hAnsi="Aptos"/>
                <w:sz w:val="22"/>
                <w:szCs w:val="22"/>
                <w:lang w:val="en-US"/>
              </w:rPr>
              <w:t>To</w:t>
            </w:r>
          </w:p>
          <w:p w14:paraId="19FF03B7" w14:textId="77777777" w:rsidR="002F55F2" w:rsidRPr="003632A6" w:rsidRDefault="002F55F2" w:rsidP="002F55F2">
            <w:pPr>
              <w:ind w:firstLine="0"/>
              <w:rPr>
                <w:rFonts w:ascii="Aptos" w:hAnsi="Aptos"/>
                <w:sz w:val="22"/>
                <w:szCs w:val="22"/>
                <w:lang w:val="en-US"/>
              </w:rPr>
            </w:pPr>
            <w:r w:rsidRPr="003632A6">
              <w:rPr>
                <w:rFonts w:ascii="Aptos" w:hAnsi="Aptos"/>
                <w:sz w:val="22"/>
                <w:szCs w:val="22"/>
                <w:lang w:val="en-US"/>
              </w:rPr>
              <w:t>From</w:t>
            </w:r>
          </w:p>
        </w:tc>
        <w:tc>
          <w:tcPr>
            <w:tcW w:w="2552" w:type="dxa"/>
          </w:tcPr>
          <w:p w14:paraId="673E324F" w14:textId="77777777" w:rsidR="002F55F2" w:rsidRPr="003632A6" w:rsidRDefault="002F55F2" w:rsidP="002F55F2">
            <w:pPr>
              <w:jc w:val="center"/>
              <w:rPr>
                <w:rFonts w:ascii="Aptos" w:hAnsi="Aptos"/>
                <w:sz w:val="22"/>
                <w:szCs w:val="22"/>
                <w:lang w:val="en-US"/>
              </w:rPr>
            </w:pPr>
            <w:r w:rsidRPr="003632A6">
              <w:rPr>
                <w:rFonts w:ascii="Aptos" w:hAnsi="Aptos"/>
                <w:sz w:val="22"/>
                <w:szCs w:val="22"/>
                <w:lang w:val="en-US"/>
              </w:rPr>
              <w:t>Angle</w:t>
            </w:r>
          </w:p>
        </w:tc>
        <w:tc>
          <w:tcPr>
            <w:tcW w:w="2409" w:type="dxa"/>
          </w:tcPr>
          <w:p w14:paraId="581CEEB1" w14:textId="77777777" w:rsidR="002F55F2" w:rsidRPr="003632A6" w:rsidRDefault="002F55F2" w:rsidP="002F55F2">
            <w:pPr>
              <w:ind w:firstLine="0"/>
              <w:jc w:val="center"/>
              <w:rPr>
                <w:rFonts w:ascii="Aptos" w:hAnsi="Aptos"/>
                <w:sz w:val="22"/>
                <w:szCs w:val="22"/>
                <w:lang w:val="en-US"/>
              </w:rPr>
            </w:pPr>
            <w:r w:rsidRPr="003632A6">
              <w:rPr>
                <w:rFonts w:ascii="Aptos" w:hAnsi="Aptos"/>
                <w:sz w:val="22"/>
                <w:szCs w:val="22"/>
                <w:lang w:val="en-US"/>
              </w:rPr>
              <w:t>Value</w:t>
            </w:r>
          </w:p>
        </w:tc>
        <w:tc>
          <w:tcPr>
            <w:tcW w:w="2835" w:type="dxa"/>
          </w:tcPr>
          <w:p w14:paraId="68FDEF04" w14:textId="77777777" w:rsidR="002F55F2" w:rsidRPr="003632A6" w:rsidRDefault="002F55F2" w:rsidP="002F55F2">
            <w:pPr>
              <w:ind w:firstLine="0"/>
              <w:jc w:val="center"/>
              <w:rPr>
                <w:rFonts w:ascii="Aptos" w:hAnsi="Aptos"/>
                <w:sz w:val="22"/>
                <w:szCs w:val="22"/>
                <w:lang w:val="en-US"/>
              </w:rPr>
            </w:pPr>
            <w:r w:rsidRPr="003632A6">
              <w:rPr>
                <w:rFonts w:ascii="Aptos" w:hAnsi="Aptos"/>
                <w:sz w:val="22"/>
                <w:szCs w:val="22"/>
                <w:lang w:val="en-US"/>
              </w:rPr>
              <w:t>Unit circle</w:t>
            </w:r>
          </w:p>
        </w:tc>
      </w:tr>
      <w:tr w:rsidR="002F55F2" w14:paraId="51C6D897" w14:textId="77777777" w:rsidTr="00243D17">
        <w:tc>
          <w:tcPr>
            <w:tcW w:w="1271" w:type="dxa"/>
          </w:tcPr>
          <w:p w14:paraId="286796D7" w14:textId="77777777" w:rsidR="002F55F2" w:rsidRPr="003632A6" w:rsidRDefault="002F55F2" w:rsidP="002F55F2">
            <w:pPr>
              <w:rPr>
                <w:rFonts w:ascii="Aptos" w:hAnsi="Aptos"/>
                <w:sz w:val="22"/>
                <w:szCs w:val="22"/>
                <w:lang w:val="en-US"/>
              </w:rPr>
            </w:pPr>
          </w:p>
          <w:p w14:paraId="47D2CC77" w14:textId="6A61FFA2" w:rsidR="002F55F2" w:rsidRPr="003632A6" w:rsidRDefault="002F55F2" w:rsidP="003632A6">
            <w:pPr>
              <w:ind w:firstLine="0"/>
              <w:rPr>
                <w:rFonts w:ascii="Aptos" w:hAnsi="Aptos"/>
                <w:sz w:val="22"/>
                <w:szCs w:val="22"/>
                <w:lang w:val="en-US"/>
              </w:rPr>
            </w:pPr>
            <w:r w:rsidRPr="003632A6">
              <w:rPr>
                <w:rFonts w:ascii="Aptos" w:hAnsi="Aptos"/>
                <w:sz w:val="22"/>
                <w:szCs w:val="22"/>
                <w:lang w:val="en-US"/>
              </w:rPr>
              <w:t>Angle</w:t>
            </w:r>
          </w:p>
        </w:tc>
        <w:tc>
          <w:tcPr>
            <w:tcW w:w="2552" w:type="dxa"/>
            <w:shd w:val="clear" w:color="auto" w:fill="000000" w:themeFill="text1"/>
          </w:tcPr>
          <w:p w14:paraId="7CFAD329" w14:textId="77777777" w:rsidR="002F55F2" w:rsidRPr="003632A6" w:rsidRDefault="002F55F2" w:rsidP="002F55F2">
            <w:pPr>
              <w:jc w:val="left"/>
              <w:rPr>
                <w:rFonts w:ascii="Aptos" w:hAnsi="Aptos"/>
                <w:sz w:val="22"/>
                <w:szCs w:val="22"/>
                <w:lang w:val="en-US"/>
              </w:rPr>
            </w:pPr>
          </w:p>
        </w:tc>
        <w:tc>
          <w:tcPr>
            <w:tcW w:w="2409" w:type="dxa"/>
          </w:tcPr>
          <w:p w14:paraId="3D83B53F" w14:textId="77777777" w:rsidR="002F55F2" w:rsidRPr="003632A6" w:rsidRDefault="002F55F2" w:rsidP="002F55F2">
            <w:pPr>
              <w:ind w:firstLine="0"/>
              <w:jc w:val="left"/>
              <w:rPr>
                <w:rFonts w:ascii="Aptos" w:hAnsi="Aptos"/>
                <w:sz w:val="22"/>
                <w:szCs w:val="22"/>
                <w:lang w:val="en-US"/>
              </w:rPr>
            </w:pPr>
            <w:r w:rsidRPr="003632A6">
              <w:rPr>
                <w:rFonts w:ascii="Aptos" w:hAnsi="Aptos"/>
                <w:sz w:val="22"/>
                <w:szCs w:val="22"/>
                <w:lang w:val="en-US"/>
              </w:rPr>
              <w:t>Special value or use calculator function key</w:t>
            </w:r>
          </w:p>
        </w:tc>
        <w:tc>
          <w:tcPr>
            <w:tcW w:w="2835" w:type="dxa"/>
          </w:tcPr>
          <w:p w14:paraId="00CCF45A" w14:textId="77777777" w:rsidR="002F55F2" w:rsidRPr="003632A6" w:rsidRDefault="002F55F2" w:rsidP="002F55F2">
            <w:pPr>
              <w:ind w:firstLine="0"/>
              <w:jc w:val="left"/>
              <w:rPr>
                <w:rFonts w:ascii="Aptos" w:hAnsi="Aptos"/>
                <w:sz w:val="22"/>
                <w:szCs w:val="22"/>
                <w:lang w:val="en-US"/>
              </w:rPr>
            </w:pPr>
            <w:r w:rsidRPr="003632A6">
              <w:rPr>
                <w:rFonts w:ascii="Aptos" w:hAnsi="Aptos"/>
                <w:sz w:val="22"/>
                <w:szCs w:val="22"/>
                <w:lang w:val="en-US"/>
              </w:rPr>
              <w:t>Rotate, plot point</w:t>
            </w:r>
          </w:p>
        </w:tc>
      </w:tr>
      <w:tr w:rsidR="002F55F2" w:rsidRPr="00D32270" w14:paraId="0CBA6A0F" w14:textId="77777777" w:rsidTr="00243D17">
        <w:tc>
          <w:tcPr>
            <w:tcW w:w="1271" w:type="dxa"/>
          </w:tcPr>
          <w:p w14:paraId="54700607" w14:textId="77777777" w:rsidR="002F55F2" w:rsidRPr="003632A6" w:rsidRDefault="002F55F2" w:rsidP="002F55F2">
            <w:pPr>
              <w:rPr>
                <w:rFonts w:ascii="Aptos" w:hAnsi="Aptos"/>
                <w:sz w:val="22"/>
                <w:szCs w:val="22"/>
                <w:lang w:val="en-US"/>
              </w:rPr>
            </w:pPr>
          </w:p>
          <w:p w14:paraId="796408A2" w14:textId="4C98CF87" w:rsidR="002F55F2" w:rsidRPr="003632A6" w:rsidRDefault="002F55F2" w:rsidP="003632A6">
            <w:pPr>
              <w:ind w:firstLine="0"/>
              <w:rPr>
                <w:rFonts w:ascii="Aptos" w:hAnsi="Aptos"/>
                <w:sz w:val="22"/>
                <w:szCs w:val="22"/>
                <w:lang w:val="en-US"/>
              </w:rPr>
            </w:pPr>
            <w:r w:rsidRPr="003632A6">
              <w:rPr>
                <w:rFonts w:ascii="Aptos" w:hAnsi="Aptos"/>
                <w:sz w:val="22"/>
                <w:szCs w:val="22"/>
                <w:lang w:val="en-US"/>
              </w:rPr>
              <w:t>Value</w:t>
            </w:r>
          </w:p>
        </w:tc>
        <w:tc>
          <w:tcPr>
            <w:tcW w:w="2552" w:type="dxa"/>
          </w:tcPr>
          <w:p w14:paraId="0DAC26AA" w14:textId="04F9F38B" w:rsidR="002F55F2" w:rsidRPr="003632A6" w:rsidRDefault="002F55F2" w:rsidP="002F55F2">
            <w:pPr>
              <w:ind w:firstLine="0"/>
              <w:jc w:val="left"/>
              <w:rPr>
                <w:rFonts w:ascii="Aptos" w:hAnsi="Aptos"/>
                <w:sz w:val="22"/>
                <w:szCs w:val="22"/>
                <w:lang w:val="en-US"/>
              </w:rPr>
            </w:pPr>
            <w:r w:rsidRPr="003632A6">
              <w:rPr>
                <w:rFonts w:ascii="Aptos" w:hAnsi="Aptos"/>
                <w:sz w:val="22"/>
                <w:szCs w:val="22"/>
                <w:lang w:val="en-US"/>
              </w:rPr>
              <w:t>Special value or us</w:t>
            </w:r>
            <w:r w:rsidR="00C91957" w:rsidRPr="003632A6">
              <w:rPr>
                <w:rFonts w:ascii="Aptos" w:hAnsi="Aptos"/>
                <w:sz w:val="22"/>
                <w:szCs w:val="22"/>
                <w:lang w:val="en-US"/>
              </w:rPr>
              <w:t>e</w:t>
            </w:r>
            <w:r w:rsidRPr="003632A6">
              <w:rPr>
                <w:rFonts w:ascii="Aptos" w:hAnsi="Aptos"/>
                <w:sz w:val="22"/>
                <w:szCs w:val="22"/>
                <w:lang w:val="en-US"/>
              </w:rPr>
              <w:t xml:space="preserve"> inverse key, adjust</w:t>
            </w:r>
          </w:p>
        </w:tc>
        <w:tc>
          <w:tcPr>
            <w:tcW w:w="2409" w:type="dxa"/>
            <w:shd w:val="clear" w:color="auto" w:fill="000000" w:themeFill="text1"/>
          </w:tcPr>
          <w:p w14:paraId="20540C52" w14:textId="77777777" w:rsidR="002F55F2" w:rsidRPr="003632A6" w:rsidRDefault="002F55F2" w:rsidP="002F55F2">
            <w:pPr>
              <w:jc w:val="left"/>
              <w:rPr>
                <w:rFonts w:ascii="Aptos" w:hAnsi="Aptos"/>
                <w:sz w:val="22"/>
                <w:szCs w:val="22"/>
                <w:lang w:val="en-US"/>
              </w:rPr>
            </w:pPr>
          </w:p>
        </w:tc>
        <w:tc>
          <w:tcPr>
            <w:tcW w:w="2835" w:type="dxa"/>
          </w:tcPr>
          <w:p w14:paraId="536960FB" w14:textId="77777777" w:rsidR="002F55F2" w:rsidRPr="003632A6" w:rsidRDefault="002F55F2" w:rsidP="002F55F2">
            <w:pPr>
              <w:ind w:firstLine="0"/>
              <w:jc w:val="left"/>
              <w:rPr>
                <w:rFonts w:ascii="Aptos" w:hAnsi="Aptos"/>
                <w:sz w:val="22"/>
                <w:szCs w:val="22"/>
                <w:lang w:val="en-US"/>
              </w:rPr>
            </w:pPr>
            <w:r w:rsidRPr="003632A6">
              <w:rPr>
                <w:rFonts w:ascii="Aptos" w:hAnsi="Aptos"/>
                <w:sz w:val="22"/>
                <w:szCs w:val="22"/>
                <w:lang w:val="en-US"/>
              </w:rPr>
              <w:t>Choose axis, read value, plot point (s)</w:t>
            </w:r>
          </w:p>
        </w:tc>
      </w:tr>
      <w:tr w:rsidR="002F55F2" w14:paraId="46E82742" w14:textId="77777777" w:rsidTr="00243D17">
        <w:tc>
          <w:tcPr>
            <w:tcW w:w="1271" w:type="dxa"/>
          </w:tcPr>
          <w:p w14:paraId="66837200" w14:textId="77777777" w:rsidR="002F55F2" w:rsidRPr="003632A6" w:rsidRDefault="002F55F2" w:rsidP="002F55F2">
            <w:pPr>
              <w:rPr>
                <w:rFonts w:ascii="Aptos" w:hAnsi="Aptos"/>
                <w:sz w:val="22"/>
                <w:szCs w:val="22"/>
                <w:lang w:val="en-US"/>
              </w:rPr>
            </w:pPr>
          </w:p>
          <w:p w14:paraId="71773238" w14:textId="1D5E5A8B" w:rsidR="002F55F2" w:rsidRPr="003632A6" w:rsidRDefault="002F55F2" w:rsidP="003632A6">
            <w:pPr>
              <w:ind w:firstLine="0"/>
              <w:rPr>
                <w:rFonts w:ascii="Aptos" w:hAnsi="Aptos"/>
                <w:sz w:val="22"/>
                <w:szCs w:val="22"/>
                <w:lang w:val="en-US"/>
              </w:rPr>
            </w:pPr>
            <w:r w:rsidRPr="003632A6">
              <w:rPr>
                <w:rFonts w:ascii="Aptos" w:hAnsi="Aptos"/>
                <w:sz w:val="22"/>
                <w:szCs w:val="22"/>
                <w:lang w:val="en-US"/>
              </w:rPr>
              <w:t>Unit circle</w:t>
            </w:r>
          </w:p>
        </w:tc>
        <w:tc>
          <w:tcPr>
            <w:tcW w:w="2552" w:type="dxa"/>
          </w:tcPr>
          <w:p w14:paraId="04CE7453" w14:textId="77777777" w:rsidR="002F55F2" w:rsidRPr="003632A6" w:rsidRDefault="002F55F2" w:rsidP="002F55F2">
            <w:pPr>
              <w:ind w:firstLine="0"/>
              <w:jc w:val="left"/>
              <w:rPr>
                <w:rFonts w:ascii="Aptos" w:hAnsi="Aptos"/>
                <w:sz w:val="22"/>
                <w:szCs w:val="22"/>
                <w:lang w:val="en-US"/>
              </w:rPr>
            </w:pPr>
            <w:r w:rsidRPr="003632A6">
              <w:rPr>
                <w:rFonts w:ascii="Aptos" w:hAnsi="Aptos"/>
                <w:sz w:val="22"/>
                <w:szCs w:val="22"/>
                <w:lang w:val="en-US"/>
              </w:rPr>
              <w:t>Read sine/cosine value, take inverse, adjust</w:t>
            </w:r>
          </w:p>
        </w:tc>
        <w:tc>
          <w:tcPr>
            <w:tcW w:w="2409" w:type="dxa"/>
          </w:tcPr>
          <w:p w14:paraId="7F514FDE" w14:textId="77777777" w:rsidR="002F55F2" w:rsidRPr="003632A6" w:rsidRDefault="002F55F2" w:rsidP="002F55F2">
            <w:pPr>
              <w:ind w:firstLine="0"/>
              <w:jc w:val="left"/>
              <w:rPr>
                <w:rFonts w:ascii="Aptos" w:hAnsi="Aptos"/>
                <w:sz w:val="22"/>
                <w:szCs w:val="22"/>
                <w:lang w:val="en-US"/>
              </w:rPr>
            </w:pPr>
            <w:r w:rsidRPr="003632A6">
              <w:rPr>
                <w:rFonts w:ascii="Aptos" w:hAnsi="Aptos"/>
                <w:sz w:val="22"/>
                <w:szCs w:val="22"/>
                <w:lang w:val="en-US"/>
              </w:rPr>
              <w:t>Choose axis, read value</w:t>
            </w:r>
          </w:p>
        </w:tc>
        <w:tc>
          <w:tcPr>
            <w:tcW w:w="2835" w:type="dxa"/>
            <w:shd w:val="clear" w:color="auto" w:fill="000000" w:themeFill="text1"/>
          </w:tcPr>
          <w:p w14:paraId="6D71EEEF" w14:textId="77777777" w:rsidR="002F55F2" w:rsidRPr="003632A6" w:rsidRDefault="002F55F2" w:rsidP="002F55F2">
            <w:pPr>
              <w:jc w:val="left"/>
              <w:rPr>
                <w:rFonts w:ascii="Aptos" w:hAnsi="Aptos"/>
                <w:sz w:val="22"/>
                <w:szCs w:val="22"/>
                <w:lang w:val="en-US"/>
              </w:rPr>
            </w:pPr>
          </w:p>
        </w:tc>
      </w:tr>
    </w:tbl>
    <w:p w14:paraId="231E5EFA" w14:textId="11EA9EEE" w:rsidR="002F55F2" w:rsidRPr="002F55F2" w:rsidRDefault="002F55F2" w:rsidP="002F55F2">
      <w:pPr>
        <w:pStyle w:val="Headtable"/>
        <w:rPr>
          <w:lang w:val="en-US"/>
        </w:rPr>
      </w:pPr>
      <w:r>
        <w:rPr>
          <w:lang w:val="en-US"/>
        </w:rPr>
        <w:t>Figure 1: Translations in circle trigonometry</w:t>
      </w:r>
    </w:p>
    <w:p w14:paraId="0D0BACDA" w14:textId="0CE0B71A" w:rsidR="00DB72A6" w:rsidRDefault="00397038" w:rsidP="003D1905">
      <w:pPr>
        <w:pStyle w:val="Rubrik2"/>
      </w:pPr>
      <w:r>
        <w:t>Contribution</w:t>
      </w:r>
    </w:p>
    <w:p w14:paraId="5EEB5682" w14:textId="539D4CEE" w:rsidR="00DB72A6" w:rsidRPr="00F43CF4" w:rsidRDefault="00276E0D" w:rsidP="00276E0D">
      <w:pPr>
        <w:pStyle w:val="Brdtext"/>
      </w:pPr>
      <w:r w:rsidRPr="00276E0D">
        <w:t xml:space="preserve">By comparing two lesson structures on the unit circle, this study examines how content-focused design supports trigonometry learning. </w:t>
      </w:r>
      <w:r w:rsidR="00D3483B" w:rsidRPr="00D3483B">
        <w:t>Combining variation theory with a representation analysis provides detailed insights into how students’ understanding develops based on how the content is presented</w:t>
      </w:r>
      <w:r w:rsidR="005F3D8E">
        <w:t xml:space="preserve"> in teaching</w:t>
      </w:r>
      <w:r w:rsidR="00D3483B" w:rsidRPr="00D3483B">
        <w:t>.</w:t>
      </w:r>
    </w:p>
    <w:p w14:paraId="40DB9C4D" w14:textId="602B6B8E" w:rsidR="00EC00C6" w:rsidRPr="003D1905" w:rsidRDefault="00CE6A6A" w:rsidP="003D1905">
      <w:pPr>
        <w:pStyle w:val="Rubrik2"/>
      </w:pPr>
      <w:r>
        <w:t>References</w:t>
      </w:r>
    </w:p>
    <w:p w14:paraId="68CFBD33" w14:textId="77777777" w:rsidR="002705C9" w:rsidRPr="002705C9" w:rsidRDefault="008E3B0C" w:rsidP="002705C9">
      <w:pPr>
        <w:pStyle w:val="References"/>
        <w:rPr>
          <w:noProof/>
        </w:rPr>
      </w:pPr>
      <w:r>
        <w:rPr>
          <w:noProof/>
        </w:rPr>
        <w:fldChar w:fldCharType="begin"/>
      </w:r>
      <w:r>
        <w:instrText xml:space="preserve"> ADDIN EN.REFLIST </w:instrText>
      </w:r>
      <w:r>
        <w:rPr>
          <w:noProof/>
        </w:rPr>
        <w:fldChar w:fldCharType="separate"/>
      </w:r>
      <w:r w:rsidR="002705C9" w:rsidRPr="002705C9">
        <w:rPr>
          <w:noProof/>
        </w:rPr>
        <w:t xml:space="preserve">Brown, S. A. (2005). </w:t>
      </w:r>
      <w:r w:rsidR="002705C9" w:rsidRPr="002705C9">
        <w:rPr>
          <w:i/>
          <w:noProof/>
        </w:rPr>
        <w:t>The trigonometric connection: Students' understanding of sine and cosine</w:t>
      </w:r>
      <w:r w:rsidR="002705C9" w:rsidRPr="002705C9">
        <w:rPr>
          <w:noProof/>
        </w:rPr>
        <w:t xml:space="preserve"> (Publication Number 3233908) [Doctoral dissertation, Illinois State University]. ProQuest Dissertations and Theses Global. </w:t>
      </w:r>
    </w:p>
    <w:p w14:paraId="53203B08" w14:textId="0EFD0A81" w:rsidR="002705C9" w:rsidRPr="002705C9" w:rsidRDefault="002705C9" w:rsidP="002705C9">
      <w:pPr>
        <w:pStyle w:val="References"/>
        <w:rPr>
          <w:noProof/>
        </w:rPr>
      </w:pPr>
      <w:r w:rsidRPr="002705C9">
        <w:rPr>
          <w:noProof/>
        </w:rPr>
        <w:t xml:space="preserve">Kamber, D., &amp; Takaci, D. (2018). On problematic aspects in learning trigonometry. </w:t>
      </w:r>
      <w:r w:rsidRPr="002705C9">
        <w:rPr>
          <w:i/>
          <w:noProof/>
        </w:rPr>
        <w:t>International Journal of Mathematical Education in Science and Technology</w:t>
      </w:r>
      <w:r w:rsidRPr="002705C9">
        <w:rPr>
          <w:noProof/>
        </w:rPr>
        <w:t>,</w:t>
      </w:r>
      <w:r w:rsidRPr="002705C9">
        <w:rPr>
          <w:i/>
          <w:noProof/>
        </w:rPr>
        <w:t xml:space="preserve"> 49</w:t>
      </w:r>
      <w:r w:rsidRPr="002705C9">
        <w:rPr>
          <w:noProof/>
        </w:rPr>
        <w:t xml:space="preserve">(2), 161–175. </w:t>
      </w:r>
      <w:hyperlink r:id="rId7" w:history="1">
        <w:r w:rsidRPr="002705C9">
          <w:rPr>
            <w:rStyle w:val="Hyperlnk"/>
            <w:noProof/>
          </w:rPr>
          <w:t>https://doi.org/10.1080/0020739X.2017.1357846</w:t>
        </w:r>
      </w:hyperlink>
      <w:r w:rsidRPr="002705C9">
        <w:rPr>
          <w:noProof/>
        </w:rPr>
        <w:t xml:space="preserve"> </w:t>
      </w:r>
    </w:p>
    <w:p w14:paraId="0D87E885" w14:textId="738B4BC2" w:rsidR="002705C9" w:rsidRPr="002705C9" w:rsidRDefault="002705C9" w:rsidP="002705C9">
      <w:pPr>
        <w:pStyle w:val="References"/>
        <w:rPr>
          <w:noProof/>
        </w:rPr>
      </w:pPr>
      <w:r w:rsidRPr="002705C9">
        <w:rPr>
          <w:noProof/>
        </w:rPr>
        <w:t xml:space="preserve">Kullberg, A., Ingerman, Å., &amp; Marton, F. (2024). </w:t>
      </w:r>
      <w:r w:rsidRPr="002705C9">
        <w:rPr>
          <w:i/>
          <w:noProof/>
        </w:rPr>
        <w:t>Planning and analyzing teaching. Using the variation theory of learning</w:t>
      </w:r>
      <w:r w:rsidRPr="002705C9">
        <w:rPr>
          <w:noProof/>
        </w:rPr>
        <w:t xml:space="preserve">. Routledge. </w:t>
      </w:r>
      <w:hyperlink r:id="rId8" w:history="1">
        <w:r w:rsidRPr="002705C9">
          <w:rPr>
            <w:rStyle w:val="Hyperlnk"/>
            <w:noProof/>
          </w:rPr>
          <w:t>https://doi.org/10.4324/9781003194903</w:t>
        </w:r>
      </w:hyperlink>
      <w:r w:rsidRPr="002705C9">
        <w:rPr>
          <w:noProof/>
        </w:rPr>
        <w:t xml:space="preserve"> </w:t>
      </w:r>
    </w:p>
    <w:p w14:paraId="64F60592" w14:textId="77777777" w:rsidR="002705C9" w:rsidRPr="002705C9" w:rsidRDefault="002705C9" w:rsidP="002705C9">
      <w:pPr>
        <w:pStyle w:val="References"/>
        <w:rPr>
          <w:noProof/>
        </w:rPr>
      </w:pPr>
      <w:r w:rsidRPr="002705C9">
        <w:rPr>
          <w:noProof/>
        </w:rPr>
        <w:t xml:space="preserve">Maknun, C. L. l. i., Rosjanuardi, R., &amp; Jupri, A. (2022). Epistemological Obstacle in Learning Trigonometry. </w:t>
      </w:r>
      <w:r w:rsidRPr="002705C9">
        <w:rPr>
          <w:i/>
          <w:noProof/>
        </w:rPr>
        <w:t>Mathematics Teaching Research Journal</w:t>
      </w:r>
      <w:r w:rsidRPr="002705C9">
        <w:rPr>
          <w:noProof/>
        </w:rPr>
        <w:t>,</w:t>
      </w:r>
      <w:r w:rsidRPr="002705C9">
        <w:rPr>
          <w:i/>
          <w:noProof/>
        </w:rPr>
        <w:t xml:space="preserve"> 14</w:t>
      </w:r>
      <w:r w:rsidRPr="002705C9">
        <w:rPr>
          <w:noProof/>
        </w:rPr>
        <w:t xml:space="preserve">(2), 5–25. </w:t>
      </w:r>
    </w:p>
    <w:p w14:paraId="4398C200" w14:textId="31607D85" w:rsidR="002705C9" w:rsidRPr="002705C9" w:rsidRDefault="002705C9" w:rsidP="002705C9">
      <w:pPr>
        <w:pStyle w:val="References"/>
        <w:rPr>
          <w:noProof/>
        </w:rPr>
      </w:pPr>
      <w:r w:rsidRPr="002705C9">
        <w:rPr>
          <w:noProof/>
        </w:rPr>
        <w:t xml:space="preserve">Marton, F. (2015). </w:t>
      </w:r>
      <w:r w:rsidRPr="002705C9">
        <w:rPr>
          <w:i/>
          <w:noProof/>
        </w:rPr>
        <w:t>Necessary conditions of learning</w:t>
      </w:r>
      <w:r w:rsidRPr="002705C9">
        <w:rPr>
          <w:noProof/>
        </w:rPr>
        <w:t xml:space="preserve">. Routledge. </w:t>
      </w:r>
      <w:hyperlink r:id="rId9" w:history="1">
        <w:r w:rsidRPr="002705C9">
          <w:rPr>
            <w:rStyle w:val="Hyperlnk"/>
            <w:noProof/>
          </w:rPr>
          <w:t>https://doi.org/10.4324/9781315816876</w:t>
        </w:r>
      </w:hyperlink>
      <w:r w:rsidRPr="002705C9">
        <w:rPr>
          <w:noProof/>
        </w:rPr>
        <w:t xml:space="preserve"> </w:t>
      </w:r>
    </w:p>
    <w:p w14:paraId="6FB3CB37" w14:textId="77777777" w:rsidR="002705C9" w:rsidRPr="002705C9" w:rsidRDefault="002705C9" w:rsidP="002705C9">
      <w:pPr>
        <w:pStyle w:val="References"/>
        <w:rPr>
          <w:noProof/>
        </w:rPr>
      </w:pPr>
      <w:r w:rsidRPr="002705C9">
        <w:rPr>
          <w:noProof/>
        </w:rPr>
        <w:t xml:space="preserve">Marton, F., &amp; Tsui, A. B. M. (2004). </w:t>
      </w:r>
      <w:r w:rsidRPr="002705C9">
        <w:rPr>
          <w:i/>
          <w:noProof/>
        </w:rPr>
        <w:t>Classroom Discourse and the Space of Learning</w:t>
      </w:r>
      <w:r w:rsidRPr="002705C9">
        <w:rPr>
          <w:noProof/>
        </w:rPr>
        <w:t xml:space="preserve">. Routledge. </w:t>
      </w:r>
    </w:p>
    <w:p w14:paraId="6BBF6F17" w14:textId="3841C524" w:rsidR="002705C9" w:rsidRPr="002705C9" w:rsidRDefault="002705C9" w:rsidP="002705C9">
      <w:pPr>
        <w:pStyle w:val="References"/>
        <w:rPr>
          <w:noProof/>
        </w:rPr>
      </w:pPr>
      <w:r w:rsidRPr="002705C9">
        <w:rPr>
          <w:noProof/>
        </w:rPr>
        <w:t xml:space="preserve">Olteanu, C., &amp; Olteanu, L. (2013). Enhancing mathematics communication using critical aspects and dimensions of variation. </w:t>
      </w:r>
      <w:r w:rsidRPr="002705C9">
        <w:rPr>
          <w:i/>
          <w:noProof/>
        </w:rPr>
        <w:t>International Journal of Mathematical Education in Science and Technology</w:t>
      </w:r>
      <w:r w:rsidRPr="002705C9">
        <w:rPr>
          <w:noProof/>
        </w:rPr>
        <w:t>,</w:t>
      </w:r>
      <w:r w:rsidRPr="002705C9">
        <w:rPr>
          <w:i/>
          <w:noProof/>
        </w:rPr>
        <w:t xml:space="preserve"> 44</w:t>
      </w:r>
      <w:r w:rsidRPr="002705C9">
        <w:rPr>
          <w:noProof/>
        </w:rPr>
        <w:t xml:space="preserve">(4), 513–522. </w:t>
      </w:r>
      <w:hyperlink r:id="rId10" w:history="1">
        <w:r w:rsidRPr="002705C9">
          <w:rPr>
            <w:rStyle w:val="Hyperlnk"/>
            <w:noProof/>
          </w:rPr>
          <w:t>https://doi.org/10.1080/0020739X.2012.742153</w:t>
        </w:r>
      </w:hyperlink>
      <w:r w:rsidRPr="002705C9">
        <w:rPr>
          <w:noProof/>
        </w:rPr>
        <w:t xml:space="preserve"> </w:t>
      </w:r>
    </w:p>
    <w:p w14:paraId="34AB2664" w14:textId="6F711338" w:rsidR="002705C9" w:rsidRPr="002705C9" w:rsidRDefault="002705C9" w:rsidP="002705C9">
      <w:pPr>
        <w:pStyle w:val="References"/>
        <w:rPr>
          <w:noProof/>
        </w:rPr>
      </w:pPr>
      <w:r w:rsidRPr="002705C9">
        <w:rPr>
          <w:noProof/>
        </w:rPr>
        <w:t xml:space="preserve">Yiǧit Koyunkaya, M. (2016). Mathematics education graduate students’ understanding of trigonometric ratios. </w:t>
      </w:r>
      <w:r w:rsidRPr="002705C9">
        <w:rPr>
          <w:i/>
          <w:noProof/>
        </w:rPr>
        <w:t>International Journal of Mathematical Education in Science and Technology</w:t>
      </w:r>
      <w:r w:rsidRPr="002705C9">
        <w:rPr>
          <w:noProof/>
        </w:rPr>
        <w:t>,</w:t>
      </w:r>
      <w:r w:rsidRPr="002705C9">
        <w:rPr>
          <w:i/>
          <w:noProof/>
        </w:rPr>
        <w:t xml:space="preserve"> 47</w:t>
      </w:r>
      <w:r w:rsidRPr="002705C9">
        <w:rPr>
          <w:noProof/>
        </w:rPr>
        <w:t xml:space="preserve">(7), 1028–1047. </w:t>
      </w:r>
      <w:hyperlink r:id="rId11" w:history="1">
        <w:r w:rsidRPr="002705C9">
          <w:rPr>
            <w:rStyle w:val="Hyperlnk"/>
            <w:noProof/>
          </w:rPr>
          <w:t>https://doi.org/10.1080/0020739X.2016.1155774</w:t>
        </w:r>
      </w:hyperlink>
      <w:r w:rsidRPr="002705C9">
        <w:rPr>
          <w:noProof/>
        </w:rPr>
        <w:t xml:space="preserve"> </w:t>
      </w:r>
    </w:p>
    <w:p w14:paraId="1078BEE7" w14:textId="1DADEEB4" w:rsidR="00CE6A6A" w:rsidRDefault="008E3B0C" w:rsidP="00B2332C">
      <w:pPr>
        <w:pStyle w:val="References"/>
        <w:ind w:left="0" w:firstLine="0"/>
      </w:pPr>
      <w:r>
        <w:fldChar w:fldCharType="end"/>
      </w:r>
    </w:p>
    <w:sectPr w:rsidR="00CE6A6A" w:rsidSect="000761F4">
      <w:headerReference w:type="default" r:id="rId12"/>
      <w:footerReference w:type="even" r:id="rId13"/>
      <w:footerReference w:type="default" r:id="rId14"/>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04E7" w14:textId="77777777" w:rsidR="00A560E7" w:rsidRDefault="00A560E7">
      <w:pPr>
        <w:spacing w:line="240" w:lineRule="auto"/>
      </w:pPr>
      <w:r>
        <w:separator/>
      </w:r>
    </w:p>
  </w:endnote>
  <w:endnote w:type="continuationSeparator" w:id="0">
    <w:p w14:paraId="59244F9E" w14:textId="77777777" w:rsidR="00A560E7" w:rsidRDefault="00A56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ptos">
    <w:altName w:val="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813C" w14:textId="77777777" w:rsidR="00A560E7" w:rsidRDefault="00A560E7">
      <w:pPr>
        <w:spacing w:line="240" w:lineRule="auto"/>
      </w:pPr>
      <w:r>
        <w:separator/>
      </w:r>
    </w:p>
  </w:footnote>
  <w:footnote w:type="continuationSeparator" w:id="0">
    <w:p w14:paraId="180046A4" w14:textId="77777777" w:rsidR="00A560E7" w:rsidRDefault="00A560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115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f9xv9p5rvf55e9ewcv2xrx22rzppdz2st0&quot;&gt;Thifors 2&lt;record-ids&gt;&lt;item&gt;5&lt;/item&gt;&lt;item&gt;148&lt;/item&gt;&lt;item&gt;180&lt;/item&gt;&lt;item&gt;181&lt;/item&gt;&lt;item&gt;188&lt;/item&gt;&lt;item&gt;190&lt;/item&gt;&lt;item&gt;217&lt;/item&gt;&lt;item&gt;271&lt;/item&gt;&lt;/record-ids&gt;&lt;/item&gt;&lt;/Libraries&gt;"/>
  </w:docVars>
  <w:rsids>
    <w:rsidRoot w:val="00B13C57"/>
    <w:rsid w:val="00053461"/>
    <w:rsid w:val="00064A57"/>
    <w:rsid w:val="000761F4"/>
    <w:rsid w:val="00081399"/>
    <w:rsid w:val="00084739"/>
    <w:rsid w:val="00090287"/>
    <w:rsid w:val="000D2258"/>
    <w:rsid w:val="000F7629"/>
    <w:rsid w:val="000F7BC9"/>
    <w:rsid w:val="00117643"/>
    <w:rsid w:val="00121D83"/>
    <w:rsid w:val="00133F5F"/>
    <w:rsid w:val="001864D0"/>
    <w:rsid w:val="001A146B"/>
    <w:rsid w:val="001E69ED"/>
    <w:rsid w:val="002705C9"/>
    <w:rsid w:val="00276E0D"/>
    <w:rsid w:val="002824CB"/>
    <w:rsid w:val="0029184B"/>
    <w:rsid w:val="002A38E1"/>
    <w:rsid w:val="002C65E6"/>
    <w:rsid w:val="002F42B3"/>
    <w:rsid w:val="002F55F2"/>
    <w:rsid w:val="0032606F"/>
    <w:rsid w:val="003632A6"/>
    <w:rsid w:val="00397038"/>
    <w:rsid w:val="003A20F6"/>
    <w:rsid w:val="003B2647"/>
    <w:rsid w:val="003B4A4C"/>
    <w:rsid w:val="003D1905"/>
    <w:rsid w:val="00461D61"/>
    <w:rsid w:val="00482121"/>
    <w:rsid w:val="004E6BFD"/>
    <w:rsid w:val="00532C54"/>
    <w:rsid w:val="00544E51"/>
    <w:rsid w:val="00567E52"/>
    <w:rsid w:val="005710F8"/>
    <w:rsid w:val="0059652F"/>
    <w:rsid w:val="005A2CA9"/>
    <w:rsid w:val="005A363B"/>
    <w:rsid w:val="005B4DBB"/>
    <w:rsid w:val="005E3911"/>
    <w:rsid w:val="005F0E01"/>
    <w:rsid w:val="005F3D8E"/>
    <w:rsid w:val="005F749A"/>
    <w:rsid w:val="00635711"/>
    <w:rsid w:val="00672077"/>
    <w:rsid w:val="006A3A70"/>
    <w:rsid w:val="006B3A37"/>
    <w:rsid w:val="00710EAB"/>
    <w:rsid w:val="00737C28"/>
    <w:rsid w:val="00752C3C"/>
    <w:rsid w:val="0075497C"/>
    <w:rsid w:val="007628ED"/>
    <w:rsid w:val="007A1D83"/>
    <w:rsid w:val="007F210F"/>
    <w:rsid w:val="007F459A"/>
    <w:rsid w:val="00815ABF"/>
    <w:rsid w:val="00840C73"/>
    <w:rsid w:val="00842F58"/>
    <w:rsid w:val="008C4C60"/>
    <w:rsid w:val="008E3B0C"/>
    <w:rsid w:val="0091579A"/>
    <w:rsid w:val="00926CCA"/>
    <w:rsid w:val="00933A03"/>
    <w:rsid w:val="00944536"/>
    <w:rsid w:val="009A02EF"/>
    <w:rsid w:val="009C103B"/>
    <w:rsid w:val="00A23F3D"/>
    <w:rsid w:val="00A2654B"/>
    <w:rsid w:val="00A560E7"/>
    <w:rsid w:val="00A931CF"/>
    <w:rsid w:val="00A96865"/>
    <w:rsid w:val="00B13C57"/>
    <w:rsid w:val="00B2332C"/>
    <w:rsid w:val="00B46E54"/>
    <w:rsid w:val="00B5381A"/>
    <w:rsid w:val="00B73611"/>
    <w:rsid w:val="00B74FFC"/>
    <w:rsid w:val="00B81035"/>
    <w:rsid w:val="00BA3EE3"/>
    <w:rsid w:val="00BB783A"/>
    <w:rsid w:val="00BC36AA"/>
    <w:rsid w:val="00BD7A17"/>
    <w:rsid w:val="00BF68D4"/>
    <w:rsid w:val="00C029AF"/>
    <w:rsid w:val="00C05503"/>
    <w:rsid w:val="00C24A46"/>
    <w:rsid w:val="00C32D6E"/>
    <w:rsid w:val="00C60864"/>
    <w:rsid w:val="00C91957"/>
    <w:rsid w:val="00CC3DFA"/>
    <w:rsid w:val="00CD4CF6"/>
    <w:rsid w:val="00CE1B2D"/>
    <w:rsid w:val="00CE6A6A"/>
    <w:rsid w:val="00D1010D"/>
    <w:rsid w:val="00D3483B"/>
    <w:rsid w:val="00D51119"/>
    <w:rsid w:val="00D73FC0"/>
    <w:rsid w:val="00D827A1"/>
    <w:rsid w:val="00D84EF7"/>
    <w:rsid w:val="00DA2424"/>
    <w:rsid w:val="00DA50FD"/>
    <w:rsid w:val="00DB72A6"/>
    <w:rsid w:val="00DF26F2"/>
    <w:rsid w:val="00E90B43"/>
    <w:rsid w:val="00EC00C6"/>
    <w:rsid w:val="00EC1A57"/>
    <w:rsid w:val="00ED2199"/>
    <w:rsid w:val="00F0543C"/>
    <w:rsid w:val="00F058FD"/>
    <w:rsid w:val="00F200C7"/>
    <w:rsid w:val="00F2066E"/>
    <w:rsid w:val="00F22A43"/>
    <w:rsid w:val="00F42DFA"/>
    <w:rsid w:val="00F43CF4"/>
    <w:rsid w:val="00F5400D"/>
    <w:rsid w:val="00F93A79"/>
    <w:rsid w:val="00FA4ED7"/>
    <w:rsid w:val="00FB0747"/>
    <w:rsid w:val="00FD2CF2"/>
    <w:rsid w:val="00FF7474"/>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3F72BD"/>
  <w14:defaultImageDpi w14:val="300"/>
  <w15:docId w15:val="{C577C359-053E-4594-98DC-33971160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paragraph" w:customStyle="1" w:styleId="EndNoteBibliographyTitle">
    <w:name w:val="EndNote Bibliography Title"/>
    <w:basedOn w:val="Normal"/>
    <w:link w:val="EndNoteBibliographyTitleChar"/>
    <w:rsid w:val="00EC00C6"/>
    <w:pPr>
      <w:jc w:val="center"/>
    </w:pPr>
    <w:rPr>
      <w:noProof/>
      <w:lang w:val="en-US"/>
    </w:rPr>
  </w:style>
  <w:style w:type="character" w:customStyle="1" w:styleId="EndNoteBibliographyTitleChar">
    <w:name w:val="EndNote Bibliography Title Char"/>
    <w:basedOn w:val="BrdtextChar"/>
    <w:link w:val="EndNoteBibliographyTitle"/>
    <w:rsid w:val="00EC00C6"/>
    <w:rPr>
      <w:noProof/>
      <w:sz w:val="26"/>
      <w:szCs w:val="28"/>
      <w:lang w:val="en-US" w:eastAsia="en-US"/>
    </w:rPr>
  </w:style>
  <w:style w:type="paragraph" w:customStyle="1" w:styleId="EndNoteBibliography">
    <w:name w:val="EndNote Bibliography"/>
    <w:basedOn w:val="Normal"/>
    <w:link w:val="EndNoteBibliographyChar"/>
    <w:rsid w:val="00EC00C6"/>
    <w:pPr>
      <w:spacing w:line="240" w:lineRule="atLeast"/>
      <w:jc w:val="left"/>
    </w:pPr>
    <w:rPr>
      <w:noProof/>
      <w:lang w:val="en-US"/>
    </w:rPr>
  </w:style>
  <w:style w:type="character" w:customStyle="1" w:styleId="EndNoteBibliographyChar">
    <w:name w:val="EndNote Bibliography Char"/>
    <w:basedOn w:val="BrdtextChar"/>
    <w:link w:val="EndNoteBibliography"/>
    <w:rsid w:val="00EC00C6"/>
    <w:rPr>
      <w:noProof/>
      <w:sz w:val="26"/>
      <w:szCs w:val="28"/>
      <w:lang w:val="en-US" w:eastAsia="en-US"/>
    </w:rPr>
  </w:style>
  <w:style w:type="character" w:styleId="Hyperlnk">
    <w:name w:val="Hyperlink"/>
    <w:basedOn w:val="Standardstycketeckensnitt"/>
    <w:unhideWhenUsed/>
    <w:rsid w:val="00EC00C6"/>
    <w:rPr>
      <w:color w:val="0000FF" w:themeColor="hyperlink"/>
      <w:u w:val="single"/>
    </w:rPr>
  </w:style>
  <w:style w:type="character" w:styleId="Olstomnmnande">
    <w:name w:val="Unresolved Mention"/>
    <w:basedOn w:val="Standardstycketeckensnitt"/>
    <w:uiPriority w:val="99"/>
    <w:semiHidden/>
    <w:unhideWhenUsed/>
    <w:rsid w:val="00EC00C6"/>
    <w:rPr>
      <w:color w:val="605E5C"/>
      <w:shd w:val="clear" w:color="auto" w:fill="E1DFDD"/>
    </w:rPr>
  </w:style>
  <w:style w:type="character" w:styleId="Platshllartext">
    <w:name w:val="Placeholder Text"/>
    <w:basedOn w:val="Standardstycketeckensnitt"/>
    <w:semiHidden/>
    <w:rsid w:val="005B4DBB"/>
    <w:rPr>
      <w:color w:val="666666"/>
    </w:rPr>
  </w:style>
  <w:style w:type="table" w:styleId="Tabellrutnt">
    <w:name w:val="Table Grid"/>
    <w:basedOn w:val="Normaltabell"/>
    <w:uiPriority w:val="39"/>
    <w:rsid w:val="002F55F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FF7474"/>
    <w:rPr>
      <w:sz w:val="16"/>
      <w:szCs w:val="16"/>
    </w:rPr>
  </w:style>
  <w:style w:type="paragraph" w:styleId="Kommentarer">
    <w:name w:val="annotation text"/>
    <w:basedOn w:val="Normal"/>
    <w:link w:val="KommentarerChar"/>
    <w:unhideWhenUsed/>
    <w:rsid w:val="00FF7474"/>
    <w:pPr>
      <w:spacing w:line="240" w:lineRule="auto"/>
    </w:pPr>
    <w:rPr>
      <w:sz w:val="20"/>
      <w:szCs w:val="20"/>
    </w:rPr>
  </w:style>
  <w:style w:type="character" w:customStyle="1" w:styleId="KommentarerChar">
    <w:name w:val="Kommentarer Char"/>
    <w:basedOn w:val="Standardstycketeckensnitt"/>
    <w:link w:val="Kommentarer"/>
    <w:rsid w:val="00FF7474"/>
    <w:rPr>
      <w:lang w:val="en-GB" w:eastAsia="en-US"/>
    </w:rPr>
  </w:style>
  <w:style w:type="paragraph" w:styleId="Kommentarsmne">
    <w:name w:val="annotation subject"/>
    <w:basedOn w:val="Kommentarer"/>
    <w:next w:val="Kommentarer"/>
    <w:link w:val="KommentarsmneChar"/>
    <w:semiHidden/>
    <w:unhideWhenUsed/>
    <w:rsid w:val="00FF7474"/>
    <w:rPr>
      <w:b/>
      <w:bCs/>
    </w:rPr>
  </w:style>
  <w:style w:type="character" w:customStyle="1" w:styleId="KommentarsmneChar">
    <w:name w:val="Kommentarsämne Char"/>
    <w:basedOn w:val="KommentarerChar"/>
    <w:link w:val="Kommentarsmne"/>
    <w:semiHidden/>
    <w:rsid w:val="00FF747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00319490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0020739X.2017.1357846"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0739X.2016.11557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80/0020739X.2012.742153" TargetMode="External"/><Relationship Id="rId4" Type="http://schemas.openxmlformats.org/officeDocument/2006/relationships/webSettings" Target="webSettings.xml"/><Relationship Id="rId9" Type="http://schemas.openxmlformats.org/officeDocument/2006/relationships/hyperlink" Target="https://doi.org/10.4324/9781315816876"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1903</Words>
  <Characters>11823</Characters>
  <Application>Microsoft Office Word</Application>
  <DocSecurity>4</DocSecurity>
  <Lines>184</Lines>
  <Paragraphs>35</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13691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Christian Thifors</dc:creator>
  <cp:keywords/>
  <dc:description/>
  <cp:lastModifiedBy>Hanna Palmér</cp:lastModifiedBy>
  <cp:revision>2</cp:revision>
  <cp:lastPrinted>2025-07-03T07:41:00Z</cp:lastPrinted>
  <dcterms:created xsi:type="dcterms:W3CDTF">2025-11-05T07:09:00Z</dcterms:created>
  <dcterms:modified xsi:type="dcterms:W3CDTF">2025-11-05T07:09:00Z</dcterms:modified>
  <cp:category/>
</cp:coreProperties>
</file>