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94583" w14:textId="73EEAAD7" w:rsidR="046A773C" w:rsidRDefault="046A773C" w:rsidP="004873BE">
      <w:pPr>
        <w:pStyle w:val="Rubrik1"/>
        <w:keepNext w:val="0"/>
        <w:widowControl w:val="0"/>
      </w:pPr>
      <w:r>
        <w:t>Recontextualization of discourses on mathematical reasoning within the curriculum chain</w:t>
      </w:r>
    </w:p>
    <w:p w14:paraId="080E0699" w14:textId="57854B61" w:rsidR="00CE6A6A" w:rsidRPr="00ED4835" w:rsidRDefault="046A773C" w:rsidP="004873BE">
      <w:pPr>
        <w:pStyle w:val="Rubrik8"/>
        <w:widowControl w:val="0"/>
        <w:rPr>
          <w:lang w:val="sv-SE"/>
        </w:rPr>
      </w:pPr>
      <w:r w:rsidRPr="00ED4835">
        <w:rPr>
          <w:lang w:val="sv-SE"/>
        </w:rPr>
        <w:t>Magnus Österholm</w:t>
      </w:r>
      <w:r w:rsidR="45AA1140" w:rsidRPr="00ED4835">
        <w:rPr>
          <w:vertAlign w:val="superscript"/>
          <w:lang w:val="sv-SE"/>
        </w:rPr>
        <w:t>1</w:t>
      </w:r>
      <w:r w:rsidRPr="00ED4835">
        <w:rPr>
          <w:lang w:val="sv-SE"/>
        </w:rPr>
        <w:t>, Ewa Bergqvist</w:t>
      </w:r>
      <w:r w:rsidR="4AFD09BB" w:rsidRPr="00ED4835">
        <w:rPr>
          <w:vertAlign w:val="superscript"/>
          <w:lang w:val="sv-SE"/>
        </w:rPr>
        <w:t>1</w:t>
      </w:r>
      <w:r w:rsidRPr="00ED4835">
        <w:rPr>
          <w:lang w:val="sv-SE"/>
        </w:rPr>
        <w:t xml:space="preserve">, </w:t>
      </w:r>
      <w:r w:rsidR="22A26DFE" w:rsidRPr="00ED4835">
        <w:rPr>
          <w:lang w:val="sv-SE"/>
        </w:rPr>
        <w:t>Candia Morgan</w:t>
      </w:r>
      <w:r w:rsidR="4EE80591" w:rsidRPr="00ED4835">
        <w:rPr>
          <w:vertAlign w:val="superscript"/>
          <w:lang w:val="sv-SE"/>
        </w:rPr>
        <w:t>2</w:t>
      </w:r>
      <w:r w:rsidR="22A26DFE" w:rsidRPr="00ED4835">
        <w:rPr>
          <w:lang w:val="sv-SE"/>
        </w:rPr>
        <w:t xml:space="preserve">, </w:t>
      </w:r>
      <w:r w:rsidR="00CE6A6A" w:rsidRPr="00ED4835">
        <w:rPr>
          <w:lang w:val="sv-SE"/>
        </w:rPr>
        <w:br/>
      </w:r>
      <w:r w:rsidR="22A26DFE" w:rsidRPr="00ED4835">
        <w:rPr>
          <w:lang w:val="sv-SE"/>
        </w:rPr>
        <w:t>Jill Adler</w:t>
      </w:r>
      <w:r w:rsidR="7F80B820" w:rsidRPr="00ED4835">
        <w:rPr>
          <w:vertAlign w:val="superscript"/>
          <w:lang w:val="sv-SE"/>
        </w:rPr>
        <w:t>3</w:t>
      </w:r>
      <w:r w:rsidR="22A26DFE" w:rsidRPr="00ED4835">
        <w:rPr>
          <w:lang w:val="sv-SE"/>
        </w:rPr>
        <w:t>, Lotta Vingsle</w:t>
      </w:r>
      <w:r w:rsidR="14659CBD" w:rsidRPr="00ED4835">
        <w:rPr>
          <w:vertAlign w:val="superscript"/>
          <w:lang w:val="sv-SE"/>
        </w:rPr>
        <w:t>1</w:t>
      </w:r>
      <w:r w:rsidR="22A26DFE" w:rsidRPr="00ED4835">
        <w:rPr>
          <w:lang w:val="sv-SE"/>
        </w:rPr>
        <w:t>, and Lotta Wedman</w:t>
      </w:r>
      <w:r w:rsidR="45AE006B" w:rsidRPr="00ED4835">
        <w:rPr>
          <w:vertAlign w:val="superscript"/>
          <w:lang w:val="sv-SE"/>
        </w:rPr>
        <w:t>1</w:t>
      </w:r>
      <w:r w:rsidR="14EE9437" w:rsidRPr="00ED4835">
        <w:rPr>
          <w:vertAlign w:val="superscript"/>
          <w:lang w:val="sv-SE"/>
        </w:rPr>
        <w:t>,4</w:t>
      </w:r>
    </w:p>
    <w:p w14:paraId="2C70B816" w14:textId="3E523FAF" w:rsidR="27DFA37F" w:rsidRDefault="27DFA37F" w:rsidP="004873BE">
      <w:pPr>
        <w:pStyle w:val="Rubrik9"/>
        <w:widowControl w:val="0"/>
      </w:pPr>
      <w:r w:rsidRPr="0B3CCE9D">
        <w:rPr>
          <w:vertAlign w:val="superscript"/>
        </w:rPr>
        <w:t>1</w:t>
      </w:r>
      <w:r>
        <w:t>Umeå University</w:t>
      </w:r>
      <w:r w:rsidR="2ECFA916">
        <w:t xml:space="preserve">, </w:t>
      </w:r>
      <w:r w:rsidR="4559D14E" w:rsidRPr="0B3CCE9D">
        <w:rPr>
          <w:vertAlign w:val="superscript"/>
        </w:rPr>
        <w:t>2</w:t>
      </w:r>
      <w:r w:rsidR="4559D14E">
        <w:t>UCL Institute of Education</w:t>
      </w:r>
      <w:r w:rsidR="56B062AA">
        <w:t>,</w:t>
      </w:r>
      <w:r>
        <w:br/>
      </w:r>
      <w:r w:rsidR="4559D14E" w:rsidRPr="0B3CCE9D">
        <w:rPr>
          <w:vertAlign w:val="superscript"/>
        </w:rPr>
        <w:t>3</w:t>
      </w:r>
      <w:r w:rsidR="4559D14E">
        <w:t>University of Witwatersrand</w:t>
      </w:r>
      <w:r w:rsidR="01B41BA2">
        <w:t xml:space="preserve">, </w:t>
      </w:r>
      <w:r w:rsidR="52E24FD4" w:rsidRPr="0B3CCE9D">
        <w:rPr>
          <w:vertAlign w:val="superscript"/>
        </w:rPr>
        <w:t>4</w:t>
      </w:r>
      <w:r w:rsidR="7C9A2AF4">
        <w:t>Dalarna University</w:t>
      </w:r>
    </w:p>
    <w:p w14:paraId="1BA9D2E3" w14:textId="4DD680B0" w:rsidR="0029621A" w:rsidRDefault="00F705AD" w:rsidP="002F70DD">
      <w:pPr>
        <w:pStyle w:val="Brdtext"/>
        <w:widowControl w:val="0"/>
      </w:pPr>
      <w:r>
        <w:t>This presentation focuses on m</w:t>
      </w:r>
      <w:r w:rsidR="0084084B">
        <w:t>athematical reasoning</w:t>
      </w:r>
      <w:r>
        <w:t>, which</w:t>
      </w:r>
      <w:r w:rsidR="0084084B">
        <w:t xml:space="preserve"> is a core competence in </w:t>
      </w:r>
      <w:r w:rsidR="00FD440D">
        <w:t>curriculum documents</w:t>
      </w:r>
      <w:r w:rsidR="28D0AF82">
        <w:t xml:space="preserve">, both in </w:t>
      </w:r>
      <w:r w:rsidR="0084084B">
        <w:t>Swed</w:t>
      </w:r>
      <w:r w:rsidR="218AF4B0">
        <w:t>en</w:t>
      </w:r>
      <w:r w:rsidR="0084084B">
        <w:t xml:space="preserve"> and </w:t>
      </w:r>
      <w:r w:rsidR="2028E6B2">
        <w:t>many other countries</w:t>
      </w:r>
      <w:r w:rsidR="0084084B">
        <w:t>. However, analyses show</w:t>
      </w:r>
      <w:r w:rsidR="444B50FC">
        <w:t xml:space="preserve"> that there is</w:t>
      </w:r>
      <w:r w:rsidR="0084084B">
        <w:t xml:space="preserve"> great variation in what is meant by mathematical reasoning</w:t>
      </w:r>
      <w:r w:rsidR="003D2531">
        <w:t>,</w:t>
      </w:r>
      <w:r w:rsidR="0084084B">
        <w:t xml:space="preserve"> </w:t>
      </w:r>
      <w:r w:rsidR="003D2531">
        <w:t>f</w:t>
      </w:r>
      <w:r w:rsidR="0084084B">
        <w:t xml:space="preserve">or example, </w:t>
      </w:r>
      <w:r w:rsidR="0021125A">
        <w:t xml:space="preserve">in </w:t>
      </w:r>
      <w:r w:rsidR="0084084B">
        <w:t xml:space="preserve">curriculum documents (Reid, 2022) and </w:t>
      </w:r>
      <w:r w:rsidR="0021125A">
        <w:t xml:space="preserve">among </w:t>
      </w:r>
      <w:r w:rsidR="0084084B">
        <w:t xml:space="preserve">teachers (Herbert et al., 2015). It is thus </w:t>
      </w:r>
      <w:r w:rsidR="002F70DD">
        <w:t>important to</w:t>
      </w:r>
      <w:r w:rsidR="0B3A57A3">
        <w:t xml:space="preserve"> analyse d</w:t>
      </w:r>
      <w:r w:rsidR="00CA01C8">
        <w:t>ifferent</w:t>
      </w:r>
      <w:r w:rsidR="0029621A">
        <w:t xml:space="preserve"> parts of the </w:t>
      </w:r>
      <w:r w:rsidR="0029621A" w:rsidRPr="0B3CCE9D">
        <w:rPr>
          <w:i/>
          <w:iCs/>
        </w:rPr>
        <w:t>curriculum chain</w:t>
      </w:r>
      <w:r w:rsidR="0029621A">
        <w:t xml:space="preserve"> (</w:t>
      </w:r>
      <w:r w:rsidR="00CA01C8">
        <w:t>Stein et al., 2007</w:t>
      </w:r>
      <w:r w:rsidR="0029621A">
        <w:t xml:space="preserve">) </w:t>
      </w:r>
      <w:r w:rsidR="00DD41DE">
        <w:t>to</w:t>
      </w:r>
      <w:r w:rsidR="0029621A">
        <w:t xml:space="preserve"> understand different conditions for, and influences on, the teaching and learning of mathematics. Such a chain may, for example, consist of the following discourses: research </w:t>
      </w:r>
      <w:r w:rsidR="007D2CFA" w:rsidRPr="0B3CCE9D">
        <w:rPr>
          <w:rFonts w:ascii="Wingdings" w:eastAsia="Wingdings" w:hAnsi="Wingdings" w:cs="Wingdings"/>
        </w:rPr>
        <w:t>à</w:t>
      </w:r>
      <w:r w:rsidR="0029621A">
        <w:t xml:space="preserve"> policy documents </w:t>
      </w:r>
      <w:r w:rsidR="007D2CFA" w:rsidRPr="0B3CCE9D">
        <w:rPr>
          <w:rFonts w:ascii="Wingdings" w:eastAsia="Wingdings" w:hAnsi="Wingdings" w:cs="Wingdings"/>
        </w:rPr>
        <w:t>à</w:t>
      </w:r>
      <w:r w:rsidR="0029621A">
        <w:t xml:space="preserve"> textbooks </w:t>
      </w:r>
      <w:r w:rsidR="007D2CFA" w:rsidRPr="0B3CCE9D">
        <w:rPr>
          <w:rFonts w:ascii="Wingdings" w:eastAsia="Wingdings" w:hAnsi="Wingdings" w:cs="Wingdings"/>
        </w:rPr>
        <w:t>à</w:t>
      </w:r>
      <w:r w:rsidR="0029621A">
        <w:t xml:space="preserve"> teaching </w:t>
      </w:r>
      <w:r w:rsidR="007D2CFA" w:rsidRPr="0B3CCE9D">
        <w:rPr>
          <w:rFonts w:ascii="Wingdings" w:eastAsia="Wingdings" w:hAnsi="Wingdings" w:cs="Wingdings"/>
        </w:rPr>
        <w:t>à</w:t>
      </w:r>
      <w:r w:rsidR="0029621A">
        <w:t xml:space="preserve"> learning. The discourse o</w:t>
      </w:r>
      <w:r w:rsidR="78138195">
        <w:t>n</w:t>
      </w:r>
      <w:r w:rsidR="0029621A">
        <w:t xml:space="preserve"> mathematical reasoning may be different in the different steps of the curriculum chain, especially since there is always a </w:t>
      </w:r>
      <w:r w:rsidR="00F57234">
        <w:t>recontextualization</w:t>
      </w:r>
      <w:r w:rsidR="0029621A">
        <w:t xml:space="preserve">, which means that a discourse </w:t>
      </w:r>
      <w:r w:rsidR="004E60EE">
        <w:t>“</w:t>
      </w:r>
      <w:r w:rsidR="0029621A">
        <w:t>selectively appropriates, relocates, refocuses and relates other discourses to constitute its own order</w:t>
      </w:r>
      <w:r w:rsidR="004E60EE">
        <w:t>”</w:t>
      </w:r>
      <w:r w:rsidR="0029621A">
        <w:t xml:space="preserve"> (Bernstein, 2000, p. 33).</w:t>
      </w:r>
    </w:p>
    <w:p w14:paraId="5D0C028A" w14:textId="3E0BCFDD" w:rsidR="0029621A" w:rsidRDefault="0029621A" w:rsidP="004873BE">
      <w:pPr>
        <w:widowControl w:val="0"/>
      </w:pPr>
      <w:r>
        <w:t xml:space="preserve">This study is part of a larger project that aims to understand the </w:t>
      </w:r>
      <w:r w:rsidR="00F57234">
        <w:t>recontextualization</w:t>
      </w:r>
      <w:r>
        <w:t xml:space="preserve"> of discourses </w:t>
      </w:r>
      <w:r w:rsidR="1A362C75">
        <w:t xml:space="preserve">on </w:t>
      </w:r>
      <w:r>
        <w:t xml:space="preserve">mathematical reasoning </w:t>
      </w:r>
      <w:r w:rsidR="00C6336F">
        <w:t xml:space="preserve">in </w:t>
      </w:r>
      <w:r>
        <w:t>the curriculum chain in Sweden and England. This study is delimited to how Swedish teachers</w:t>
      </w:r>
      <w:r w:rsidR="00D05CB9">
        <w:t>’</w:t>
      </w:r>
      <w:r>
        <w:t xml:space="preserve"> discourse on reasoning is similar or different to other discourses</w:t>
      </w:r>
      <w:r w:rsidR="007C3453">
        <w:t>, focusing on the following research questions</w:t>
      </w:r>
      <w:r>
        <w:t>:</w:t>
      </w:r>
    </w:p>
    <w:p w14:paraId="30CA4B30" w14:textId="77777777" w:rsidR="0029621A" w:rsidRDefault="0029621A" w:rsidP="004873BE">
      <w:pPr>
        <w:pStyle w:val="Liststycke"/>
        <w:widowControl w:val="0"/>
        <w:numPr>
          <w:ilvl w:val="0"/>
          <w:numId w:val="2"/>
        </w:numPr>
      </w:pPr>
      <w:r>
        <w:t>RQ1: What different discourses exist in the conditions for teachers’ work, regarding three types; research, everyday life, and formal governance?</w:t>
      </w:r>
    </w:p>
    <w:p w14:paraId="5BB34F38" w14:textId="77777777" w:rsidR="0029621A" w:rsidRDefault="0029621A" w:rsidP="004873BE">
      <w:pPr>
        <w:pStyle w:val="Liststycke"/>
        <w:widowControl w:val="0"/>
        <w:numPr>
          <w:ilvl w:val="0"/>
          <w:numId w:val="2"/>
        </w:numPr>
      </w:pPr>
      <w:r>
        <w:t>RQ2: How does teacher discourse relate to the different discourses in RQ1?</w:t>
      </w:r>
    </w:p>
    <w:p w14:paraId="08F30EEF" w14:textId="77777777" w:rsidR="0029621A" w:rsidRDefault="0029621A" w:rsidP="004873BE">
      <w:pPr>
        <w:pStyle w:val="Liststycke"/>
        <w:widowControl w:val="0"/>
        <w:numPr>
          <w:ilvl w:val="0"/>
          <w:numId w:val="2"/>
        </w:numPr>
      </w:pPr>
      <w:r>
        <w:t>RQ3: Do the relations in RQ2 differ depending on school level?</w:t>
      </w:r>
    </w:p>
    <w:p w14:paraId="75FD57FF" w14:textId="67D61764" w:rsidR="00CE6A6A" w:rsidRDefault="0029621A" w:rsidP="004873BE">
      <w:pPr>
        <w:widowControl w:val="0"/>
        <w:ind w:firstLine="0"/>
      </w:pPr>
      <w:r>
        <w:t xml:space="preserve">The analysis </w:t>
      </w:r>
      <w:r w:rsidR="67731120">
        <w:t>focus</w:t>
      </w:r>
      <w:r w:rsidR="0A72C6FB">
        <w:t>es</w:t>
      </w:r>
      <w:r w:rsidR="67731120">
        <w:t xml:space="preserve"> on </w:t>
      </w:r>
      <w:r>
        <w:t>parts of the discourses</w:t>
      </w:r>
      <w:r w:rsidR="28AEEF0B">
        <w:t xml:space="preserve"> </w:t>
      </w:r>
      <w:r>
        <w:t>whe</w:t>
      </w:r>
      <w:r w:rsidR="4ABA03B5">
        <w:t>re</w:t>
      </w:r>
      <w:r>
        <w:t xml:space="preserve"> the notion of </w:t>
      </w:r>
      <w:r w:rsidR="00856BD5">
        <w:t>“</w:t>
      </w:r>
      <w:r>
        <w:t>reasoning</w:t>
      </w:r>
      <w:r w:rsidR="00856BD5">
        <w:t>”</w:t>
      </w:r>
      <w:r>
        <w:t xml:space="preserve"> is </w:t>
      </w:r>
      <w:r w:rsidR="00AF0B51">
        <w:t xml:space="preserve">explicitly </w:t>
      </w:r>
      <w:r>
        <w:t xml:space="preserve">used. </w:t>
      </w:r>
      <w:r w:rsidR="6A66A646">
        <w:t>W</w:t>
      </w:r>
      <w:r>
        <w:t xml:space="preserve">e </w:t>
      </w:r>
      <w:r w:rsidR="67D1B284">
        <w:t xml:space="preserve">initially </w:t>
      </w:r>
      <w:r w:rsidR="0D7C7073">
        <w:t>exclude</w:t>
      </w:r>
      <w:r>
        <w:t xml:space="preserve"> textbooks, since </w:t>
      </w:r>
      <w:r w:rsidR="740EA4E2">
        <w:t xml:space="preserve">they </w:t>
      </w:r>
      <w:r>
        <w:t>tend not</w:t>
      </w:r>
      <w:r w:rsidR="659F9010">
        <w:t xml:space="preserve"> to</w:t>
      </w:r>
      <w:r>
        <w:t xml:space="preserve"> be explicit about when and how reasoning is relevant for specific tasks or activities.</w:t>
      </w:r>
    </w:p>
    <w:p w14:paraId="6A7BB447" w14:textId="2DDAC681" w:rsidR="0045271E" w:rsidRDefault="0045271E" w:rsidP="004873BE">
      <w:pPr>
        <w:pStyle w:val="Rubrik2"/>
        <w:keepNext w:val="0"/>
        <w:widowControl w:val="0"/>
      </w:pPr>
      <w:r>
        <w:t>Method</w:t>
      </w:r>
    </w:p>
    <w:p w14:paraId="1B4591EE" w14:textId="5A99D4D6" w:rsidR="0046723D" w:rsidRDefault="00B95F82" w:rsidP="003F4761">
      <w:pPr>
        <w:pStyle w:val="Brdtext"/>
        <w:widowControl w:val="0"/>
      </w:pPr>
      <w:r>
        <w:t>W</w:t>
      </w:r>
      <w:r w:rsidR="008F0D04">
        <w:t>e use four</w:t>
      </w:r>
      <w:r w:rsidR="0046723D">
        <w:t xml:space="preserve"> data sets </w:t>
      </w:r>
      <w:r w:rsidR="008F0D04">
        <w:t xml:space="preserve">that correspond </w:t>
      </w:r>
      <w:r w:rsidR="0046723D">
        <w:t>to four different discourses.</w:t>
      </w:r>
      <w:r w:rsidR="00AE47CC">
        <w:t xml:space="preserve"> </w:t>
      </w:r>
      <w:r w:rsidR="0046723D" w:rsidRPr="3DE082C6">
        <w:rPr>
          <w:i/>
          <w:iCs/>
        </w:rPr>
        <w:t>Teacher discourse</w:t>
      </w:r>
      <w:r w:rsidR="0046723D">
        <w:t xml:space="preserve"> is investigated through interviews with five teachers from each of lower primary, upper primary, and lower secondary schools. </w:t>
      </w:r>
      <w:r w:rsidR="003C060D">
        <w:t xml:space="preserve">They </w:t>
      </w:r>
      <w:r w:rsidR="0046723D">
        <w:t xml:space="preserve">have long experience as teachers and come from different parts of Sweden and different types of schools. The interview </w:t>
      </w:r>
      <w:r w:rsidR="000256E6">
        <w:t xml:space="preserve">had </w:t>
      </w:r>
      <w:r w:rsidR="00B70BA0">
        <w:t xml:space="preserve">a variety of </w:t>
      </w:r>
      <w:r w:rsidR="0046723D">
        <w:t xml:space="preserve">questions </w:t>
      </w:r>
      <w:r w:rsidR="00DB7EF5">
        <w:t xml:space="preserve">about </w:t>
      </w:r>
      <w:r w:rsidR="0046723D">
        <w:t>the teacher</w:t>
      </w:r>
      <w:r w:rsidR="00193863">
        <w:t>’</w:t>
      </w:r>
      <w:r w:rsidR="0046723D">
        <w:t>s perspective on mathematical reasoning.</w:t>
      </w:r>
      <w:r w:rsidR="00AE47CC">
        <w:t xml:space="preserve"> </w:t>
      </w:r>
      <w:r w:rsidR="009C3592">
        <w:t xml:space="preserve">A </w:t>
      </w:r>
      <w:r w:rsidR="009C3592" w:rsidRPr="3DE082C6">
        <w:rPr>
          <w:i/>
          <w:iCs/>
        </w:rPr>
        <w:t>research discourse</w:t>
      </w:r>
      <w:r w:rsidR="009C3592">
        <w:t xml:space="preserve"> </w:t>
      </w:r>
      <w:r w:rsidR="00D2248A">
        <w:t>is investigated through t</w:t>
      </w:r>
      <w:r w:rsidR="0046723D">
        <w:t>hree international frameworks</w:t>
      </w:r>
      <w:r w:rsidR="00E00AE5">
        <w:t xml:space="preserve"> that focus on school mathematics</w:t>
      </w:r>
      <w:r w:rsidR="0046723D">
        <w:t>; Adding it up (Kilpatrick et al., 2001), NCTM Standards (</w:t>
      </w:r>
      <w:r w:rsidR="00BD762C">
        <w:t>NCTM</w:t>
      </w:r>
      <w:r w:rsidR="0046723D">
        <w:t xml:space="preserve">, 2000), </w:t>
      </w:r>
      <w:r w:rsidR="0046723D">
        <w:lastRenderedPageBreak/>
        <w:t>and the KOM project (Niss &amp; Højgaard, 2011).</w:t>
      </w:r>
      <w:r w:rsidR="002262F3">
        <w:t xml:space="preserve"> </w:t>
      </w:r>
      <w:r w:rsidR="00222E6C">
        <w:t xml:space="preserve">An </w:t>
      </w:r>
      <w:r w:rsidR="00222E6C" w:rsidRPr="3DE082C6">
        <w:rPr>
          <w:i/>
          <w:iCs/>
        </w:rPr>
        <w:t>everyday discourse</w:t>
      </w:r>
      <w:r w:rsidR="003F169B" w:rsidRPr="3DE082C6">
        <w:rPr>
          <w:i/>
          <w:iCs/>
        </w:rPr>
        <w:t xml:space="preserve"> </w:t>
      </w:r>
      <w:r w:rsidR="003F169B">
        <w:t>is investigated through</w:t>
      </w:r>
      <w:r w:rsidR="003F4761">
        <w:t xml:space="preserve"> different types of</w:t>
      </w:r>
      <w:r w:rsidR="003F169B">
        <w:t xml:space="preserve"> </w:t>
      </w:r>
      <w:r w:rsidR="0046723D">
        <w:t>Swedish dictionaries; Svensk Ordbok (</w:t>
      </w:r>
      <w:hyperlink r:id="rId10" w:history="1">
        <w:r w:rsidR="005017E3" w:rsidRPr="00155197">
          <w:rPr>
            <w:rStyle w:val="Hyperlnk"/>
          </w:rPr>
          <w:t>https://svenska.se/so</w:t>
        </w:r>
      </w:hyperlink>
      <w:r w:rsidR="0046723D">
        <w:t>) and Wiktionary</w:t>
      </w:r>
      <w:r w:rsidR="008406DB">
        <w:t xml:space="preserve"> (</w:t>
      </w:r>
      <w:hyperlink r:id="rId11" w:history="1">
        <w:r w:rsidR="008406DB" w:rsidRPr="003D24CE">
          <w:rPr>
            <w:rStyle w:val="Hyperlnk"/>
          </w:rPr>
          <w:t>https://sv.wiktionary.org</w:t>
        </w:r>
      </w:hyperlink>
      <w:r w:rsidR="008406DB">
        <w:t>)</w:t>
      </w:r>
      <w:r w:rsidR="0046723D">
        <w:t>.</w:t>
      </w:r>
      <w:r w:rsidR="003F4761">
        <w:t xml:space="preserve"> </w:t>
      </w:r>
      <w:r w:rsidR="0046723D">
        <w:t xml:space="preserve">The </w:t>
      </w:r>
      <w:r w:rsidR="0046723D" w:rsidRPr="3DE082C6">
        <w:rPr>
          <w:i/>
          <w:iCs/>
        </w:rPr>
        <w:t>discourse of formal governance</w:t>
      </w:r>
      <w:r w:rsidR="0046723D">
        <w:t xml:space="preserve"> of Swedish schools is investigated through the Swedish national curriculum for compulsory school, </w:t>
      </w:r>
      <w:r w:rsidR="00425C2D">
        <w:t xml:space="preserve">including </w:t>
      </w:r>
      <w:r w:rsidR="513EDB4A">
        <w:t xml:space="preserve">the </w:t>
      </w:r>
      <w:r w:rsidR="0046723D">
        <w:t xml:space="preserve">commentary material, and </w:t>
      </w:r>
      <w:r w:rsidR="3FD2864D">
        <w:t xml:space="preserve">the </w:t>
      </w:r>
      <w:r w:rsidR="0046723D">
        <w:t>national tests.</w:t>
      </w:r>
    </w:p>
    <w:p w14:paraId="33E025BC" w14:textId="612D4313" w:rsidR="385E50BA" w:rsidRPr="009F44D2" w:rsidRDefault="0046723D" w:rsidP="004873BE">
      <w:pPr>
        <w:widowControl w:val="0"/>
      </w:pPr>
      <w:r>
        <w:t xml:space="preserve">All data sources are analysed in the same way. First, we searched for passages including the word </w:t>
      </w:r>
      <w:r w:rsidR="00497C85">
        <w:t>“</w:t>
      </w:r>
      <w:r>
        <w:t>reasoning</w:t>
      </w:r>
      <w:r w:rsidR="00497C85">
        <w:t>”</w:t>
      </w:r>
      <w:r w:rsidR="21A8E0CB">
        <w:t xml:space="preserve"> (Sw. “resonemang”)</w:t>
      </w:r>
      <w:r>
        <w:t xml:space="preserve"> or its cognates. </w:t>
      </w:r>
      <w:r w:rsidR="00562760">
        <w:t>Then, e</w:t>
      </w:r>
      <w:r>
        <w:t>ach such passage was analysed to find:</w:t>
      </w:r>
      <w:r w:rsidR="00091CC2">
        <w:t xml:space="preserve"> (1) </w:t>
      </w:r>
      <w:r>
        <w:t>what processes or objects are identified as types of reasoning, and</w:t>
      </w:r>
      <w:r w:rsidR="00091CC2">
        <w:t xml:space="preserve"> (2) </w:t>
      </w:r>
      <w:r>
        <w:t xml:space="preserve">how students are </w:t>
      </w:r>
      <w:r w:rsidRPr="009F44D2">
        <w:t>expected to engage with reasoning, to recognise (understand), to realise (construct), or to evaluate.</w:t>
      </w:r>
      <w:r w:rsidR="00091CC2" w:rsidRPr="009F44D2">
        <w:t xml:space="preserve"> </w:t>
      </w:r>
      <w:r w:rsidR="385E50BA" w:rsidRPr="009F44D2">
        <w:t xml:space="preserve">For example, in “it consists of the ability </w:t>
      </w:r>
      <w:r w:rsidR="385E50BA" w:rsidRPr="009F44D2">
        <w:rPr>
          <w:i/>
          <w:iCs/>
        </w:rPr>
        <w:t xml:space="preserve">to devise </w:t>
      </w:r>
      <w:r w:rsidR="385E50BA" w:rsidRPr="009F44D2">
        <w:t xml:space="preserve">informal </w:t>
      </w:r>
      <w:r w:rsidR="385E50BA" w:rsidRPr="009F44D2">
        <w:rPr>
          <w:b/>
          <w:bCs/>
        </w:rPr>
        <w:t>arguments</w:t>
      </w:r>
      <w:r w:rsidR="385E50BA" w:rsidRPr="009F44D2">
        <w:t xml:space="preserve">”, the process/object is arguments </w:t>
      </w:r>
      <w:r w:rsidR="1BF04E72" w:rsidRPr="009F44D2">
        <w:t>(bold</w:t>
      </w:r>
      <w:r w:rsidR="0074521C" w:rsidRPr="009F44D2">
        <w:t>),</w:t>
      </w:r>
      <w:r w:rsidR="1BF04E72" w:rsidRPr="009F44D2">
        <w:t xml:space="preserve"> </w:t>
      </w:r>
      <w:r w:rsidR="385E50BA" w:rsidRPr="009F44D2">
        <w:t xml:space="preserve">and the </w:t>
      </w:r>
      <w:r w:rsidR="6D8173C1" w:rsidRPr="009F44D2">
        <w:t xml:space="preserve">student engagement is </w:t>
      </w:r>
      <w:r w:rsidR="004A332E" w:rsidRPr="009F44D2">
        <w:t xml:space="preserve">a </w:t>
      </w:r>
      <w:r w:rsidR="6D8173C1" w:rsidRPr="009F44D2">
        <w:t>realisation</w:t>
      </w:r>
      <w:r w:rsidR="408A7EBF" w:rsidRPr="009F44D2">
        <w:t xml:space="preserve"> (italics)</w:t>
      </w:r>
      <w:r w:rsidR="6D8173C1" w:rsidRPr="009F44D2">
        <w:t>.</w:t>
      </w:r>
    </w:p>
    <w:p w14:paraId="75A0CFA9" w14:textId="0504189E" w:rsidR="0045271E" w:rsidRDefault="00F32F93" w:rsidP="004873BE">
      <w:pPr>
        <w:pStyle w:val="Rubrik2"/>
        <w:keepNext w:val="0"/>
        <w:widowControl w:val="0"/>
      </w:pPr>
      <w:r>
        <w:t>Tentative r</w:t>
      </w:r>
      <w:r w:rsidR="0045271E">
        <w:t>esults</w:t>
      </w:r>
      <w:r>
        <w:t xml:space="preserve"> from ongoing analysis</w:t>
      </w:r>
    </w:p>
    <w:p w14:paraId="037EF3A9" w14:textId="4528E7D0" w:rsidR="005F533D" w:rsidRDefault="005F533D" w:rsidP="004873BE">
      <w:pPr>
        <w:pStyle w:val="Brdtext"/>
        <w:widowControl w:val="0"/>
      </w:pPr>
      <w:r>
        <w:t>Analyses of the frameworks have been conducted and reported (</w:t>
      </w:r>
      <w:r w:rsidR="00B06611">
        <w:t>Morgan et al., 2024</w:t>
      </w:r>
      <w:r>
        <w:t>). The results show a total of 39 processes/objects describing what mathematical reasoning is. Only five of these were common to all three frameworks: argument, (logical) chain, explanation, justification, and proof. Overall, the frameworks emphasise production of reasoning (i.e., realisation) over recognition and evaluation.</w:t>
      </w:r>
    </w:p>
    <w:p w14:paraId="11937565" w14:textId="38564781" w:rsidR="0045271E" w:rsidRPr="0045271E" w:rsidRDefault="005F533D" w:rsidP="004873BE">
      <w:pPr>
        <w:widowControl w:val="0"/>
      </w:pPr>
      <w:r>
        <w:t>Ongoing analyses of the interviews have also produced a variety of different processes/objects, but any comparisons of discourses have not yet been done.</w:t>
      </w:r>
    </w:p>
    <w:p w14:paraId="6F203C91" w14:textId="1244D4B5" w:rsidR="00CE6A6A" w:rsidRDefault="00CE6A6A" w:rsidP="004873BE">
      <w:pPr>
        <w:pStyle w:val="Rubrik2"/>
        <w:keepNext w:val="0"/>
        <w:widowControl w:val="0"/>
      </w:pPr>
      <w:r>
        <w:t>References</w:t>
      </w:r>
    </w:p>
    <w:p w14:paraId="7EFA28DC" w14:textId="77777777" w:rsidR="00405087" w:rsidRDefault="00405087" w:rsidP="004873BE">
      <w:pPr>
        <w:pStyle w:val="References"/>
        <w:widowControl w:val="0"/>
      </w:pPr>
      <w:r w:rsidRPr="00405087">
        <w:t xml:space="preserve">Bernstein, B. (2000). </w:t>
      </w:r>
      <w:r w:rsidRPr="00405087">
        <w:rPr>
          <w:i/>
          <w:iCs/>
        </w:rPr>
        <w:t>Pedagogy, Symbolic Control and Identity: Theory, Research and Critique</w:t>
      </w:r>
      <w:r w:rsidRPr="00405087">
        <w:t xml:space="preserve"> (revised ed.). Rowman and Littlefield.</w:t>
      </w:r>
    </w:p>
    <w:p w14:paraId="36217B54" w14:textId="49CF3B02" w:rsidR="008246D6" w:rsidRDefault="008246D6" w:rsidP="004873BE">
      <w:pPr>
        <w:pStyle w:val="References"/>
        <w:widowControl w:val="0"/>
      </w:pPr>
      <w:r>
        <w:t xml:space="preserve">Herbert, S., Vale, C., Bragg, L. A., Loong, E., &amp; Widjaja, W. (2015). A framework for primary teachers’ perceptions of mathematical reasoning. </w:t>
      </w:r>
      <w:r w:rsidRPr="00E15C93">
        <w:rPr>
          <w:i/>
          <w:iCs/>
        </w:rPr>
        <w:t>International Journal of Educational Research, 74</w:t>
      </w:r>
      <w:r>
        <w:t>, 26-37.</w:t>
      </w:r>
      <w:r w:rsidR="00863509">
        <w:t xml:space="preserve"> </w:t>
      </w:r>
      <w:hyperlink r:id="rId12" w:history="1">
        <w:r w:rsidR="00863509" w:rsidRPr="00853F0E">
          <w:rPr>
            <w:rStyle w:val="Hyperlnk"/>
          </w:rPr>
          <w:t>https://doi.org/10.1016/j.ijer.2015.09.005</w:t>
        </w:r>
      </w:hyperlink>
      <w:r w:rsidR="00863509">
        <w:t xml:space="preserve"> </w:t>
      </w:r>
    </w:p>
    <w:p w14:paraId="1667CBF2" w14:textId="77777777" w:rsidR="006A1167" w:rsidRDefault="006A1167" w:rsidP="004873BE">
      <w:pPr>
        <w:pStyle w:val="References"/>
        <w:widowControl w:val="0"/>
      </w:pPr>
      <w:r>
        <w:t xml:space="preserve">Kilpatrick, J., Swafford, J., &amp; Findell, B. (2001). </w:t>
      </w:r>
      <w:r w:rsidRPr="006A1167">
        <w:rPr>
          <w:i/>
          <w:iCs/>
        </w:rPr>
        <w:t>Adding it up: Helping children learn mathematics</w:t>
      </w:r>
      <w:r>
        <w:t>. National Academies Press.</w:t>
      </w:r>
    </w:p>
    <w:p w14:paraId="5F2ACD25" w14:textId="7443D019" w:rsidR="00EA4EBA" w:rsidRPr="00B029B3" w:rsidRDefault="00B029B3" w:rsidP="004873BE">
      <w:pPr>
        <w:pStyle w:val="References"/>
        <w:widowControl w:val="0"/>
        <w:rPr>
          <w:lang w:val="en-US"/>
        </w:rPr>
      </w:pPr>
      <w:r w:rsidRPr="00B029B3">
        <w:rPr>
          <w:lang w:val="en-US"/>
        </w:rPr>
        <w:t>Morgan, C., Bergqvist, E., Adler, J.</w:t>
      </w:r>
      <w:r w:rsidR="003A4183">
        <w:rPr>
          <w:lang w:val="en-US"/>
        </w:rPr>
        <w:t>,</w:t>
      </w:r>
      <w:r w:rsidRPr="00B029B3">
        <w:rPr>
          <w:lang w:val="en-US"/>
        </w:rPr>
        <w:t xml:space="preserve"> &amp; Österholm, M. (2024)</w:t>
      </w:r>
      <w:r w:rsidR="001572E7">
        <w:rPr>
          <w:lang w:val="en-US"/>
        </w:rPr>
        <w:t>.</w:t>
      </w:r>
      <w:r w:rsidRPr="00B029B3">
        <w:rPr>
          <w:lang w:val="en-US"/>
        </w:rPr>
        <w:t xml:space="preserve"> Discourses of mathematical reasoning: analysis of three reform frameworks. In T. Fujita (Ed.) </w:t>
      </w:r>
      <w:r w:rsidRPr="00D245EA">
        <w:rPr>
          <w:i/>
          <w:iCs/>
          <w:lang w:val="en-US"/>
        </w:rPr>
        <w:t>Proceedings of the British Society for Research into Learning Mathematics 44</w:t>
      </w:r>
      <w:r w:rsidRPr="00B029B3">
        <w:rPr>
          <w:lang w:val="en-US"/>
        </w:rPr>
        <w:t>(1)</w:t>
      </w:r>
      <w:r>
        <w:rPr>
          <w:lang w:val="en-US"/>
        </w:rPr>
        <w:t>.</w:t>
      </w:r>
      <w:r w:rsidR="00EA4EBA" w:rsidRPr="00EA4EBA">
        <w:t xml:space="preserve"> </w:t>
      </w:r>
      <w:r w:rsidR="00051150">
        <w:t>BSRLM.</w:t>
      </w:r>
    </w:p>
    <w:p w14:paraId="2707B9FD" w14:textId="613C3E31" w:rsidR="006A1167" w:rsidRDefault="00A92ED3" w:rsidP="004873BE">
      <w:pPr>
        <w:pStyle w:val="References"/>
        <w:widowControl w:val="0"/>
      </w:pPr>
      <w:r>
        <w:t>NCTM</w:t>
      </w:r>
      <w:r w:rsidR="006A1167">
        <w:t xml:space="preserve">. (2000). </w:t>
      </w:r>
      <w:r w:rsidR="006A1167" w:rsidRPr="006A1167">
        <w:rPr>
          <w:i/>
          <w:iCs/>
        </w:rPr>
        <w:t>Principles and standards for school mathematics</w:t>
      </w:r>
      <w:r w:rsidR="006A1167">
        <w:t>. NCTM.</w:t>
      </w:r>
    </w:p>
    <w:p w14:paraId="5E4724DE" w14:textId="77777777" w:rsidR="006A1167" w:rsidRDefault="006A1167" w:rsidP="004873BE">
      <w:pPr>
        <w:pStyle w:val="References"/>
        <w:widowControl w:val="0"/>
      </w:pPr>
      <w:r>
        <w:t xml:space="preserve">Niss, M., &amp; Højgaard, T. (2011). </w:t>
      </w:r>
      <w:r w:rsidRPr="003A3E96">
        <w:rPr>
          <w:i/>
          <w:iCs/>
        </w:rPr>
        <w:t>Competencies and mathematical learning: ideas and inspiration for the development of mathematics teaching and learning in Denmark</w:t>
      </w:r>
      <w:r>
        <w:t xml:space="preserve"> (English ed.). IMFUFA, Roskilde University.</w:t>
      </w:r>
    </w:p>
    <w:p w14:paraId="12DCB211" w14:textId="74AE5030" w:rsidR="00800609" w:rsidRDefault="00800609" w:rsidP="004873BE">
      <w:pPr>
        <w:pStyle w:val="References"/>
        <w:widowControl w:val="0"/>
      </w:pPr>
      <w:r w:rsidRPr="00800609">
        <w:t>Reid, D. A. (2022). ‘Reasoning’ in national curricula and standards</w:t>
      </w:r>
      <w:r>
        <w:t>.</w:t>
      </w:r>
      <w:r w:rsidRPr="00800609">
        <w:t xml:space="preserve"> </w:t>
      </w:r>
      <w:r>
        <w:t xml:space="preserve">Presented at the </w:t>
      </w:r>
      <w:r w:rsidRPr="00800609">
        <w:t xml:space="preserve">Twelfth Congress of the European Society for Research in Mathematics Education, Bozen-Bolzano, Italy. </w:t>
      </w:r>
      <w:hyperlink r:id="rId13" w:history="1">
        <w:r w:rsidRPr="00F57B5A">
          <w:rPr>
            <w:rStyle w:val="Hyperlnk"/>
          </w:rPr>
          <w:t>https://hal.science/hal-03746833v2</w:t>
        </w:r>
      </w:hyperlink>
    </w:p>
    <w:p w14:paraId="1078BEE7" w14:textId="46195B35" w:rsidR="00CE6A6A" w:rsidRPr="009C103B" w:rsidRDefault="0097737A" w:rsidP="00E12956">
      <w:pPr>
        <w:pStyle w:val="References"/>
        <w:widowControl w:val="0"/>
      </w:pPr>
      <w:r>
        <w:t xml:space="preserve">Stein, M. K., Remillard, J., &amp; Smith, M. S. (2007). How curriculum influences student learning. In F. K. Lester (Ed.), </w:t>
      </w:r>
      <w:r w:rsidRPr="00682E49">
        <w:rPr>
          <w:i/>
          <w:iCs/>
        </w:rPr>
        <w:t>Second handbook of research on mathematics teaching and learning</w:t>
      </w:r>
      <w:r>
        <w:t xml:space="preserve"> (Vol. 1, pp. 319-369). IAP.</w:t>
      </w:r>
    </w:p>
    <w:sectPr w:rsidR="00CE6A6A" w:rsidRPr="009C103B" w:rsidSect="000761F4">
      <w:headerReference w:type="default" r:id="rId14"/>
      <w:footerReference w:type="even" r:id="rId15"/>
      <w:footerReference w:type="default" r:id="rId16"/>
      <w:pgSz w:w="11906" w:h="16838" w:code="9"/>
      <w:pgMar w:top="1701" w:right="1418" w:bottom="1418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D36E9" w14:textId="77777777" w:rsidR="00C05503" w:rsidRDefault="00C05503">
      <w:pPr>
        <w:spacing w:line="240" w:lineRule="auto"/>
      </w:pPr>
      <w:r>
        <w:separator/>
      </w:r>
    </w:p>
  </w:endnote>
  <w:endnote w:type="continuationSeparator" w:id="0">
    <w:p w14:paraId="0EAA54B2" w14:textId="77777777" w:rsidR="00C05503" w:rsidRDefault="00C055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B116C" w14:textId="77777777" w:rsidR="0075497C" w:rsidRDefault="0075497C" w:rsidP="00143A20">
    <w:pPr>
      <w:pStyle w:val="Sidfot"/>
      <w:framePr w:wrap="around" w:vAnchor="text" w:hAnchor="margin" w:xAlign="center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593848F4" w14:textId="77777777" w:rsidR="0075497C" w:rsidRDefault="0075497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3251D" w14:textId="77777777" w:rsidR="0075497C" w:rsidRDefault="0075497C" w:rsidP="00143A20">
    <w:pPr>
      <w:pStyle w:val="Sidfot"/>
      <w:framePr w:wrap="around" w:vAnchor="text" w:hAnchor="margin" w:xAlign="center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D2199">
      <w:rPr>
        <w:rStyle w:val="Sidnummer"/>
        <w:noProof/>
      </w:rPr>
      <w:t>1</w:t>
    </w:r>
    <w:r>
      <w:rPr>
        <w:rStyle w:val="Sidnummer"/>
      </w:rPr>
      <w:fldChar w:fldCharType="end"/>
    </w:r>
  </w:p>
  <w:p w14:paraId="21937EF6" w14:textId="77777777" w:rsidR="0075497C" w:rsidRDefault="0075497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C556C" w14:textId="77777777" w:rsidR="00C05503" w:rsidRDefault="00C05503">
      <w:pPr>
        <w:spacing w:line="240" w:lineRule="auto"/>
      </w:pPr>
      <w:r>
        <w:separator/>
      </w:r>
    </w:p>
  </w:footnote>
  <w:footnote w:type="continuationSeparator" w:id="0">
    <w:p w14:paraId="62B3B4CB" w14:textId="77777777" w:rsidR="00C05503" w:rsidRDefault="00C055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3864A" w14:textId="77777777" w:rsidR="00CE6A6A" w:rsidRDefault="00CE6A6A">
    <w:pPr>
      <w:framePr w:wrap="auto" w:vAnchor="text" w:hAnchor="margin" w:xAlign="right" w:y="1"/>
    </w:pPr>
  </w:p>
  <w:p w14:paraId="4AC39D26" w14:textId="77777777" w:rsidR="00CE6A6A" w:rsidRDefault="00CE6A6A">
    <w:pPr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2DE97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A17BAB"/>
    <w:multiLevelType w:val="hybridMultilevel"/>
    <w:tmpl w:val="2554731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C4E08"/>
    <w:multiLevelType w:val="hybridMultilevel"/>
    <w:tmpl w:val="B17A0B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C135EA"/>
    <w:multiLevelType w:val="hybridMultilevel"/>
    <w:tmpl w:val="E0D04F72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1501581">
    <w:abstractNumId w:val="0"/>
  </w:num>
  <w:num w:numId="2" w16cid:durableId="1369380305">
    <w:abstractNumId w:val="2"/>
  </w:num>
  <w:num w:numId="3" w16cid:durableId="2004777718">
    <w:abstractNumId w:val="1"/>
  </w:num>
  <w:num w:numId="4" w16cid:durableId="5520854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embedSystemFonts/>
  <w:hideSpellingErrors/>
  <w:hideGrammaticalErrors/>
  <w:stylePaneFormatFilter w:val="5025" w:allStyles="1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C57"/>
    <w:rsid w:val="000256E6"/>
    <w:rsid w:val="00040EAA"/>
    <w:rsid w:val="00051150"/>
    <w:rsid w:val="00053461"/>
    <w:rsid w:val="00064A57"/>
    <w:rsid w:val="00067B7F"/>
    <w:rsid w:val="000761F4"/>
    <w:rsid w:val="00084739"/>
    <w:rsid w:val="00091CC2"/>
    <w:rsid w:val="000A425E"/>
    <w:rsid w:val="000D0EBD"/>
    <w:rsid w:val="000D2258"/>
    <w:rsid w:val="000E7FA8"/>
    <w:rsid w:val="000F7629"/>
    <w:rsid w:val="000F7BC9"/>
    <w:rsid w:val="00117643"/>
    <w:rsid w:val="00125A70"/>
    <w:rsid w:val="00127048"/>
    <w:rsid w:val="00133F5F"/>
    <w:rsid w:val="001403B3"/>
    <w:rsid w:val="00143A20"/>
    <w:rsid w:val="001572E7"/>
    <w:rsid w:val="00165E04"/>
    <w:rsid w:val="00166123"/>
    <w:rsid w:val="0017133D"/>
    <w:rsid w:val="00180BF9"/>
    <w:rsid w:val="00182548"/>
    <w:rsid w:val="00182A8F"/>
    <w:rsid w:val="00185C42"/>
    <w:rsid w:val="00193863"/>
    <w:rsid w:val="001C6FE7"/>
    <w:rsid w:val="001E69ED"/>
    <w:rsid w:val="0021125A"/>
    <w:rsid w:val="00212FBD"/>
    <w:rsid w:val="00222E6C"/>
    <w:rsid w:val="002262F3"/>
    <w:rsid w:val="00240161"/>
    <w:rsid w:val="00241259"/>
    <w:rsid w:val="002824CB"/>
    <w:rsid w:val="0029621A"/>
    <w:rsid w:val="002967F1"/>
    <w:rsid w:val="002A38E1"/>
    <w:rsid w:val="002C65E6"/>
    <w:rsid w:val="002E47E7"/>
    <w:rsid w:val="002E552F"/>
    <w:rsid w:val="002F70DD"/>
    <w:rsid w:val="00345E29"/>
    <w:rsid w:val="00352317"/>
    <w:rsid w:val="00387FE6"/>
    <w:rsid w:val="003A3E96"/>
    <w:rsid w:val="003A4183"/>
    <w:rsid w:val="003B2647"/>
    <w:rsid w:val="003B57CF"/>
    <w:rsid w:val="003B6109"/>
    <w:rsid w:val="003C060D"/>
    <w:rsid w:val="003D2531"/>
    <w:rsid w:val="003F169B"/>
    <w:rsid w:val="003F4761"/>
    <w:rsid w:val="003F6296"/>
    <w:rsid w:val="00405087"/>
    <w:rsid w:val="00425C2D"/>
    <w:rsid w:val="00430C95"/>
    <w:rsid w:val="00450911"/>
    <w:rsid w:val="0045271E"/>
    <w:rsid w:val="00461D61"/>
    <w:rsid w:val="0046723D"/>
    <w:rsid w:val="004800CA"/>
    <w:rsid w:val="004873BE"/>
    <w:rsid w:val="00497C85"/>
    <w:rsid w:val="004A332E"/>
    <w:rsid w:val="004A6849"/>
    <w:rsid w:val="004C63ED"/>
    <w:rsid w:val="004D469D"/>
    <w:rsid w:val="004E60EE"/>
    <w:rsid w:val="004E6BFD"/>
    <w:rsid w:val="005017E3"/>
    <w:rsid w:val="00532754"/>
    <w:rsid w:val="00555C92"/>
    <w:rsid w:val="00556ABA"/>
    <w:rsid w:val="00562760"/>
    <w:rsid w:val="00567E52"/>
    <w:rsid w:val="005710F8"/>
    <w:rsid w:val="00590356"/>
    <w:rsid w:val="0059337E"/>
    <w:rsid w:val="0059652F"/>
    <w:rsid w:val="005A363B"/>
    <w:rsid w:val="005C5142"/>
    <w:rsid w:val="005E0364"/>
    <w:rsid w:val="005E3911"/>
    <w:rsid w:val="005E7DAE"/>
    <w:rsid w:val="005F533D"/>
    <w:rsid w:val="00622026"/>
    <w:rsid w:val="006339B7"/>
    <w:rsid w:val="00641E7D"/>
    <w:rsid w:val="00645AB2"/>
    <w:rsid w:val="0064605E"/>
    <w:rsid w:val="00654C62"/>
    <w:rsid w:val="00672077"/>
    <w:rsid w:val="006772DF"/>
    <w:rsid w:val="00682E49"/>
    <w:rsid w:val="006A1167"/>
    <w:rsid w:val="006C795E"/>
    <w:rsid w:val="006E3DA4"/>
    <w:rsid w:val="006F4D9F"/>
    <w:rsid w:val="0071349D"/>
    <w:rsid w:val="0071515E"/>
    <w:rsid w:val="007203B5"/>
    <w:rsid w:val="00737C28"/>
    <w:rsid w:val="0074521C"/>
    <w:rsid w:val="00752C3C"/>
    <w:rsid w:val="0075399B"/>
    <w:rsid w:val="0075497C"/>
    <w:rsid w:val="00754FEB"/>
    <w:rsid w:val="007628ED"/>
    <w:rsid w:val="007653D6"/>
    <w:rsid w:val="00790EFA"/>
    <w:rsid w:val="007A1D83"/>
    <w:rsid w:val="007C3453"/>
    <w:rsid w:val="007D2CFA"/>
    <w:rsid w:val="007F210F"/>
    <w:rsid w:val="00800609"/>
    <w:rsid w:val="00812209"/>
    <w:rsid w:val="00812962"/>
    <w:rsid w:val="008246D6"/>
    <w:rsid w:val="008266A9"/>
    <w:rsid w:val="008406DB"/>
    <w:rsid w:val="0084084B"/>
    <w:rsid w:val="00842F58"/>
    <w:rsid w:val="00856BD5"/>
    <w:rsid w:val="00863509"/>
    <w:rsid w:val="008650D0"/>
    <w:rsid w:val="0088686A"/>
    <w:rsid w:val="008877CF"/>
    <w:rsid w:val="0089382E"/>
    <w:rsid w:val="008C4C60"/>
    <w:rsid w:val="008C71D4"/>
    <w:rsid w:val="008C7573"/>
    <w:rsid w:val="008D154E"/>
    <w:rsid w:val="008D2498"/>
    <w:rsid w:val="008F0A10"/>
    <w:rsid w:val="008F0D04"/>
    <w:rsid w:val="00905781"/>
    <w:rsid w:val="009133A9"/>
    <w:rsid w:val="0091579A"/>
    <w:rsid w:val="00923CEB"/>
    <w:rsid w:val="00924615"/>
    <w:rsid w:val="009264E6"/>
    <w:rsid w:val="00926CCA"/>
    <w:rsid w:val="00933A03"/>
    <w:rsid w:val="009471F3"/>
    <w:rsid w:val="009532E3"/>
    <w:rsid w:val="00976D61"/>
    <w:rsid w:val="0097737A"/>
    <w:rsid w:val="00980C8E"/>
    <w:rsid w:val="00985B6C"/>
    <w:rsid w:val="009A30D0"/>
    <w:rsid w:val="009C103B"/>
    <w:rsid w:val="009C3592"/>
    <w:rsid w:val="009E18D0"/>
    <w:rsid w:val="009E3D8B"/>
    <w:rsid w:val="009E5A3D"/>
    <w:rsid w:val="009F0D0B"/>
    <w:rsid w:val="009F44D2"/>
    <w:rsid w:val="00A0438F"/>
    <w:rsid w:val="00A144B6"/>
    <w:rsid w:val="00A2456B"/>
    <w:rsid w:val="00A2654B"/>
    <w:rsid w:val="00A445BD"/>
    <w:rsid w:val="00A56976"/>
    <w:rsid w:val="00A611D0"/>
    <w:rsid w:val="00A7570C"/>
    <w:rsid w:val="00A92ED3"/>
    <w:rsid w:val="00AB3FCF"/>
    <w:rsid w:val="00AB45E4"/>
    <w:rsid w:val="00AE3B00"/>
    <w:rsid w:val="00AE47CC"/>
    <w:rsid w:val="00AF0B51"/>
    <w:rsid w:val="00B029B3"/>
    <w:rsid w:val="00B05764"/>
    <w:rsid w:val="00B06611"/>
    <w:rsid w:val="00B12113"/>
    <w:rsid w:val="00B13C57"/>
    <w:rsid w:val="00B149DA"/>
    <w:rsid w:val="00B1799F"/>
    <w:rsid w:val="00B43F5F"/>
    <w:rsid w:val="00B70BA0"/>
    <w:rsid w:val="00B92DE9"/>
    <w:rsid w:val="00B95F82"/>
    <w:rsid w:val="00B9621D"/>
    <w:rsid w:val="00BB0548"/>
    <w:rsid w:val="00BB711E"/>
    <w:rsid w:val="00BC36AA"/>
    <w:rsid w:val="00BC5D17"/>
    <w:rsid w:val="00BD762C"/>
    <w:rsid w:val="00C05503"/>
    <w:rsid w:val="00C16485"/>
    <w:rsid w:val="00C266E8"/>
    <w:rsid w:val="00C32D6E"/>
    <w:rsid w:val="00C534DB"/>
    <w:rsid w:val="00C6336F"/>
    <w:rsid w:val="00C748D9"/>
    <w:rsid w:val="00C918CF"/>
    <w:rsid w:val="00C927EB"/>
    <w:rsid w:val="00CA01C8"/>
    <w:rsid w:val="00CC2160"/>
    <w:rsid w:val="00CD4CF6"/>
    <w:rsid w:val="00CE6A6A"/>
    <w:rsid w:val="00CF5AE6"/>
    <w:rsid w:val="00CF70EB"/>
    <w:rsid w:val="00D05CB9"/>
    <w:rsid w:val="00D2248A"/>
    <w:rsid w:val="00D245EA"/>
    <w:rsid w:val="00D4002D"/>
    <w:rsid w:val="00D53272"/>
    <w:rsid w:val="00D60029"/>
    <w:rsid w:val="00D7049C"/>
    <w:rsid w:val="00D74C4A"/>
    <w:rsid w:val="00D827A1"/>
    <w:rsid w:val="00D864DE"/>
    <w:rsid w:val="00D86951"/>
    <w:rsid w:val="00D939E3"/>
    <w:rsid w:val="00DA417C"/>
    <w:rsid w:val="00DB7EF5"/>
    <w:rsid w:val="00DD41DE"/>
    <w:rsid w:val="00DF26F2"/>
    <w:rsid w:val="00E00AE5"/>
    <w:rsid w:val="00E12956"/>
    <w:rsid w:val="00E15C93"/>
    <w:rsid w:val="00E34122"/>
    <w:rsid w:val="00E40F2E"/>
    <w:rsid w:val="00E45122"/>
    <w:rsid w:val="00E83A68"/>
    <w:rsid w:val="00E90B43"/>
    <w:rsid w:val="00EA4EBA"/>
    <w:rsid w:val="00EB04F3"/>
    <w:rsid w:val="00EB56B3"/>
    <w:rsid w:val="00EB7579"/>
    <w:rsid w:val="00EC5B8D"/>
    <w:rsid w:val="00ED2199"/>
    <w:rsid w:val="00ED4835"/>
    <w:rsid w:val="00EE2E00"/>
    <w:rsid w:val="00EF43A2"/>
    <w:rsid w:val="00F01616"/>
    <w:rsid w:val="00F110E7"/>
    <w:rsid w:val="00F21214"/>
    <w:rsid w:val="00F239DA"/>
    <w:rsid w:val="00F24884"/>
    <w:rsid w:val="00F27726"/>
    <w:rsid w:val="00F30D68"/>
    <w:rsid w:val="00F32F93"/>
    <w:rsid w:val="00F42DFA"/>
    <w:rsid w:val="00F44C59"/>
    <w:rsid w:val="00F5400D"/>
    <w:rsid w:val="00F54CE8"/>
    <w:rsid w:val="00F57234"/>
    <w:rsid w:val="00F705AD"/>
    <w:rsid w:val="00F85D43"/>
    <w:rsid w:val="00F86F76"/>
    <w:rsid w:val="00FA3240"/>
    <w:rsid w:val="00FA4ED7"/>
    <w:rsid w:val="00FB0747"/>
    <w:rsid w:val="00FB38E9"/>
    <w:rsid w:val="00FD2CF2"/>
    <w:rsid w:val="00FD440D"/>
    <w:rsid w:val="00FF623B"/>
    <w:rsid w:val="0187E8A1"/>
    <w:rsid w:val="01B41BA2"/>
    <w:rsid w:val="046A773C"/>
    <w:rsid w:val="0706A465"/>
    <w:rsid w:val="0834995C"/>
    <w:rsid w:val="09257757"/>
    <w:rsid w:val="0A72C6FB"/>
    <w:rsid w:val="0B3A57A3"/>
    <w:rsid w:val="0B3CCE9D"/>
    <w:rsid w:val="0CC668C8"/>
    <w:rsid w:val="0D7C7073"/>
    <w:rsid w:val="0EF7D2D1"/>
    <w:rsid w:val="0FBADD97"/>
    <w:rsid w:val="0FF46693"/>
    <w:rsid w:val="1025562E"/>
    <w:rsid w:val="1290B3A9"/>
    <w:rsid w:val="12F3D174"/>
    <w:rsid w:val="14350AFF"/>
    <w:rsid w:val="14659CBD"/>
    <w:rsid w:val="14EE9437"/>
    <w:rsid w:val="161E1EB0"/>
    <w:rsid w:val="17C34BCF"/>
    <w:rsid w:val="1966AEC3"/>
    <w:rsid w:val="1A362C75"/>
    <w:rsid w:val="1B391C0B"/>
    <w:rsid w:val="1BF04E72"/>
    <w:rsid w:val="2028E6B2"/>
    <w:rsid w:val="218AF4B0"/>
    <w:rsid w:val="21A8E0CB"/>
    <w:rsid w:val="22A26DFE"/>
    <w:rsid w:val="2648447F"/>
    <w:rsid w:val="2730AE5B"/>
    <w:rsid w:val="27DFA37F"/>
    <w:rsid w:val="28AEEF0B"/>
    <w:rsid w:val="28D0AF82"/>
    <w:rsid w:val="29E527CE"/>
    <w:rsid w:val="2C7E3FFD"/>
    <w:rsid w:val="2C825679"/>
    <w:rsid w:val="2D874311"/>
    <w:rsid w:val="2ECFA916"/>
    <w:rsid w:val="2F8F1230"/>
    <w:rsid w:val="33402B1B"/>
    <w:rsid w:val="34F6587C"/>
    <w:rsid w:val="3515901A"/>
    <w:rsid w:val="356482D8"/>
    <w:rsid w:val="35B50DBD"/>
    <w:rsid w:val="364569C5"/>
    <w:rsid w:val="3781D1CA"/>
    <w:rsid w:val="385E50BA"/>
    <w:rsid w:val="3DE082C6"/>
    <w:rsid w:val="3FD2864D"/>
    <w:rsid w:val="40078FEF"/>
    <w:rsid w:val="408A7EBF"/>
    <w:rsid w:val="419271BF"/>
    <w:rsid w:val="42815AFB"/>
    <w:rsid w:val="444B50FC"/>
    <w:rsid w:val="450A2C1D"/>
    <w:rsid w:val="4559D14E"/>
    <w:rsid w:val="45AA1140"/>
    <w:rsid w:val="45AE006B"/>
    <w:rsid w:val="4ABA03B5"/>
    <w:rsid w:val="4AFD09BB"/>
    <w:rsid w:val="4BB5DBFF"/>
    <w:rsid w:val="4CDDF77E"/>
    <w:rsid w:val="4EE80591"/>
    <w:rsid w:val="4FB6E59E"/>
    <w:rsid w:val="513EDB4A"/>
    <w:rsid w:val="52E24FD4"/>
    <w:rsid w:val="54FBE7F8"/>
    <w:rsid w:val="56B062AA"/>
    <w:rsid w:val="5A97F700"/>
    <w:rsid w:val="5B0A5E23"/>
    <w:rsid w:val="5CD990B2"/>
    <w:rsid w:val="5CE90FB2"/>
    <w:rsid w:val="611959BD"/>
    <w:rsid w:val="619C01AD"/>
    <w:rsid w:val="659F9010"/>
    <w:rsid w:val="66860348"/>
    <w:rsid w:val="67731120"/>
    <w:rsid w:val="67D1B284"/>
    <w:rsid w:val="6A66A646"/>
    <w:rsid w:val="6D8173C1"/>
    <w:rsid w:val="7225D4A9"/>
    <w:rsid w:val="72DCC8A3"/>
    <w:rsid w:val="740EA4E2"/>
    <w:rsid w:val="74CA6E2D"/>
    <w:rsid w:val="758A93E2"/>
    <w:rsid w:val="78138195"/>
    <w:rsid w:val="79068C68"/>
    <w:rsid w:val="79157E95"/>
    <w:rsid w:val="7B09CE16"/>
    <w:rsid w:val="7C9A2AF4"/>
    <w:rsid w:val="7CBE0330"/>
    <w:rsid w:val="7F53CCDE"/>
    <w:rsid w:val="7F80B82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73F72B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read 2"/>
    <w:qFormat/>
    <w:rsid w:val="005067E6"/>
    <w:pPr>
      <w:autoSpaceDE w:val="0"/>
      <w:autoSpaceDN w:val="0"/>
      <w:spacing w:line="320" w:lineRule="atLeast"/>
      <w:ind w:firstLine="425"/>
      <w:jc w:val="both"/>
    </w:pPr>
    <w:rPr>
      <w:sz w:val="26"/>
      <w:szCs w:val="28"/>
      <w:lang w:val="en-GB" w:eastAsia="en-US"/>
    </w:rPr>
  </w:style>
  <w:style w:type="paragraph" w:styleId="Rubrik1">
    <w:name w:val="heading 1"/>
    <w:aliases w:val="Title"/>
    <w:basedOn w:val="Rubrik"/>
    <w:next w:val="Rubrik8"/>
    <w:qFormat/>
    <w:rsid w:val="0070249D"/>
    <w:pPr>
      <w:keepNext/>
      <w:spacing w:before="0" w:after="0"/>
      <w:ind w:firstLine="0"/>
    </w:pPr>
    <w:rPr>
      <w:rFonts w:ascii="Times New Roman" w:hAnsi="Times New Roman"/>
      <w:b w:val="0"/>
      <w:bCs w:val="0"/>
      <w:sz w:val="44"/>
    </w:rPr>
  </w:style>
  <w:style w:type="paragraph" w:styleId="Rubrik2">
    <w:name w:val="heading 2"/>
    <w:aliases w:val="Head 1"/>
    <w:basedOn w:val="Rubrik"/>
    <w:next w:val="Brdtext"/>
    <w:qFormat/>
    <w:rsid w:val="0070249D"/>
    <w:pPr>
      <w:keepNext/>
      <w:spacing w:before="360" w:after="0"/>
      <w:ind w:firstLine="0"/>
      <w:jc w:val="left"/>
      <w:outlineLvl w:val="1"/>
    </w:pPr>
    <w:rPr>
      <w:rFonts w:ascii="Times New Roman" w:hAnsi="Times New Roman"/>
      <w:bCs w:val="0"/>
      <w:sz w:val="28"/>
    </w:rPr>
  </w:style>
  <w:style w:type="paragraph" w:styleId="Rubrik3">
    <w:name w:val="heading 3"/>
    <w:aliases w:val="Head 2"/>
    <w:basedOn w:val="Normal"/>
    <w:next w:val="Normal"/>
    <w:qFormat/>
    <w:rsid w:val="00866094"/>
    <w:pPr>
      <w:keepNext/>
      <w:spacing w:before="240"/>
      <w:ind w:firstLine="0"/>
      <w:jc w:val="left"/>
      <w:outlineLvl w:val="2"/>
    </w:pPr>
    <w:rPr>
      <w:b/>
      <w:bCs/>
    </w:rPr>
  </w:style>
  <w:style w:type="paragraph" w:styleId="Rubrik4">
    <w:name w:val="heading 4"/>
    <w:aliases w:val="Head 3"/>
    <w:basedOn w:val="Rubrik"/>
    <w:next w:val="Brdtext"/>
    <w:link w:val="Rubrik4Char"/>
    <w:uiPriority w:val="9"/>
    <w:unhideWhenUsed/>
    <w:qFormat/>
    <w:rsid w:val="00101D8A"/>
    <w:pPr>
      <w:keepNext/>
      <w:spacing w:before="120" w:after="0"/>
      <w:ind w:firstLine="0"/>
      <w:jc w:val="left"/>
      <w:outlineLvl w:val="3"/>
    </w:pPr>
    <w:rPr>
      <w:rFonts w:ascii="Times New Roman" w:hAnsi="Times New Roman"/>
      <w:bCs w:val="0"/>
      <w:i/>
      <w:sz w:val="26"/>
    </w:rPr>
  </w:style>
  <w:style w:type="paragraph" w:styleId="Rubrik8">
    <w:name w:val="heading 8"/>
    <w:aliases w:val="Authors"/>
    <w:basedOn w:val="Rubrik"/>
    <w:next w:val="Normal"/>
    <w:link w:val="Rubrik8Char"/>
    <w:uiPriority w:val="9"/>
    <w:unhideWhenUsed/>
    <w:qFormat/>
    <w:rsid w:val="000C4CBD"/>
    <w:pPr>
      <w:spacing w:before="360" w:after="0"/>
      <w:ind w:firstLine="0"/>
      <w:outlineLvl w:val="7"/>
    </w:pPr>
    <w:rPr>
      <w:rFonts w:ascii="Times New Roman" w:hAnsi="Times New Roman"/>
      <w:iCs/>
      <w:sz w:val="28"/>
      <w:szCs w:val="24"/>
    </w:rPr>
  </w:style>
  <w:style w:type="paragraph" w:styleId="Rubrik9">
    <w:name w:val="heading 9"/>
    <w:aliases w:val="Institution"/>
    <w:basedOn w:val="Rubrik"/>
    <w:next w:val="Normal"/>
    <w:link w:val="Rubrik9Char"/>
    <w:uiPriority w:val="9"/>
    <w:unhideWhenUsed/>
    <w:qFormat/>
    <w:rsid w:val="000C4CBD"/>
    <w:pPr>
      <w:spacing w:before="0" w:after="720"/>
      <w:ind w:firstLine="0"/>
      <w:outlineLvl w:val="8"/>
    </w:pPr>
    <w:rPr>
      <w:rFonts w:ascii="Times New Roman" w:hAnsi="Times New Roman"/>
      <w:b w:val="0"/>
      <w:sz w:val="28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9D176C"/>
    <w:pPr>
      <w:spacing w:before="240" w:after="60"/>
      <w:jc w:val="center"/>
      <w:outlineLvl w:val="0"/>
    </w:pPr>
    <w:rPr>
      <w:rFonts w:ascii="Calibri" w:hAnsi="Calibri"/>
      <w:b/>
      <w:bCs/>
      <w:kern w:val="28"/>
      <w:sz w:val="32"/>
      <w:szCs w:val="32"/>
    </w:rPr>
  </w:style>
  <w:style w:type="character" w:customStyle="1" w:styleId="RubrikChar">
    <w:name w:val="Rubrik Char"/>
    <w:link w:val="Rubrik"/>
    <w:uiPriority w:val="10"/>
    <w:rsid w:val="009D176C"/>
    <w:rPr>
      <w:rFonts w:ascii="Calibri" w:eastAsia="Times New Roman" w:hAnsi="Calibri" w:cs="Times New Roman"/>
      <w:b/>
      <w:bCs/>
      <w:kern w:val="28"/>
      <w:sz w:val="32"/>
      <w:szCs w:val="32"/>
      <w:lang w:val="en-GB" w:eastAsia="en-US"/>
    </w:rPr>
  </w:style>
  <w:style w:type="character" w:customStyle="1" w:styleId="Rubrik8Char">
    <w:name w:val="Rubrik 8 Char"/>
    <w:aliases w:val="Authors Char"/>
    <w:link w:val="Rubrik8"/>
    <w:uiPriority w:val="9"/>
    <w:rsid w:val="000C4CBD"/>
    <w:rPr>
      <w:rFonts w:eastAsia="Times New Roman" w:cs="Times New Roman"/>
      <w:b/>
      <w:bCs/>
      <w:iCs/>
      <w:kern w:val="28"/>
      <w:sz w:val="28"/>
      <w:szCs w:val="24"/>
      <w:lang w:val="en-GB" w:eastAsia="en-US"/>
    </w:rPr>
  </w:style>
  <w:style w:type="paragraph" w:styleId="Brdtext">
    <w:name w:val="Body Text"/>
    <w:aliases w:val="Bread 1"/>
    <w:basedOn w:val="Normal"/>
    <w:next w:val="Normal"/>
    <w:link w:val="BrdtextChar"/>
    <w:uiPriority w:val="99"/>
    <w:unhideWhenUsed/>
    <w:qFormat/>
    <w:rsid w:val="00FD5842"/>
    <w:pPr>
      <w:ind w:firstLine="0"/>
    </w:pPr>
  </w:style>
  <w:style w:type="character" w:customStyle="1" w:styleId="BrdtextChar">
    <w:name w:val="Brödtext Char"/>
    <w:aliases w:val="Bread 1 Char"/>
    <w:link w:val="Brdtext"/>
    <w:uiPriority w:val="99"/>
    <w:rsid w:val="00FD5842"/>
    <w:rPr>
      <w:sz w:val="26"/>
      <w:szCs w:val="28"/>
      <w:lang w:val="en-GB" w:eastAsia="en-US"/>
    </w:rPr>
  </w:style>
  <w:style w:type="character" w:customStyle="1" w:styleId="Rubrik4Char">
    <w:name w:val="Rubrik 4 Char"/>
    <w:aliases w:val="Head 3 Char"/>
    <w:link w:val="Rubrik4"/>
    <w:uiPriority w:val="9"/>
    <w:rsid w:val="00101D8A"/>
    <w:rPr>
      <w:rFonts w:eastAsia="Times New Roman" w:cs="Times New Roman"/>
      <w:b/>
      <w:i/>
      <w:kern w:val="28"/>
      <w:sz w:val="26"/>
      <w:szCs w:val="32"/>
      <w:lang w:val="en-GB" w:eastAsia="en-US"/>
    </w:rPr>
  </w:style>
  <w:style w:type="character" w:customStyle="1" w:styleId="Rubrik9Char">
    <w:name w:val="Rubrik 9 Char"/>
    <w:aliases w:val="Institution Char"/>
    <w:link w:val="Rubrik9"/>
    <w:uiPriority w:val="9"/>
    <w:rsid w:val="000C4CBD"/>
    <w:rPr>
      <w:rFonts w:eastAsia="Times New Roman" w:cs="Times New Roman"/>
      <w:bCs/>
      <w:kern w:val="28"/>
      <w:sz w:val="28"/>
      <w:szCs w:val="22"/>
      <w:lang w:val="en-GB" w:eastAsia="en-US"/>
    </w:rPr>
  </w:style>
  <w:style w:type="paragraph" w:customStyle="1" w:styleId="Numberedtranscript">
    <w:name w:val="Numbered transcript"/>
    <w:basedOn w:val="Normal"/>
    <w:qFormat/>
    <w:rsid w:val="00575777"/>
    <w:pPr>
      <w:tabs>
        <w:tab w:val="left" w:pos="1134"/>
      </w:tabs>
      <w:spacing w:before="60" w:after="60" w:line="300" w:lineRule="atLeast"/>
      <w:ind w:left="2693" w:right="425" w:hanging="2268"/>
    </w:pPr>
    <w:rPr>
      <w:szCs w:val="26"/>
    </w:rPr>
  </w:style>
  <w:style w:type="paragraph" w:customStyle="1" w:styleId="Citat1">
    <w:name w:val="Citat1"/>
    <w:basedOn w:val="Brdtext"/>
    <w:qFormat/>
    <w:rsid w:val="00D40F30"/>
    <w:pPr>
      <w:spacing w:before="120" w:after="120"/>
      <w:ind w:left="425" w:right="425"/>
    </w:pPr>
    <w:rPr>
      <w:sz w:val="24"/>
      <w:szCs w:val="26"/>
    </w:rPr>
  </w:style>
  <w:style w:type="paragraph" w:customStyle="1" w:styleId="References">
    <w:name w:val="References"/>
    <w:basedOn w:val="Brdtext"/>
    <w:qFormat/>
    <w:rsid w:val="002A0C36"/>
    <w:pPr>
      <w:spacing w:line="300" w:lineRule="atLeast"/>
      <w:ind w:left="425" w:hanging="425"/>
    </w:pPr>
    <w:rPr>
      <w:sz w:val="24"/>
    </w:rPr>
  </w:style>
  <w:style w:type="paragraph" w:customStyle="1" w:styleId="Endnote">
    <w:name w:val="Endnote"/>
    <w:basedOn w:val="Normal"/>
    <w:qFormat/>
    <w:rsid w:val="002A0C36"/>
    <w:pPr>
      <w:spacing w:line="300" w:lineRule="atLeast"/>
      <w:ind w:firstLine="0"/>
    </w:pPr>
    <w:rPr>
      <w:sz w:val="24"/>
      <w:szCs w:val="24"/>
    </w:rPr>
  </w:style>
  <w:style w:type="paragraph" w:styleId="Sidfot">
    <w:name w:val="footer"/>
    <w:basedOn w:val="Normal"/>
    <w:rsid w:val="008914F1"/>
    <w:pPr>
      <w:tabs>
        <w:tab w:val="center" w:pos="4320"/>
        <w:tab w:val="right" w:pos="8640"/>
      </w:tabs>
    </w:pPr>
  </w:style>
  <w:style w:type="paragraph" w:customStyle="1" w:styleId="Transcript">
    <w:name w:val="Transcript"/>
    <w:basedOn w:val="Normal"/>
    <w:qFormat/>
    <w:rsid w:val="00575777"/>
    <w:pPr>
      <w:spacing w:before="60" w:after="60" w:line="300" w:lineRule="atLeast"/>
      <w:ind w:left="1843" w:right="425" w:hanging="1418"/>
    </w:pPr>
    <w:rPr>
      <w:sz w:val="24"/>
      <w:szCs w:val="26"/>
    </w:rPr>
  </w:style>
  <w:style w:type="character" w:styleId="Sidnummer">
    <w:name w:val="page number"/>
    <w:basedOn w:val="Standardstycketeckensnitt"/>
    <w:rsid w:val="008914F1"/>
  </w:style>
  <w:style w:type="character" w:customStyle="1" w:styleId="HeadtableChar">
    <w:name w:val="Head table Char"/>
    <w:link w:val="Headtable"/>
    <w:rsid w:val="008B3B99"/>
    <w:rPr>
      <w:sz w:val="26"/>
      <w:szCs w:val="28"/>
      <w:lang w:val="en-GB" w:eastAsia="en-US"/>
    </w:rPr>
  </w:style>
  <w:style w:type="paragraph" w:customStyle="1" w:styleId="Headtable">
    <w:name w:val="Head table"/>
    <w:basedOn w:val="Normal"/>
    <w:next w:val="Brdtext"/>
    <w:link w:val="HeadtableChar"/>
    <w:qFormat/>
    <w:rsid w:val="008B3B99"/>
    <w:pPr>
      <w:spacing w:before="120" w:after="120"/>
      <w:ind w:left="425" w:right="425" w:firstLine="0"/>
      <w:jc w:val="left"/>
    </w:pPr>
  </w:style>
  <w:style w:type="paragraph" w:customStyle="1" w:styleId="Abstract">
    <w:name w:val="Abstract"/>
    <w:basedOn w:val="Brdtext"/>
    <w:link w:val="AbstractChar"/>
    <w:rsid w:val="00084739"/>
    <w:rPr>
      <w:i/>
    </w:rPr>
  </w:style>
  <w:style w:type="character" w:customStyle="1" w:styleId="AbstractChar">
    <w:name w:val="Abstract Char"/>
    <w:basedOn w:val="BrdtextChar"/>
    <w:link w:val="Abstract"/>
    <w:rsid w:val="00084739"/>
    <w:rPr>
      <w:i/>
      <w:sz w:val="26"/>
      <w:szCs w:val="28"/>
      <w:lang w:val="en-GB" w:eastAsia="en-US"/>
    </w:rPr>
  </w:style>
  <w:style w:type="paragraph" w:styleId="Sidhuvud">
    <w:name w:val="header"/>
    <w:basedOn w:val="Normal"/>
    <w:link w:val="SidhuvudChar"/>
    <w:semiHidden/>
    <w:unhideWhenUsed/>
    <w:rsid w:val="007628ED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semiHidden/>
    <w:rsid w:val="007628ED"/>
    <w:rPr>
      <w:sz w:val="26"/>
      <w:szCs w:val="28"/>
      <w:lang w:val="en-GB" w:eastAsia="en-US"/>
    </w:rPr>
  </w:style>
  <w:style w:type="paragraph" w:styleId="Liststycke">
    <w:name w:val="List Paragraph"/>
    <w:basedOn w:val="Normal"/>
    <w:rsid w:val="0084084B"/>
    <w:pPr>
      <w:ind w:left="720"/>
      <w:contextualSpacing/>
    </w:pPr>
  </w:style>
  <w:style w:type="character" w:styleId="Hyperlnk">
    <w:name w:val="Hyperlink"/>
    <w:basedOn w:val="Standardstycketeckensnitt"/>
    <w:unhideWhenUsed/>
    <w:rsid w:val="008246D6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246D6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semiHidden/>
    <w:unhideWhenUsed/>
    <w:rsid w:val="004D469D"/>
    <w:rPr>
      <w:color w:val="800080" w:themeColor="followedHyperlink"/>
      <w:u w:val="single"/>
    </w:rPr>
  </w:style>
  <w:style w:type="paragraph" w:styleId="Kommentarer">
    <w:name w:val="annotation text"/>
    <w:basedOn w:val="Normal"/>
    <w:link w:val="KommentarerChar"/>
    <w:unhideWhenUsed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Pr>
      <w:lang w:val="en-GB" w:eastAsia="en-US"/>
    </w:rPr>
  </w:style>
  <w:style w:type="character" w:styleId="Kommentarsreferens">
    <w:name w:val="annotation reference"/>
    <w:basedOn w:val="Standardstycketeckensnitt"/>
    <w:semiHidden/>
    <w:unhideWhenUsed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64605E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64605E"/>
    <w:rPr>
      <w:b/>
      <w:bCs/>
      <w:lang w:val="en-GB" w:eastAsia="en-US"/>
    </w:rPr>
  </w:style>
  <w:style w:type="paragraph" w:styleId="Revision">
    <w:name w:val="Revision"/>
    <w:hidden/>
    <w:semiHidden/>
    <w:rsid w:val="00F705AD"/>
    <w:rPr>
      <w:sz w:val="26"/>
      <w:szCs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hal.science/hal-03746833v2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oi.org/10.1016/j.ijer.2015.09.005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v.wiktionary.org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svenska.se/s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006F3FBB831E4A82C965666AA2376B" ma:contentTypeVersion="18" ma:contentTypeDescription="Skapa ett nytt dokument." ma:contentTypeScope="" ma:versionID="20c0b63008f6fdf33ceca13ed0ca5e92">
  <xsd:schema xmlns:xsd="http://www.w3.org/2001/XMLSchema" xmlns:xs="http://www.w3.org/2001/XMLSchema" xmlns:p="http://schemas.microsoft.com/office/2006/metadata/properties" xmlns:ns2="c30f1e05-8b65-4512-95dd-9f669bd9b4e8" xmlns:ns3="3674543a-ff2e-446e-980a-b7b57440f42e" targetNamespace="http://schemas.microsoft.com/office/2006/metadata/properties" ma:root="true" ma:fieldsID="bdfc5f82c1698a806b4eabeb779e6869" ns2:_="" ns3:_="">
    <xsd:import namespace="c30f1e05-8b65-4512-95dd-9f669bd9b4e8"/>
    <xsd:import namespace="3674543a-ff2e-446e-980a-b7b57440f4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1e05-8b65-4512-95dd-9f669bd9b4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4bb64261-f13a-4595-8891-6b3665ea72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74543a-ff2e-446e-980a-b7b57440f42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da98883-3b57-4d72-bce8-d9ca1b867ed4}" ma:internalName="TaxCatchAll" ma:showField="CatchAllData" ma:web="3674543a-ff2e-446e-980a-b7b57440f4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0f1e05-8b65-4512-95dd-9f669bd9b4e8">
      <Terms xmlns="http://schemas.microsoft.com/office/infopath/2007/PartnerControls"/>
    </lcf76f155ced4ddcb4097134ff3c332f>
    <TaxCatchAll xmlns="3674543a-ff2e-446e-980a-b7b57440f42e" xsi:nil="true"/>
  </documentManagement>
</p:properties>
</file>

<file path=customXml/itemProps1.xml><?xml version="1.0" encoding="utf-8"?>
<ds:datastoreItem xmlns:ds="http://schemas.openxmlformats.org/officeDocument/2006/customXml" ds:itemID="{19FA66FD-0776-4989-B881-268E015D90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0f1e05-8b65-4512-95dd-9f669bd9b4e8"/>
    <ds:schemaRef ds:uri="3674543a-ff2e-446e-980a-b7b57440f4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47C9D9-D7B9-4C5D-9C01-3AD09CC1D4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878064-598A-48AC-9998-D8ADF343EA63}">
  <ds:schemaRefs>
    <ds:schemaRef ds:uri="http://schemas.microsoft.com/office/2006/metadata/properties"/>
    <ds:schemaRef ds:uri="http://schemas.microsoft.com/office/infopath/2007/PartnerControls"/>
    <ds:schemaRef ds:uri="c30f1e05-8b65-4512-95dd-9f669bd9b4e8"/>
    <ds:schemaRef ds:uri="3674543a-ff2e-446e-980a-b7b57440f42e"/>
  </ds:schemaRefs>
</ds:datastoreItem>
</file>

<file path=docMetadata/LabelInfo.xml><?xml version="1.0" encoding="utf-8"?>
<clbl:labelList xmlns:clbl="http://schemas.microsoft.com/office/2020/mipLabelMetadata">
  <clbl:label id="{da48a9ac-7937-4134-8b13-3620bf967764}" enabled="1" method="Privileged" siteId="{5a4ba6f9-f531-4f32-9467-398f19e69de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826</Words>
  <Characters>5136</Characters>
  <Application>Microsoft Office Word</Application>
  <DocSecurity>4</DocSecurity>
  <Lines>80</Lines>
  <Paragraphs>15</Paragraphs>
  <ScaleCrop>false</ScaleCrop>
  <Manager/>
  <Company/>
  <LinksUpToDate>false</LinksUpToDate>
  <CharactersWithSpaces>5947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MADIF8 PROCEEDINGS STYLE TEMPLATE</dc:title>
  <dc:subject/>
  <dc:creator/>
  <cp:keywords/>
  <dc:description/>
  <cp:lastModifiedBy/>
  <cp:revision>1</cp:revision>
  <dcterms:created xsi:type="dcterms:W3CDTF">2025-11-09T15:56:00Z</dcterms:created>
  <dcterms:modified xsi:type="dcterms:W3CDTF">2025-11-09T15:56:00Z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0x01010038006F3FBB831E4A82C965666AA2376B</vt:lpwstr>
  </property>
  <property fmtid="{D5CDD505-2E9C-101B-9397-08002B2CF9AE}" pid="3" name="MediaServiceImageTags">
    <vt:lpwstr/>
  </property>
</Properties>
</file>