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7219" w14:textId="14D2A4C6" w:rsidR="00F5400D" w:rsidRDefault="001C6B66" w:rsidP="000761F4">
      <w:pPr>
        <w:pStyle w:val="Rubrik1"/>
      </w:pPr>
      <w:r>
        <w:t xml:space="preserve">Developing a model for </w:t>
      </w:r>
      <w:r w:rsidR="006F2FDF">
        <w:t>implementing m</w:t>
      </w:r>
      <w:r w:rsidR="000174E3">
        <w:t>athematics curriculum materials in teacher education</w:t>
      </w:r>
    </w:p>
    <w:p w14:paraId="080E0699" w14:textId="3657FDEF" w:rsidR="00CE6A6A" w:rsidRDefault="00BC0407" w:rsidP="00CE6A6A">
      <w:pPr>
        <w:pStyle w:val="Rubrik8"/>
      </w:pPr>
      <w:r>
        <w:t>Daniel Brehmer</w:t>
      </w:r>
    </w:p>
    <w:p w14:paraId="1D1FC312" w14:textId="47A622D5" w:rsidR="00CE6A6A" w:rsidRDefault="0097629B" w:rsidP="00CE6A6A">
      <w:pPr>
        <w:pStyle w:val="Rubrik9"/>
      </w:pPr>
      <w:proofErr w:type="spellStart"/>
      <w:r>
        <w:t>Mälardalen</w:t>
      </w:r>
      <w:r w:rsidR="009D12C9">
        <w:t>s</w:t>
      </w:r>
      <w:proofErr w:type="spellEnd"/>
      <w:r>
        <w:t xml:space="preserve"> Universite</w:t>
      </w:r>
      <w:r w:rsidR="009D12C9">
        <w:t>t</w:t>
      </w:r>
    </w:p>
    <w:p w14:paraId="0F3ADE74" w14:textId="28A1D48E" w:rsidR="00CE6A6A" w:rsidRPr="00933A03" w:rsidRDefault="004B4F9D" w:rsidP="005710F8">
      <w:pPr>
        <w:pStyle w:val="Abstract"/>
      </w:pPr>
      <w:r>
        <w:t>B</w:t>
      </w:r>
      <w:r w:rsidRPr="007F5D6C">
        <w:t xml:space="preserve">ased on a configurative systematic review of 44 </w:t>
      </w:r>
      <w:r w:rsidR="00195146">
        <w:t>pap</w:t>
      </w:r>
      <w:r w:rsidR="00C71685">
        <w:t>e</w:t>
      </w:r>
      <w:r w:rsidR="00195146">
        <w:t>r</w:t>
      </w:r>
      <w:r w:rsidRPr="007F5D6C">
        <w:t>s</w:t>
      </w:r>
      <w:r>
        <w:t>, t</w:t>
      </w:r>
      <w:r w:rsidRPr="007F5D6C">
        <w:t>his study pr</w:t>
      </w:r>
      <w:r>
        <w:t>oposes</w:t>
      </w:r>
      <w:r w:rsidRPr="007F5D6C">
        <w:t xml:space="preserve"> a model for implementing mathematics curriculum materials (MaCMs) in teacher education (TE)</w:t>
      </w:r>
      <w:r>
        <w:t>. The</w:t>
      </w:r>
      <w:r w:rsidRPr="007F5D6C">
        <w:t xml:space="preserve"> </w:t>
      </w:r>
      <w:r>
        <w:t>review</w:t>
      </w:r>
      <w:r w:rsidRPr="007F5D6C">
        <w:t xml:space="preserve"> identifies three learning objectives</w:t>
      </w:r>
      <w:r>
        <w:t xml:space="preserve"> </w:t>
      </w:r>
      <w:r w:rsidRPr="007F5D6C">
        <w:t>—</w:t>
      </w:r>
      <w:r>
        <w:t xml:space="preserve"> </w:t>
      </w:r>
      <w:r w:rsidRPr="007F5D6C">
        <w:t xml:space="preserve">learning </w:t>
      </w:r>
      <w:r w:rsidRPr="007F5D6C">
        <w:rPr>
          <w:iCs/>
        </w:rPr>
        <w:t>from</w:t>
      </w:r>
      <w:r w:rsidRPr="007F5D6C">
        <w:t xml:space="preserve">, </w:t>
      </w:r>
      <w:r w:rsidRPr="007F5D6C">
        <w:rPr>
          <w:iCs/>
        </w:rPr>
        <w:t>about</w:t>
      </w:r>
      <w:r w:rsidRPr="007F5D6C">
        <w:t xml:space="preserve">, and </w:t>
      </w:r>
      <w:r w:rsidRPr="007F5D6C">
        <w:rPr>
          <w:iCs/>
        </w:rPr>
        <w:t>with</w:t>
      </w:r>
      <w:r w:rsidRPr="007F5D6C">
        <w:t xml:space="preserve"> MaCMs. For each objective, the </w:t>
      </w:r>
      <w:r w:rsidR="00C00FE5">
        <w:t xml:space="preserve">suggested </w:t>
      </w:r>
      <w:r w:rsidRPr="007F5D6C">
        <w:t xml:space="preserve">model outlines (a) activities and associated PT learning outcomes, (b) </w:t>
      </w:r>
      <w:r w:rsidR="00AC21CC">
        <w:t xml:space="preserve">applied </w:t>
      </w:r>
      <w:r w:rsidRPr="007F5D6C">
        <w:t>theoretical constructs, and (c) key research findings. The</w:t>
      </w:r>
      <w:r>
        <w:t xml:space="preserve"> </w:t>
      </w:r>
      <w:r w:rsidRPr="007F5D6C">
        <w:t>model offers a</w:t>
      </w:r>
      <w:r w:rsidR="009F3B4B">
        <w:t>n actionable</w:t>
      </w:r>
      <w:r w:rsidRPr="007F5D6C">
        <w:t xml:space="preserve"> </w:t>
      </w:r>
      <w:r w:rsidR="00F01F66">
        <w:t xml:space="preserve">and </w:t>
      </w:r>
      <w:r w:rsidRPr="007F5D6C">
        <w:t xml:space="preserve">structured framework for integrating MaCMs into TE and is discussed in relation to its implications for both </w:t>
      </w:r>
      <w:r w:rsidR="00037938">
        <w:t>practice</w:t>
      </w:r>
      <w:r w:rsidRPr="007F5D6C">
        <w:t xml:space="preserve"> and</w:t>
      </w:r>
      <w:r w:rsidR="00F01F66">
        <w:t xml:space="preserve"> research</w:t>
      </w:r>
      <w:r w:rsidR="00D43F80">
        <w:t>.</w:t>
      </w:r>
    </w:p>
    <w:p w14:paraId="2946FA04" w14:textId="413C9B42" w:rsidR="00C65692" w:rsidRDefault="00C65692" w:rsidP="00CE6A6A">
      <w:pPr>
        <w:pStyle w:val="Rubrik2"/>
      </w:pPr>
      <w:r>
        <w:t>Introduction</w:t>
      </w:r>
    </w:p>
    <w:p w14:paraId="704A8B08" w14:textId="73BBF976" w:rsidR="00C65692" w:rsidRDefault="00785CCD" w:rsidP="00C65692">
      <w:pPr>
        <w:pStyle w:val="Brdtext"/>
      </w:pPr>
      <w:r>
        <w:t>Mathematics c</w:t>
      </w:r>
      <w:r w:rsidR="00110503">
        <w:t>urriculu</w:t>
      </w:r>
      <w:r w:rsidR="00590702">
        <w:t>m</w:t>
      </w:r>
      <w:r w:rsidR="00110503">
        <w:t xml:space="preserve"> materials</w:t>
      </w:r>
      <w:r>
        <w:t xml:space="preserve"> (MaCMs)</w:t>
      </w:r>
      <w:r w:rsidR="00110503">
        <w:t xml:space="preserve"> constitute</w:t>
      </w:r>
      <w:r w:rsidR="00C4543F">
        <w:t xml:space="preserve"> teachers’ major resource for planning</w:t>
      </w:r>
      <w:r w:rsidR="00590702">
        <w:t xml:space="preserve"> and</w:t>
      </w:r>
      <w:r w:rsidR="001B2C5C">
        <w:t xml:space="preserve"> teaching</w:t>
      </w:r>
      <w:r w:rsidR="00590702">
        <w:t xml:space="preserve"> </w:t>
      </w:r>
      <w:r w:rsidR="00C03DB8">
        <w:t>math</w:t>
      </w:r>
      <w:r w:rsidR="0077382D">
        <w:t>ematics</w:t>
      </w:r>
      <w:r w:rsidR="00C03DB8">
        <w:t xml:space="preserve"> (e.g. Choppin et al</w:t>
      </w:r>
      <w:r w:rsidR="008C04FF">
        <w:t>., 2022; Fan et al., 2021)</w:t>
      </w:r>
      <w:r w:rsidR="00FD0ABA">
        <w:t>, operationali</w:t>
      </w:r>
      <w:r w:rsidR="005E470B">
        <w:t>s</w:t>
      </w:r>
      <w:r w:rsidR="00FD0ABA">
        <w:t xml:space="preserve">ing </w:t>
      </w:r>
      <w:r w:rsidR="00A01B64">
        <w:t>steering documents (e.g.</w:t>
      </w:r>
      <w:r w:rsidR="004B5BBC">
        <w:t xml:space="preserve"> Choppin et al., 2022)</w:t>
      </w:r>
      <w:r w:rsidR="007A6AA7">
        <w:t xml:space="preserve"> and </w:t>
      </w:r>
      <w:r w:rsidR="001E7244">
        <w:t>shaping</w:t>
      </w:r>
      <w:r w:rsidR="007A6AA7">
        <w:t xml:space="preserve"> what teachers </w:t>
      </w:r>
      <w:r w:rsidR="004A3120">
        <w:t>teach</w:t>
      </w:r>
      <w:r w:rsidR="004F564E">
        <w:t xml:space="preserve"> </w:t>
      </w:r>
      <w:r w:rsidR="007A6AA7">
        <w:t>and studen</w:t>
      </w:r>
      <w:r w:rsidR="00D75B4F">
        <w:t xml:space="preserve">ts learn (Reys et al., 2004). </w:t>
      </w:r>
      <w:r w:rsidR="005B73EF">
        <w:t>Despite th</w:t>
      </w:r>
      <w:r w:rsidR="003A4F5C">
        <w:t>eir importance</w:t>
      </w:r>
      <w:r w:rsidR="007670C2">
        <w:t xml:space="preserve">, teachers are rarely taught how to interpret and </w:t>
      </w:r>
      <w:r w:rsidR="009D746E">
        <w:t>use MaCMs</w:t>
      </w:r>
      <w:r w:rsidR="0094095F">
        <w:t xml:space="preserve"> eff</w:t>
      </w:r>
      <w:r w:rsidR="007670C2">
        <w:t xml:space="preserve">ectively </w:t>
      </w:r>
      <w:r w:rsidR="00B55E8E">
        <w:t>(Remillard, 2016)</w:t>
      </w:r>
      <w:r w:rsidR="0094095F">
        <w:t>,</w:t>
      </w:r>
      <w:r w:rsidR="006B50E0">
        <w:t xml:space="preserve"> </w:t>
      </w:r>
      <w:r w:rsidR="00CB135E">
        <w:t xml:space="preserve">even </w:t>
      </w:r>
      <w:r w:rsidR="0094095F">
        <w:t>though</w:t>
      </w:r>
      <w:r w:rsidR="006B50E0">
        <w:t xml:space="preserve"> research </w:t>
      </w:r>
      <w:r w:rsidR="00FD6154">
        <w:t xml:space="preserve">(e.g. </w:t>
      </w:r>
      <w:r w:rsidR="00BB0272">
        <w:t>Ben-Peretz et al., 1984</w:t>
      </w:r>
      <w:r w:rsidR="00CF1354">
        <w:t xml:space="preserve">; Drake et al., 2014) </w:t>
      </w:r>
      <w:r w:rsidR="00CB135E">
        <w:t xml:space="preserve">has </w:t>
      </w:r>
      <w:r w:rsidR="006B50E0">
        <w:t>advocate</w:t>
      </w:r>
      <w:r w:rsidR="00CB135E">
        <w:t>d</w:t>
      </w:r>
      <w:r w:rsidR="006B50E0">
        <w:t xml:space="preserve"> for </w:t>
      </w:r>
      <w:r w:rsidR="000155BE">
        <w:t xml:space="preserve">the </w:t>
      </w:r>
      <w:r w:rsidR="00EC009B">
        <w:t>develop</w:t>
      </w:r>
      <w:r w:rsidR="000155BE">
        <w:t>ment</w:t>
      </w:r>
      <w:r w:rsidR="00E97002">
        <w:t xml:space="preserve"> of</w:t>
      </w:r>
      <w:r w:rsidR="00EC009B">
        <w:t xml:space="preserve"> </w:t>
      </w:r>
      <w:r w:rsidR="00DF4F0C">
        <w:t>such</w:t>
      </w:r>
      <w:r w:rsidR="00EC009B">
        <w:t xml:space="preserve"> </w:t>
      </w:r>
      <w:r w:rsidR="00E97002">
        <w:t>competencies</w:t>
      </w:r>
      <w:r w:rsidR="00FD6154">
        <w:t xml:space="preserve"> in teacher education (TE).</w:t>
      </w:r>
      <w:r w:rsidR="00854E91">
        <w:t xml:space="preserve"> </w:t>
      </w:r>
      <w:r w:rsidR="004C689E">
        <w:t>Even though</w:t>
      </w:r>
      <w:r w:rsidR="00207A7F">
        <w:t xml:space="preserve"> s</w:t>
      </w:r>
      <w:r w:rsidR="000B294B">
        <w:t xml:space="preserve">tudies on </w:t>
      </w:r>
      <w:r w:rsidR="00854E91">
        <w:t>MaCMs</w:t>
      </w:r>
      <w:r w:rsidR="001E4BF1">
        <w:t xml:space="preserve"> </w:t>
      </w:r>
      <w:r w:rsidR="00381B77">
        <w:t>are</w:t>
      </w:r>
      <w:r w:rsidR="001E4BF1">
        <w:t xml:space="preserve"> a </w:t>
      </w:r>
      <w:r w:rsidR="00276564">
        <w:t xml:space="preserve">growing </w:t>
      </w:r>
      <w:r w:rsidR="001E4BF1">
        <w:t>field of research</w:t>
      </w:r>
      <w:r w:rsidR="00BD51EF">
        <w:t xml:space="preserve"> (</w:t>
      </w:r>
      <w:r w:rsidR="00BA2C64">
        <w:t>Rezat, 2024</w:t>
      </w:r>
      <w:r w:rsidR="00C65E2C">
        <w:t>)</w:t>
      </w:r>
      <w:r w:rsidR="00A01EDC">
        <w:t>,</w:t>
      </w:r>
      <w:r w:rsidR="00FA3B8E">
        <w:t xml:space="preserve"> </w:t>
      </w:r>
      <w:r w:rsidR="008873A6">
        <w:t>focusing on</w:t>
      </w:r>
      <w:r w:rsidR="00D350F2">
        <w:t xml:space="preserve"> their use by</w:t>
      </w:r>
      <w:r w:rsidR="008873A6">
        <w:t xml:space="preserve"> teachers (</w:t>
      </w:r>
      <w:r w:rsidR="00E82F88">
        <w:t xml:space="preserve">e.g. </w:t>
      </w:r>
      <w:proofErr w:type="spellStart"/>
      <w:r w:rsidR="00120236">
        <w:t>Rezat</w:t>
      </w:r>
      <w:proofErr w:type="spellEnd"/>
      <w:r w:rsidR="00120236">
        <w:t xml:space="preserve"> et al., 2021</w:t>
      </w:r>
      <w:r w:rsidR="008873A6">
        <w:t>)</w:t>
      </w:r>
      <w:r w:rsidR="00477FA2">
        <w:t>, the</w:t>
      </w:r>
      <w:r w:rsidR="00D350F2">
        <w:t xml:space="preserve">ir </w:t>
      </w:r>
      <w:r w:rsidR="00477FA2">
        <w:t>design (</w:t>
      </w:r>
      <w:r w:rsidR="00466A1C">
        <w:t xml:space="preserve">e.g. </w:t>
      </w:r>
      <w:r w:rsidR="00120236">
        <w:t>Ball &amp; Cohen, 1996, Davis &amp; Krajcik, 2005, Van Steenbrugge &amp; R</w:t>
      </w:r>
      <w:r w:rsidR="00466A1C">
        <w:t>y</w:t>
      </w:r>
      <w:r w:rsidR="00120236">
        <w:t>ve, 2018</w:t>
      </w:r>
      <w:r w:rsidR="00477FA2">
        <w:t>) and their</w:t>
      </w:r>
      <w:r w:rsidR="00C60EC6">
        <w:t xml:space="preserve"> potential </w:t>
      </w:r>
      <w:r w:rsidR="00D846F6">
        <w:t>to support</w:t>
      </w:r>
      <w:r w:rsidR="00C60EC6">
        <w:t xml:space="preserve"> teacher </w:t>
      </w:r>
      <w:r w:rsidR="00CC4514">
        <w:t>development</w:t>
      </w:r>
      <w:r w:rsidR="00C60EC6">
        <w:t xml:space="preserve"> (</w:t>
      </w:r>
      <w:r w:rsidR="00AF4077">
        <w:t xml:space="preserve">e.g. </w:t>
      </w:r>
      <w:r w:rsidR="00A74B5B">
        <w:t>Fan et al., 2021</w:t>
      </w:r>
      <w:r w:rsidR="00C60EC6">
        <w:t>)</w:t>
      </w:r>
      <w:r w:rsidR="007D2E35">
        <w:t xml:space="preserve">, recent </w:t>
      </w:r>
      <w:r w:rsidR="00DE1738">
        <w:t xml:space="preserve">comprehensive </w:t>
      </w:r>
      <w:r w:rsidR="002805E2">
        <w:t>reviews</w:t>
      </w:r>
      <w:r w:rsidR="00A0406A">
        <w:t xml:space="preserve"> on MaCMs</w:t>
      </w:r>
      <w:r w:rsidR="00387619">
        <w:t xml:space="preserve"> (</w:t>
      </w:r>
      <w:r w:rsidR="0079374A">
        <w:t xml:space="preserve">e.g. </w:t>
      </w:r>
      <w:r w:rsidR="00F227B3">
        <w:t>Bu</w:t>
      </w:r>
      <w:r w:rsidR="0078250D">
        <w:t>c</w:t>
      </w:r>
      <w:r w:rsidR="00F227B3">
        <w:t xml:space="preserve">h et al., </w:t>
      </w:r>
      <w:r w:rsidR="00BD1932">
        <w:t xml:space="preserve">2022; </w:t>
      </w:r>
      <w:r w:rsidR="0079374A">
        <w:t>Fan et al</w:t>
      </w:r>
      <w:r w:rsidR="00003E96">
        <w:t xml:space="preserve">., 2018; </w:t>
      </w:r>
      <w:r w:rsidR="0079374A">
        <w:t>Lloyd et al.,</w:t>
      </w:r>
      <w:r w:rsidR="00003E96">
        <w:t xml:space="preserve"> 2017; </w:t>
      </w:r>
      <w:r w:rsidR="00BD1932">
        <w:t>Rezat, 2024)</w:t>
      </w:r>
      <w:r w:rsidR="00AD213F">
        <w:t xml:space="preserve"> have not </w:t>
      </w:r>
      <w:r w:rsidR="00583838">
        <w:t xml:space="preserve">addressed </w:t>
      </w:r>
      <w:r w:rsidR="00A561A9">
        <w:t>MaCM</w:t>
      </w:r>
      <w:r w:rsidR="00400445">
        <w:t xml:space="preserve"> use</w:t>
      </w:r>
      <w:r w:rsidR="00A561A9">
        <w:t xml:space="preserve"> in TE.</w:t>
      </w:r>
    </w:p>
    <w:p w14:paraId="4DB83ABD" w14:textId="048562DD" w:rsidR="00C4618B" w:rsidRDefault="00F27744" w:rsidP="00960F9C">
      <w:pPr>
        <w:pStyle w:val="Rubrik3"/>
      </w:pPr>
      <w:r>
        <w:t>Aim and research questions</w:t>
      </w:r>
    </w:p>
    <w:p w14:paraId="30E9B77C" w14:textId="245B1DE0" w:rsidR="00D13C06" w:rsidRDefault="00225F2C" w:rsidP="007637C8">
      <w:pPr>
        <w:pStyle w:val="Brdtext"/>
      </w:pPr>
      <w:r>
        <w:t>T</w:t>
      </w:r>
      <w:r w:rsidRPr="00CB43F9">
        <w:t xml:space="preserve">his study aims to </w:t>
      </w:r>
      <w:r>
        <w:t>develop a model for implementing MaCMs</w:t>
      </w:r>
      <w:r w:rsidR="00322018">
        <w:t xml:space="preserve"> in TE</w:t>
      </w:r>
      <w:r>
        <w:t>. The</w:t>
      </w:r>
      <w:r w:rsidR="00D66B18">
        <w:t xml:space="preserve"> aim is </w:t>
      </w:r>
      <w:r>
        <w:t>operationali</w:t>
      </w:r>
      <w:r w:rsidR="00535046">
        <w:t>s</w:t>
      </w:r>
      <w:r>
        <w:t>ed through</w:t>
      </w:r>
      <w:r w:rsidR="0070218A">
        <w:t xml:space="preserve"> a</w:t>
      </w:r>
      <w:r w:rsidR="0070218A" w:rsidRPr="0070218A">
        <w:t xml:space="preserve"> </w:t>
      </w:r>
      <w:r w:rsidR="00587074">
        <w:t xml:space="preserve">configurative </w:t>
      </w:r>
      <w:r w:rsidR="0070218A" w:rsidRPr="00CB43F9">
        <w:t>systematic review</w:t>
      </w:r>
      <w:r w:rsidR="0070218A">
        <w:t xml:space="preserve"> on</w:t>
      </w:r>
      <w:r w:rsidR="0070218A" w:rsidRPr="00CB43F9">
        <w:t xml:space="preserve"> key components </w:t>
      </w:r>
      <w:r w:rsidR="0023161D">
        <w:t>when using MaCMs in TE</w:t>
      </w:r>
      <w:r w:rsidR="0033149C">
        <w:t xml:space="preserve">, based on </w:t>
      </w:r>
      <w:r>
        <w:t>the research questions</w:t>
      </w:r>
      <w:r w:rsidR="00A0086D">
        <w:t>:</w:t>
      </w:r>
    </w:p>
    <w:p w14:paraId="13B9A00C" w14:textId="34654CB3" w:rsidR="0057197E" w:rsidRDefault="001A0187" w:rsidP="0063033C">
      <w:pPr>
        <w:ind w:firstLine="0"/>
      </w:pPr>
      <w:r>
        <w:t xml:space="preserve">When using mathematics curriculum materials in teacher education, </w:t>
      </w:r>
    </w:p>
    <w:p w14:paraId="533D9831" w14:textId="27D07395" w:rsidR="0057197E" w:rsidRDefault="005F1CF1" w:rsidP="0063033C">
      <w:pPr>
        <w:pStyle w:val="Liststycke"/>
        <w:tabs>
          <w:tab w:val="left" w:pos="993"/>
        </w:tabs>
        <w:ind w:left="284" w:hanging="284"/>
      </w:pPr>
      <w:r>
        <w:t>1</w:t>
      </w:r>
      <w:r w:rsidR="0057197E">
        <w:t>) What activities are implemented, and what do prospective teachers learn from</w:t>
      </w:r>
      <w:r w:rsidR="00EC0BD1">
        <w:t xml:space="preserve"> </w:t>
      </w:r>
      <w:r w:rsidR="0057197E">
        <w:t xml:space="preserve">them? </w:t>
      </w:r>
    </w:p>
    <w:p w14:paraId="7D04739A" w14:textId="7ECF420D" w:rsidR="0057197E" w:rsidRDefault="005F1CF1" w:rsidP="0063033C">
      <w:pPr>
        <w:pStyle w:val="Liststycke"/>
        <w:tabs>
          <w:tab w:val="left" w:pos="993"/>
        </w:tabs>
        <w:ind w:left="284" w:hanging="284"/>
      </w:pPr>
      <w:r>
        <w:t>2</w:t>
      </w:r>
      <w:r w:rsidR="0057197E">
        <w:t>) What theoretical constructs are used?</w:t>
      </w:r>
    </w:p>
    <w:p w14:paraId="2ED3D90D" w14:textId="79CB542B" w:rsidR="0057197E" w:rsidRDefault="005F1CF1" w:rsidP="0063033C">
      <w:pPr>
        <w:pStyle w:val="Liststycke"/>
        <w:tabs>
          <w:tab w:val="left" w:pos="993"/>
        </w:tabs>
        <w:ind w:left="284" w:hanging="284"/>
      </w:pPr>
      <w:r>
        <w:t>3</w:t>
      </w:r>
      <w:r w:rsidR="0057197E">
        <w:t>) What are the main research findings and conclusions?</w:t>
      </w:r>
    </w:p>
    <w:p w14:paraId="65D225AC" w14:textId="1DF03100" w:rsidR="00CF7037" w:rsidRDefault="00F84868" w:rsidP="00573879">
      <w:pPr>
        <w:pStyle w:val="Liststycke"/>
        <w:tabs>
          <w:tab w:val="left" w:pos="993"/>
        </w:tabs>
        <w:ind w:left="0" w:firstLine="0"/>
      </w:pPr>
      <w:r>
        <w:t xml:space="preserve">The themes of the research questions </w:t>
      </w:r>
      <w:r w:rsidR="00812F38">
        <w:t>constitute</w:t>
      </w:r>
      <w:r w:rsidR="006C3AB7">
        <w:t xml:space="preserve"> </w:t>
      </w:r>
      <w:r w:rsidR="00DF435B">
        <w:t>crucial aspects</w:t>
      </w:r>
      <w:r w:rsidR="001D3E0A">
        <w:t xml:space="preserve"> for developing</w:t>
      </w:r>
      <w:r w:rsidR="00573879">
        <w:t xml:space="preserve"> a</w:t>
      </w:r>
      <w:r w:rsidR="00B70292">
        <w:t>n actionable</w:t>
      </w:r>
      <w:r w:rsidR="00573879">
        <w:t xml:space="preserve"> model</w:t>
      </w:r>
      <w:r w:rsidR="00E74C71">
        <w:t xml:space="preserve"> </w:t>
      </w:r>
      <w:r w:rsidR="002D089C">
        <w:t>for</w:t>
      </w:r>
      <w:r w:rsidR="00E74C71">
        <w:t xml:space="preserve"> </w:t>
      </w:r>
      <w:r w:rsidR="00D80CA6">
        <w:t>support</w:t>
      </w:r>
      <w:r w:rsidR="002D089C">
        <w:t>ing</w:t>
      </w:r>
      <w:r w:rsidR="00573879">
        <w:t xml:space="preserve"> </w:t>
      </w:r>
      <w:r w:rsidR="00D80CA6">
        <w:t>teacher educators</w:t>
      </w:r>
      <w:r w:rsidR="001D3E0A">
        <w:t xml:space="preserve"> in implementing MaCMs in TE.</w:t>
      </w:r>
    </w:p>
    <w:p w14:paraId="01BA830A" w14:textId="0BF7214F" w:rsidR="00164A56" w:rsidRDefault="00164A56" w:rsidP="00271AF6">
      <w:pPr>
        <w:pStyle w:val="Rubrik2"/>
      </w:pPr>
      <w:r>
        <w:lastRenderedPageBreak/>
        <w:t>Terminology</w:t>
      </w:r>
    </w:p>
    <w:p w14:paraId="3375A05C" w14:textId="4C6F7DB5" w:rsidR="00D9659C" w:rsidRPr="00D9659C" w:rsidRDefault="00B24317" w:rsidP="00D9659C">
      <w:pPr>
        <w:pStyle w:val="Brdtext"/>
      </w:pPr>
      <w:r w:rsidRPr="001F3978">
        <w:rPr>
          <w:lang w:val="en-US"/>
        </w:rPr>
        <w:t>This study includes</w:t>
      </w:r>
      <w:r>
        <w:rPr>
          <w:lang w:val="en-US"/>
        </w:rPr>
        <w:t xml:space="preserve"> research on the use of curriculum materials such as</w:t>
      </w:r>
      <w:r w:rsidRPr="001F3978">
        <w:rPr>
          <w:lang w:val="en-US"/>
        </w:rPr>
        <w:t xml:space="preserve"> textbooks, teacher guides, and their digital equivalents</w:t>
      </w:r>
      <w:r>
        <w:rPr>
          <w:lang w:val="en-US"/>
        </w:rPr>
        <w:t xml:space="preserve"> in TE. </w:t>
      </w:r>
      <w:r w:rsidRPr="001F3978">
        <w:rPr>
          <w:lang w:val="en-US"/>
        </w:rPr>
        <w:t xml:space="preserve">Remillard and Kim (2020) define curriculum materials as “a set of resources, those designed to support a program of instruction and student learning over time” (p. 3). </w:t>
      </w:r>
      <w:r w:rsidR="00FD406C">
        <w:rPr>
          <w:lang w:val="en-US"/>
        </w:rPr>
        <w:t>F</w:t>
      </w:r>
      <w:r w:rsidRPr="001F3978">
        <w:rPr>
          <w:lang w:val="en-US"/>
        </w:rPr>
        <w:t xml:space="preserve">or the purposes of this paper, the term MaCMs refers to “textbooks, teacher guides, and </w:t>
      </w:r>
      <w:r w:rsidR="00700D50">
        <w:rPr>
          <w:lang w:val="en-US"/>
        </w:rPr>
        <w:t xml:space="preserve">their </w:t>
      </w:r>
      <w:r w:rsidRPr="001F3978">
        <w:rPr>
          <w:lang w:val="en-US"/>
        </w:rPr>
        <w:t>digital equivalents designed to support a program</w:t>
      </w:r>
      <w:r w:rsidR="00AF5F0A">
        <w:rPr>
          <w:lang w:val="en-US"/>
        </w:rPr>
        <w:t>me</w:t>
      </w:r>
      <w:r w:rsidRPr="001F3978">
        <w:rPr>
          <w:lang w:val="en-US"/>
        </w:rPr>
        <w:t xml:space="preserve"> of mathematical teaching and learning over time.”</w:t>
      </w:r>
    </w:p>
    <w:p w14:paraId="698782E6" w14:textId="79A9CA15" w:rsidR="00271AF6" w:rsidRDefault="00271AF6" w:rsidP="00271AF6">
      <w:pPr>
        <w:pStyle w:val="Rubrik2"/>
      </w:pPr>
      <w:r>
        <w:t>Background</w:t>
      </w:r>
    </w:p>
    <w:p w14:paraId="5C088BF7" w14:textId="77ACC207" w:rsidR="00266FF6" w:rsidRDefault="009D3556" w:rsidP="002070AE">
      <w:pPr>
        <w:pStyle w:val="Brdtext"/>
      </w:pPr>
      <w:r>
        <w:t>R</w:t>
      </w:r>
      <w:r w:rsidR="00D90B04">
        <w:t>ese</w:t>
      </w:r>
      <w:r w:rsidR="00483CA2">
        <w:t xml:space="preserve">arch </w:t>
      </w:r>
      <w:r>
        <w:t>has consistently</w:t>
      </w:r>
      <w:r w:rsidR="00961382">
        <w:t xml:space="preserve"> shown</w:t>
      </w:r>
      <w:r w:rsidR="001C2AFF">
        <w:t xml:space="preserve"> </w:t>
      </w:r>
      <w:r w:rsidR="005C49D0">
        <w:t xml:space="preserve">that </w:t>
      </w:r>
      <w:r w:rsidR="00561C09">
        <w:t>MaCMs</w:t>
      </w:r>
      <w:r w:rsidR="00AC6FBF">
        <w:t xml:space="preserve"> </w:t>
      </w:r>
      <w:r w:rsidR="005C49D0">
        <w:t>have a</w:t>
      </w:r>
      <w:r w:rsidR="002A43DB">
        <w:t xml:space="preserve"> significant impact </w:t>
      </w:r>
      <w:r w:rsidR="00FD0E0A">
        <w:t xml:space="preserve">on </w:t>
      </w:r>
      <w:r w:rsidR="002A43DB">
        <w:t>mathematics teaching.</w:t>
      </w:r>
      <w:r w:rsidR="00B37E87">
        <w:t xml:space="preserve"> They </w:t>
      </w:r>
      <w:r w:rsidR="00367A3A">
        <w:t>are</w:t>
      </w:r>
      <w:r w:rsidR="00561C09">
        <w:t xml:space="preserve"> teachers’ </w:t>
      </w:r>
      <w:r w:rsidR="00367A3A">
        <w:t>primary</w:t>
      </w:r>
      <w:r w:rsidR="00561C09">
        <w:t xml:space="preserve"> resource for planning and e</w:t>
      </w:r>
      <w:r w:rsidR="000F6125">
        <w:t>stablishing classroom practice</w:t>
      </w:r>
      <w:r w:rsidR="00A82BEB">
        <w:t xml:space="preserve"> (</w:t>
      </w:r>
      <w:r w:rsidR="00F6369D">
        <w:t>e.g.</w:t>
      </w:r>
      <w:r w:rsidR="008F5492">
        <w:t xml:space="preserve"> Choppin et al., 2022; Fan et al., 2021</w:t>
      </w:r>
      <w:r w:rsidR="0092666D">
        <w:t>)</w:t>
      </w:r>
      <w:r w:rsidR="00BD52B3">
        <w:t>, op</w:t>
      </w:r>
      <w:r w:rsidR="00FF28A3">
        <w:t>erationali</w:t>
      </w:r>
      <w:r w:rsidR="00D50CF8">
        <w:t>s</w:t>
      </w:r>
      <w:r w:rsidR="00FF28A3">
        <w:t>e steering documents (</w:t>
      </w:r>
      <w:r w:rsidR="00555679">
        <w:t>e.g. Choppin et al., 2022)</w:t>
      </w:r>
      <w:r w:rsidR="00B066BB">
        <w:t>, shaping</w:t>
      </w:r>
      <w:r w:rsidR="00555679">
        <w:t xml:space="preserve"> teachers</w:t>
      </w:r>
      <w:r w:rsidR="00E231B2">
        <w:t>’</w:t>
      </w:r>
      <w:r w:rsidR="00555679">
        <w:t xml:space="preserve"> teach</w:t>
      </w:r>
      <w:r w:rsidR="000F78E4">
        <w:t>ing</w:t>
      </w:r>
      <w:r w:rsidR="00555679">
        <w:t xml:space="preserve"> and students</w:t>
      </w:r>
      <w:r w:rsidR="00E231B2">
        <w:t>’</w:t>
      </w:r>
      <w:r w:rsidR="00555679">
        <w:t xml:space="preserve"> learn</w:t>
      </w:r>
      <w:r w:rsidR="000F78E4">
        <w:t>ing</w:t>
      </w:r>
      <w:r w:rsidR="00555679">
        <w:t xml:space="preserve"> (Reys et al., 2004)</w:t>
      </w:r>
      <w:r w:rsidR="00CD4137">
        <w:t xml:space="preserve"> and thus still</w:t>
      </w:r>
      <w:r w:rsidR="00380893">
        <w:t xml:space="preserve"> </w:t>
      </w:r>
      <w:r w:rsidR="002740D3">
        <w:rPr>
          <w:lang w:val="en-US"/>
        </w:rPr>
        <w:t xml:space="preserve">have a reach in the system to </w:t>
      </w:r>
      <w:r w:rsidR="002740D3" w:rsidRPr="00564DD8">
        <w:rPr>
          <w:lang w:val="en-US"/>
        </w:rPr>
        <w:t>exert a pervasive influence on teachers’ daily practices</w:t>
      </w:r>
      <w:r w:rsidR="002740D3">
        <w:rPr>
          <w:lang w:val="en-US"/>
        </w:rPr>
        <w:t>, as Ball and Cohen (1996) noted already 30 years ago</w:t>
      </w:r>
      <w:r w:rsidR="00A70319">
        <w:rPr>
          <w:lang w:val="en-US"/>
        </w:rPr>
        <w:t>.</w:t>
      </w:r>
    </w:p>
    <w:p w14:paraId="7E28A5B8" w14:textId="5D0CACE6" w:rsidR="00625A77" w:rsidRDefault="00266FF6" w:rsidP="005653A3">
      <w:r>
        <w:t>R</w:t>
      </w:r>
      <w:r w:rsidR="00D2347D">
        <w:t>ecent</w:t>
      </w:r>
      <w:r w:rsidR="00652603">
        <w:t xml:space="preserve"> </w:t>
      </w:r>
      <w:r w:rsidR="00042495">
        <w:t>reviews</w:t>
      </w:r>
      <w:r w:rsidR="00D95370">
        <w:t xml:space="preserve"> </w:t>
      </w:r>
      <w:r w:rsidR="00857554">
        <w:t xml:space="preserve">on MaCMs </w:t>
      </w:r>
      <w:r w:rsidR="00D95370">
        <w:t xml:space="preserve">have highlighted various perspectives </w:t>
      </w:r>
      <w:r w:rsidR="00767117">
        <w:t>such as</w:t>
      </w:r>
      <w:r w:rsidR="00767117" w:rsidRPr="00767117">
        <w:t xml:space="preserve"> </w:t>
      </w:r>
      <w:r w:rsidR="00767117">
        <w:t xml:space="preserve">the intended, enacted and attained curriculum </w:t>
      </w:r>
      <w:r w:rsidR="00593ABF">
        <w:t>(</w:t>
      </w:r>
      <w:r w:rsidR="00255F36">
        <w:t>Lloyd et al</w:t>
      </w:r>
      <w:r w:rsidR="002E5E58">
        <w:t>.</w:t>
      </w:r>
      <w:r w:rsidR="00593ABF">
        <w:t xml:space="preserve">, </w:t>
      </w:r>
      <w:r w:rsidR="00255F36">
        <w:t>2017)</w:t>
      </w:r>
      <w:r w:rsidR="005E433E">
        <w:t>,</w:t>
      </w:r>
      <w:r w:rsidR="00962538">
        <w:t xml:space="preserve"> </w:t>
      </w:r>
      <w:r w:rsidR="00CC2A59">
        <w:t>teacher interaction with resources, teachers collective work through resources, interaction teacher/pupils through resources and pupils and teachers learning from MaCMs</w:t>
      </w:r>
      <w:r w:rsidR="0034077F">
        <w:t xml:space="preserve"> </w:t>
      </w:r>
      <w:r w:rsidR="00CC2A59">
        <w:t>(</w:t>
      </w:r>
      <w:r w:rsidR="0034077F">
        <w:t>Fan et al</w:t>
      </w:r>
      <w:r w:rsidR="007D5B49">
        <w:t xml:space="preserve">., </w:t>
      </w:r>
      <w:r w:rsidR="00F8507C">
        <w:t>2018)</w:t>
      </w:r>
      <w:r w:rsidR="005E433E">
        <w:t xml:space="preserve"> and</w:t>
      </w:r>
      <w:r w:rsidR="00D773AE">
        <w:t xml:space="preserve"> a focus on</w:t>
      </w:r>
      <w:r w:rsidR="00AE5919">
        <w:t xml:space="preserve"> what teachers’ guides should provide for being educative rather than merely instructive manuals</w:t>
      </w:r>
      <w:r w:rsidR="00E55149">
        <w:t xml:space="preserve"> </w:t>
      </w:r>
      <w:r w:rsidR="00AE5919">
        <w:t>(</w:t>
      </w:r>
      <w:r w:rsidR="004C6653">
        <w:t>Bu</w:t>
      </w:r>
      <w:r w:rsidR="0078250D">
        <w:t>c</w:t>
      </w:r>
      <w:r w:rsidR="004C6653">
        <w:t>h et al.</w:t>
      </w:r>
      <w:r w:rsidR="00AE5919">
        <w:t xml:space="preserve">, </w:t>
      </w:r>
      <w:r w:rsidR="004C6653">
        <w:t>2022)</w:t>
      </w:r>
      <w:r w:rsidR="000742C0">
        <w:t>.</w:t>
      </w:r>
      <w:r w:rsidR="001900E6">
        <w:t xml:space="preserve"> </w:t>
      </w:r>
      <w:proofErr w:type="spellStart"/>
      <w:r w:rsidR="00DE7660">
        <w:t>Rezat</w:t>
      </w:r>
      <w:proofErr w:type="spellEnd"/>
      <w:r w:rsidR="00DE7660">
        <w:t xml:space="preserve"> (2024)</w:t>
      </w:r>
      <w:r w:rsidR="005F57DB">
        <w:t xml:space="preserve"> </w:t>
      </w:r>
      <w:r w:rsidR="00BF7FE6">
        <w:t xml:space="preserve">categorizes </w:t>
      </w:r>
      <w:r w:rsidR="005F57DB">
        <w:t xml:space="preserve">the field of research on </w:t>
      </w:r>
      <w:r w:rsidR="00065F52">
        <w:t xml:space="preserve">curriculum resources in mathematics education </w:t>
      </w:r>
      <w:r w:rsidR="001D1A05">
        <w:t>into</w:t>
      </w:r>
      <w:r w:rsidR="00E8397C">
        <w:t xml:space="preserve"> seven areas: </w:t>
      </w:r>
      <w:r w:rsidR="00644DBB">
        <w:t>the role of</w:t>
      </w:r>
      <w:r w:rsidR="0035167E">
        <w:t xml:space="preserve"> curriculum resources, content analysis</w:t>
      </w:r>
      <w:r w:rsidR="009F25AE">
        <w:t>, user studies, effects of resources</w:t>
      </w:r>
      <w:r w:rsidR="001B4598">
        <w:t>, design of resources, curriculum resources as data and reviews.</w:t>
      </w:r>
      <w:r w:rsidR="004C27D4">
        <w:t xml:space="preserve"> However, despi</w:t>
      </w:r>
      <w:r w:rsidR="005D2843">
        <w:t>te</w:t>
      </w:r>
      <w:r w:rsidR="008A48F7">
        <w:t xml:space="preserve"> research advocating for MaCM inclusion in TE (e.g. Ben-Peretz, 1984;</w:t>
      </w:r>
      <w:r w:rsidR="008A48F7" w:rsidRPr="005653A3">
        <w:t xml:space="preserve"> </w:t>
      </w:r>
      <w:r w:rsidR="008A48F7">
        <w:t>Drake et al., 2014) and</w:t>
      </w:r>
      <w:r w:rsidR="005D2843">
        <w:t xml:space="preserve"> the </w:t>
      </w:r>
      <w:r w:rsidR="00A016C0">
        <w:t>brea</w:t>
      </w:r>
      <w:r w:rsidR="007F3283">
        <w:t xml:space="preserve">dth </w:t>
      </w:r>
      <w:r w:rsidR="005D2843">
        <w:t xml:space="preserve">of these </w:t>
      </w:r>
      <w:r w:rsidR="007F3283">
        <w:t>review</w:t>
      </w:r>
      <w:r w:rsidR="0037047A">
        <w:t>s</w:t>
      </w:r>
      <w:r w:rsidR="000F4DA5">
        <w:t xml:space="preserve">, </w:t>
      </w:r>
      <w:r w:rsidR="00B174A0">
        <w:t>none of them</w:t>
      </w:r>
      <w:r w:rsidR="00583282">
        <w:t xml:space="preserve"> has</w:t>
      </w:r>
      <w:r w:rsidR="00B174A0">
        <w:t xml:space="preserve"> </w:t>
      </w:r>
      <w:r w:rsidR="00BF0AA0">
        <w:t>address</w:t>
      </w:r>
      <w:r w:rsidR="00ED6D07">
        <w:t>e</w:t>
      </w:r>
      <w:r w:rsidR="00583282">
        <w:t>d</w:t>
      </w:r>
      <w:r w:rsidR="007B61F3">
        <w:t xml:space="preserve"> </w:t>
      </w:r>
      <w:r w:rsidR="00651639">
        <w:t>the use of</w:t>
      </w:r>
      <w:r w:rsidR="007B61F3">
        <w:t xml:space="preserve"> MaCMs in TE. </w:t>
      </w:r>
      <w:r w:rsidR="000948FB">
        <w:t>This supports</w:t>
      </w:r>
      <w:r w:rsidR="005C2AE4">
        <w:t xml:space="preserve"> Remillard</w:t>
      </w:r>
      <w:r w:rsidR="00BF0AA0">
        <w:t>’s</w:t>
      </w:r>
      <w:r w:rsidR="005C2AE4">
        <w:t xml:space="preserve"> (2016) </w:t>
      </w:r>
      <w:r w:rsidR="00BF0AA0">
        <w:t>assertion</w:t>
      </w:r>
      <w:r w:rsidR="00EA0176">
        <w:t xml:space="preserve"> that</w:t>
      </w:r>
      <w:r w:rsidR="007D5A32">
        <w:t xml:space="preserve"> teachers are rarely taught how to interpret and effectively use MaCMs</w:t>
      </w:r>
      <w:r w:rsidR="005558B9">
        <w:t>, which is contradictory</w:t>
      </w:r>
      <w:r w:rsidR="006D22CE">
        <w:t xml:space="preserve"> to the</w:t>
      </w:r>
      <w:r w:rsidR="003E4E76">
        <w:t>ir</w:t>
      </w:r>
      <w:r w:rsidR="006D22CE">
        <w:t xml:space="preserve"> w</w:t>
      </w:r>
      <w:r w:rsidR="00D337A1">
        <w:t>idespread</w:t>
      </w:r>
      <w:r w:rsidR="006D22CE">
        <w:t xml:space="preserve"> use</w:t>
      </w:r>
      <w:r w:rsidR="00577BB6">
        <w:t>.</w:t>
      </w:r>
    </w:p>
    <w:p w14:paraId="7D5CD09D" w14:textId="45F1C957" w:rsidR="00C27206" w:rsidRPr="00C27206" w:rsidRDefault="00805FEC" w:rsidP="00B41A92">
      <w:r>
        <w:t>R</w:t>
      </w:r>
      <w:r w:rsidR="00F0321D">
        <w:t xml:space="preserve">esearch </w:t>
      </w:r>
      <w:r>
        <w:t>suggests</w:t>
      </w:r>
      <w:r w:rsidR="00F0321D">
        <w:t xml:space="preserve"> </w:t>
      </w:r>
      <w:r w:rsidR="0090289F">
        <w:t>that</w:t>
      </w:r>
      <w:r w:rsidR="00F0321D">
        <w:t xml:space="preserve"> teacher knowledge</w:t>
      </w:r>
      <w:r w:rsidR="005A56EE">
        <w:t xml:space="preserve"> can</w:t>
      </w:r>
      <w:r w:rsidR="00F0321D">
        <w:t xml:space="preserve"> grow</w:t>
      </w:r>
      <w:r w:rsidR="0090289F">
        <w:t xml:space="preserve"> </w:t>
      </w:r>
      <w:r w:rsidR="00280583">
        <w:t>through</w:t>
      </w:r>
      <w:r w:rsidR="00F0321D">
        <w:t xml:space="preserve"> </w:t>
      </w:r>
      <w:r w:rsidR="00C2439E">
        <w:t>MaCM use</w:t>
      </w:r>
      <w:r w:rsidR="00280583">
        <w:t>,</w:t>
      </w:r>
      <w:r w:rsidR="00F85C30">
        <w:t xml:space="preserve"> depending on the </w:t>
      </w:r>
      <w:r w:rsidR="00AD70B6">
        <w:t>material</w:t>
      </w:r>
      <w:r w:rsidR="00C56564">
        <w:t xml:space="preserve">’s </w:t>
      </w:r>
      <w:r w:rsidR="00F85C30">
        <w:t>design</w:t>
      </w:r>
      <w:r w:rsidR="0089200C">
        <w:t>, t</w:t>
      </w:r>
      <w:r w:rsidR="00C56564">
        <w:t>he</w:t>
      </w:r>
      <w:r w:rsidR="0089200C">
        <w:t xml:space="preserve"> support</w:t>
      </w:r>
      <w:r w:rsidR="00995486">
        <w:t xml:space="preserve"> </w:t>
      </w:r>
      <w:r w:rsidR="00C56564">
        <w:t>provided</w:t>
      </w:r>
      <w:r w:rsidR="008E310F">
        <w:t xml:space="preserve"> </w:t>
      </w:r>
      <w:r w:rsidR="00995486">
        <w:t xml:space="preserve">for how to </w:t>
      </w:r>
      <w:r w:rsidR="00BE117C">
        <w:t xml:space="preserve">understand and use </w:t>
      </w:r>
      <w:r w:rsidR="00B81450">
        <w:t>them</w:t>
      </w:r>
      <w:r w:rsidR="0089200C">
        <w:t xml:space="preserve"> and teachers’ capacity</w:t>
      </w:r>
      <w:r w:rsidR="00323A95">
        <w:t xml:space="preserve"> to read and interpret </w:t>
      </w:r>
      <w:r w:rsidR="00394A7E">
        <w:t>it</w:t>
      </w:r>
      <w:r w:rsidR="00C2439E">
        <w:t xml:space="preserve"> (</w:t>
      </w:r>
      <w:r w:rsidR="00323A95">
        <w:t>e.g. Davis et al., 2017</w:t>
      </w:r>
      <w:r w:rsidR="0029537C">
        <w:t>; Ku &amp; Lee, 2020;</w:t>
      </w:r>
      <w:r w:rsidR="00A92862">
        <w:t xml:space="preserve"> Li &amp; Harfitt, 2018; Remillard &amp; Kim</w:t>
      </w:r>
      <w:r w:rsidR="0053772F">
        <w:t>, 2017).</w:t>
      </w:r>
      <w:r w:rsidR="008365BA">
        <w:t xml:space="preserve"> </w:t>
      </w:r>
      <w:r w:rsidR="00691261">
        <w:t>Also, t</w:t>
      </w:r>
      <w:r w:rsidR="00C559CA">
        <w:t xml:space="preserve">eachers’ </w:t>
      </w:r>
      <w:r w:rsidR="006A20C0">
        <w:t>ability</w:t>
      </w:r>
      <w:r w:rsidR="00C559CA">
        <w:t xml:space="preserve"> to</w:t>
      </w:r>
      <w:r w:rsidR="00744809">
        <w:t xml:space="preserve"> interpret MaCMs</w:t>
      </w:r>
      <w:r w:rsidR="00366D54">
        <w:t xml:space="preserve"> </w:t>
      </w:r>
      <w:r w:rsidR="000647BC">
        <w:t>–</w:t>
      </w:r>
      <w:r w:rsidR="00744809">
        <w:t xml:space="preserve"> and thus le</w:t>
      </w:r>
      <w:r w:rsidR="0033082E">
        <w:t>arn from them</w:t>
      </w:r>
      <w:r w:rsidR="00366D54">
        <w:t xml:space="preserve"> – can be enhanced</w:t>
      </w:r>
      <w:r w:rsidR="00650E97">
        <w:t xml:space="preserve"> through </w:t>
      </w:r>
      <w:r w:rsidR="007E5C49">
        <w:t>deliberate implementation</w:t>
      </w:r>
      <w:r w:rsidR="006412CE">
        <w:t xml:space="preserve"> in TE</w:t>
      </w:r>
      <w:r w:rsidR="00314D75">
        <w:t xml:space="preserve"> (Ben-Peretz, 1984; Drake et al., 2014)</w:t>
      </w:r>
      <w:r w:rsidR="00677BB7">
        <w:t>.</w:t>
      </w:r>
      <w:r w:rsidR="006412CE">
        <w:t xml:space="preserve"> </w:t>
      </w:r>
      <w:r w:rsidR="00C95CBE">
        <w:t>In Sweden, a</w:t>
      </w:r>
      <w:r w:rsidR="0063461A">
        <w:t xml:space="preserve"> </w:t>
      </w:r>
      <w:r w:rsidR="007A45ED">
        <w:t xml:space="preserve">national </w:t>
      </w:r>
      <w:r w:rsidR="0063461A">
        <w:t>TE</w:t>
      </w:r>
      <w:r w:rsidR="00816470">
        <w:t xml:space="preserve"> graduation</w:t>
      </w:r>
      <w:r w:rsidR="00C5796E">
        <w:t xml:space="preserve"> requirement</w:t>
      </w:r>
      <w:r w:rsidR="0063461A">
        <w:t xml:space="preserve"> was introduced </w:t>
      </w:r>
      <w:r w:rsidR="00060B70">
        <w:t>on</w:t>
      </w:r>
      <w:r w:rsidR="0063461A">
        <w:t xml:space="preserve"> </w:t>
      </w:r>
      <w:r w:rsidR="00C5796E">
        <w:t xml:space="preserve">1 </w:t>
      </w:r>
      <w:r w:rsidR="0063461A">
        <w:t>July 2024</w:t>
      </w:r>
      <w:r w:rsidR="007A45ED">
        <w:t xml:space="preserve">, </w:t>
      </w:r>
      <w:r w:rsidR="004E2340">
        <w:t>s</w:t>
      </w:r>
      <w:r w:rsidR="000E2879">
        <w:t>tating that</w:t>
      </w:r>
      <w:r w:rsidR="00363B18">
        <w:t xml:space="preserve"> PTs should</w:t>
      </w:r>
      <w:r w:rsidR="004E2340">
        <w:t xml:space="preserve"> </w:t>
      </w:r>
      <w:r w:rsidR="004E2340" w:rsidRPr="001F6A82">
        <w:t>“</w:t>
      </w:r>
      <w:r w:rsidR="001F6A82" w:rsidRPr="001F6A82">
        <w:t>demonstrate the ability to use and evaluate textbooks, other teaching materials and other learning tools” (</w:t>
      </w:r>
      <w:r w:rsidR="00280684">
        <w:t>SFS</w:t>
      </w:r>
      <w:r w:rsidR="00C274A1">
        <w:t xml:space="preserve"> </w:t>
      </w:r>
      <w:r w:rsidR="00C274A1" w:rsidRPr="00C274A1">
        <w:t>1993:100</w:t>
      </w:r>
      <w:r w:rsidR="00E252C2">
        <w:t>,</w:t>
      </w:r>
      <w:r w:rsidR="001F6A82" w:rsidRPr="001F6A82">
        <w:t xml:space="preserve"> </w:t>
      </w:r>
      <w:r w:rsidR="00F24E45">
        <w:t>author’s</w:t>
      </w:r>
      <w:r w:rsidR="001F6A82" w:rsidRPr="001F6A82">
        <w:t xml:space="preserve"> translation)</w:t>
      </w:r>
      <w:r w:rsidR="00A8515E">
        <w:t xml:space="preserve">. </w:t>
      </w:r>
      <w:r w:rsidR="00F24E45">
        <w:t xml:space="preserve">Given </w:t>
      </w:r>
      <w:r w:rsidR="003262C9">
        <w:t>the i</w:t>
      </w:r>
      <w:r w:rsidR="00F24E45">
        <w:t>nfluence</w:t>
      </w:r>
      <w:r w:rsidR="00C61310">
        <w:t xml:space="preserve"> of MaCMs </w:t>
      </w:r>
      <w:r w:rsidR="00390A69">
        <w:t>o</w:t>
      </w:r>
      <w:r w:rsidR="00C61310">
        <w:t>n mathematics teaching</w:t>
      </w:r>
      <w:r w:rsidR="00ED6A5D">
        <w:t xml:space="preserve"> and t</w:t>
      </w:r>
      <w:r w:rsidR="00390A69">
        <w:t>heir</w:t>
      </w:r>
      <w:r w:rsidR="00ED6A5D">
        <w:t xml:space="preserve"> potential</w:t>
      </w:r>
      <w:r w:rsidR="00390A69">
        <w:t xml:space="preserve"> to support</w:t>
      </w:r>
      <w:r w:rsidR="00ED6A5D">
        <w:t xml:space="preserve"> continuous </w:t>
      </w:r>
      <w:r w:rsidR="005770A6">
        <w:t xml:space="preserve">teacher </w:t>
      </w:r>
      <w:r w:rsidR="00ED6A5D">
        <w:t>learning</w:t>
      </w:r>
      <w:r w:rsidR="00C61310">
        <w:t xml:space="preserve">, this </w:t>
      </w:r>
      <w:r w:rsidR="00A57462">
        <w:t>requirement</w:t>
      </w:r>
      <w:r w:rsidR="00C52EF2">
        <w:t xml:space="preserve"> is of </w:t>
      </w:r>
      <w:proofErr w:type="gramStart"/>
      <w:r w:rsidR="00C52EF2">
        <w:t xml:space="preserve">particular </w:t>
      </w:r>
      <w:r w:rsidR="00B257F4">
        <w:t>relevance</w:t>
      </w:r>
      <w:proofErr w:type="gramEnd"/>
      <w:r w:rsidR="00C52EF2">
        <w:t xml:space="preserve"> for mathematics</w:t>
      </w:r>
      <w:r w:rsidR="00B257F4">
        <w:t xml:space="preserve"> education</w:t>
      </w:r>
      <w:r w:rsidR="00F56F3F">
        <w:t xml:space="preserve"> and </w:t>
      </w:r>
      <w:r w:rsidR="00546DBD">
        <w:rPr>
          <w:lang w:val="en-US"/>
        </w:rPr>
        <w:t xml:space="preserve">universities </w:t>
      </w:r>
      <w:r w:rsidR="008F2FC3">
        <w:rPr>
          <w:lang w:val="en-US"/>
        </w:rPr>
        <w:t>should</w:t>
      </w:r>
      <w:r w:rsidR="00655FC4" w:rsidRPr="00655FC4">
        <w:rPr>
          <w:lang w:val="en-US"/>
        </w:rPr>
        <w:t xml:space="preserve"> be </w:t>
      </w:r>
      <w:r w:rsidR="008546B6">
        <w:rPr>
          <w:lang w:val="en-US"/>
        </w:rPr>
        <w:t>supported</w:t>
      </w:r>
      <w:r w:rsidR="00EA1D67">
        <w:rPr>
          <w:lang w:val="en-US"/>
        </w:rPr>
        <w:t xml:space="preserve"> by</w:t>
      </w:r>
      <w:r w:rsidR="00655FC4" w:rsidRPr="00655FC4">
        <w:rPr>
          <w:lang w:val="en-US"/>
        </w:rPr>
        <w:t xml:space="preserve"> </w:t>
      </w:r>
      <w:r w:rsidR="00E33B6F">
        <w:rPr>
          <w:lang w:val="en-US"/>
        </w:rPr>
        <w:t>research</w:t>
      </w:r>
      <w:r w:rsidR="008546B6">
        <w:rPr>
          <w:lang w:val="en-US"/>
        </w:rPr>
        <w:t>-based</w:t>
      </w:r>
      <w:r w:rsidR="000A53A6">
        <w:rPr>
          <w:lang w:val="en-US"/>
        </w:rPr>
        <w:t xml:space="preserve"> arguments for its relevance</w:t>
      </w:r>
      <w:r w:rsidR="00A36CC3">
        <w:rPr>
          <w:lang w:val="en-US"/>
        </w:rPr>
        <w:t xml:space="preserve"> and</w:t>
      </w:r>
      <w:r w:rsidR="00772BA1">
        <w:rPr>
          <w:lang w:val="en-US"/>
        </w:rPr>
        <w:t xml:space="preserve"> provided</w:t>
      </w:r>
      <w:r w:rsidR="0001283A">
        <w:rPr>
          <w:lang w:val="en-US"/>
        </w:rPr>
        <w:t xml:space="preserve"> </w:t>
      </w:r>
      <w:r w:rsidR="009A7CEF">
        <w:rPr>
          <w:lang w:val="en-US"/>
        </w:rPr>
        <w:t>with</w:t>
      </w:r>
      <w:r w:rsidR="00493CEF">
        <w:rPr>
          <w:lang w:val="en-US"/>
        </w:rPr>
        <w:t xml:space="preserve"> guidance</w:t>
      </w:r>
      <w:r w:rsidR="00A44905">
        <w:rPr>
          <w:lang w:val="en-US"/>
        </w:rPr>
        <w:t xml:space="preserve"> </w:t>
      </w:r>
      <w:r w:rsidR="009A7CEF">
        <w:rPr>
          <w:lang w:val="en-US"/>
        </w:rPr>
        <w:t>o</w:t>
      </w:r>
      <w:r w:rsidR="00A44905">
        <w:rPr>
          <w:lang w:val="en-US"/>
        </w:rPr>
        <w:t>n what to include and</w:t>
      </w:r>
      <w:r w:rsidR="00546DBD">
        <w:rPr>
          <w:lang w:val="en-US"/>
        </w:rPr>
        <w:t xml:space="preserve"> </w:t>
      </w:r>
      <w:r w:rsidR="00553F4B">
        <w:rPr>
          <w:lang w:val="en-US"/>
        </w:rPr>
        <w:t>how to implement it</w:t>
      </w:r>
      <w:r w:rsidR="00E712B8">
        <w:rPr>
          <w:lang w:val="en-US"/>
        </w:rPr>
        <w:t>.</w:t>
      </w:r>
      <w:r w:rsidR="00B56534">
        <w:rPr>
          <w:lang w:val="en-US"/>
        </w:rPr>
        <w:t xml:space="preserve"> </w:t>
      </w:r>
      <w:r w:rsidR="008537C7">
        <w:t>T</w:t>
      </w:r>
      <w:r w:rsidR="008537C7" w:rsidRPr="00CB43F9">
        <w:t xml:space="preserve">his study aims to </w:t>
      </w:r>
      <w:r w:rsidR="008537C7">
        <w:t xml:space="preserve">develop a model for implementing MaCMs in TE through a </w:t>
      </w:r>
      <w:r w:rsidR="008537C7" w:rsidRPr="00CB43F9">
        <w:t>systematic review</w:t>
      </w:r>
      <w:r w:rsidR="008537C7">
        <w:t xml:space="preserve"> on</w:t>
      </w:r>
      <w:r w:rsidR="008537C7" w:rsidRPr="00CB43F9">
        <w:t xml:space="preserve"> key components of integrati</w:t>
      </w:r>
      <w:r w:rsidR="008537C7">
        <w:t>ng MaCMs</w:t>
      </w:r>
      <w:r w:rsidR="008537C7" w:rsidRPr="00CB43F9">
        <w:t xml:space="preserve"> </w:t>
      </w:r>
      <w:r w:rsidR="008537C7" w:rsidRPr="00CB43F9">
        <w:lastRenderedPageBreak/>
        <w:t xml:space="preserve">into </w:t>
      </w:r>
      <w:r w:rsidR="008537C7">
        <w:t>T</w:t>
      </w:r>
      <w:r w:rsidR="00BD071C">
        <w:t>E</w:t>
      </w:r>
      <w:r w:rsidR="00715684">
        <w:t>. The</w:t>
      </w:r>
      <w:r w:rsidR="00416184">
        <w:t xml:space="preserve"> research questions</w:t>
      </w:r>
      <w:r w:rsidR="00715684">
        <w:t xml:space="preserve"> are</w:t>
      </w:r>
      <w:r w:rsidR="00EC6C24">
        <w:t xml:space="preserve"> </w:t>
      </w:r>
      <w:r w:rsidR="00A54B55">
        <w:t>focusing on</w:t>
      </w:r>
      <w:r w:rsidR="003852C4">
        <w:t xml:space="preserve"> essential</w:t>
      </w:r>
      <w:r w:rsidR="00BE306F">
        <w:t xml:space="preserve"> components</w:t>
      </w:r>
      <w:r w:rsidR="00FE1F1D">
        <w:t xml:space="preserve"> for</w:t>
      </w:r>
      <w:r w:rsidR="00BA6EC9">
        <w:t xml:space="preserve"> acti</w:t>
      </w:r>
      <w:r w:rsidR="00C44A85">
        <w:t>o</w:t>
      </w:r>
      <w:r w:rsidR="00BA6EC9">
        <w:t>nable</w:t>
      </w:r>
      <w:r w:rsidR="00763290">
        <w:t xml:space="preserve"> </w:t>
      </w:r>
      <w:r w:rsidR="00BD071C">
        <w:t>implement</w:t>
      </w:r>
      <w:r w:rsidR="007B3EC3">
        <w:t>ation of</w:t>
      </w:r>
      <w:r w:rsidR="00BD071C">
        <w:t xml:space="preserve"> MaCMs in TE</w:t>
      </w:r>
      <w:r w:rsidR="00BE306F">
        <w:t xml:space="preserve"> </w:t>
      </w:r>
      <w:r w:rsidR="00A93955">
        <w:t>–</w:t>
      </w:r>
      <w:r w:rsidR="00BE306F">
        <w:t xml:space="preserve"> </w:t>
      </w:r>
      <w:r w:rsidR="000A749B">
        <w:t>activities</w:t>
      </w:r>
      <w:r w:rsidR="00045469">
        <w:t xml:space="preserve"> and PT</w:t>
      </w:r>
      <w:r w:rsidR="00270548">
        <w:t xml:space="preserve"> </w:t>
      </w:r>
      <w:r w:rsidR="00045469">
        <w:t xml:space="preserve">learning </w:t>
      </w:r>
      <w:r w:rsidR="00CC7DA7">
        <w:t xml:space="preserve">outcomes </w:t>
      </w:r>
      <w:r w:rsidR="00045469">
        <w:t>from these activities</w:t>
      </w:r>
      <w:r w:rsidR="003B65A5">
        <w:t>,</w:t>
      </w:r>
      <w:r w:rsidR="00045469">
        <w:t xml:space="preserve"> </w:t>
      </w:r>
      <w:r w:rsidR="00227B1A">
        <w:t xml:space="preserve">adopted </w:t>
      </w:r>
      <w:r w:rsidR="00045469">
        <w:t>theoretical constructs</w:t>
      </w:r>
      <w:r w:rsidR="003B5200">
        <w:t xml:space="preserve"> and </w:t>
      </w:r>
      <w:r w:rsidR="00227B1A">
        <w:t xml:space="preserve">crucial </w:t>
      </w:r>
      <w:r w:rsidR="00763290">
        <w:t>research findings and conclusions.</w:t>
      </w:r>
    </w:p>
    <w:p w14:paraId="274486DB" w14:textId="31FB4E23" w:rsidR="00B41217" w:rsidRDefault="00D572A9" w:rsidP="00D572A9">
      <w:pPr>
        <w:pStyle w:val="Rubrik2"/>
      </w:pPr>
      <w:r w:rsidRPr="00730CE8">
        <w:t>Methods</w:t>
      </w:r>
    </w:p>
    <w:p w14:paraId="157C39AE" w14:textId="742C222E" w:rsidR="00D572A9" w:rsidRDefault="00E760FD" w:rsidP="00D572A9">
      <w:pPr>
        <w:pStyle w:val="Brdtext"/>
      </w:pPr>
      <w:r>
        <w:t>T</w:t>
      </w:r>
      <w:r w:rsidR="003028A5">
        <w:t xml:space="preserve">he aim </w:t>
      </w:r>
      <w:r w:rsidR="001D2F9A">
        <w:t>of</w:t>
      </w:r>
      <w:r w:rsidR="003028A5">
        <w:t xml:space="preserve"> </w:t>
      </w:r>
      <w:r w:rsidR="00B35F81">
        <w:t>develop</w:t>
      </w:r>
      <w:r w:rsidR="009E18E8">
        <w:t>ing</w:t>
      </w:r>
      <w:r w:rsidR="00B35F81">
        <w:t xml:space="preserve"> a model for implementing MaCMs in TE through a </w:t>
      </w:r>
      <w:r w:rsidR="00B35F81" w:rsidRPr="00CB43F9">
        <w:t>systematic review</w:t>
      </w:r>
      <w:r w:rsidR="003A1660">
        <w:t>,</w:t>
      </w:r>
      <w:r w:rsidR="002204DD">
        <w:t xml:space="preserve"> </w:t>
      </w:r>
      <w:r w:rsidR="00A84294">
        <w:t xml:space="preserve">is to </w:t>
      </w:r>
      <w:r w:rsidR="008C5893">
        <w:t xml:space="preserve">provide an </w:t>
      </w:r>
      <w:r w:rsidR="00A84294">
        <w:t>overview and understand</w:t>
      </w:r>
      <w:r w:rsidR="008C5893">
        <w:t>ing</w:t>
      </w:r>
      <w:r w:rsidR="00BF3423">
        <w:t xml:space="preserve"> of</w:t>
      </w:r>
      <w:r w:rsidR="00A84294">
        <w:t xml:space="preserve"> a </w:t>
      </w:r>
      <w:r w:rsidR="00EC5571">
        <w:t xml:space="preserve">research </w:t>
      </w:r>
      <w:r w:rsidR="00A84294">
        <w:t>field</w:t>
      </w:r>
      <w:r w:rsidR="00510232">
        <w:t xml:space="preserve">, identifying </w:t>
      </w:r>
      <w:r w:rsidR="00EC5571">
        <w:t xml:space="preserve">its </w:t>
      </w:r>
      <w:r w:rsidR="00510232">
        <w:t>themes and pro</w:t>
      </w:r>
      <w:r w:rsidR="00B34BDC">
        <w:t>viding</w:t>
      </w:r>
      <w:r w:rsidR="00510232">
        <w:t xml:space="preserve"> new insights</w:t>
      </w:r>
      <w:r w:rsidR="00AC6F37">
        <w:t xml:space="preserve"> </w:t>
      </w:r>
      <w:r w:rsidR="00BC799F">
        <w:t>in</w:t>
      </w:r>
      <w:r w:rsidR="00AC6F37">
        <w:t>to it</w:t>
      </w:r>
      <w:r w:rsidR="00AF4644">
        <w:t>.</w:t>
      </w:r>
      <w:r w:rsidR="00813831">
        <w:t xml:space="preserve"> Gough et al. (2012) term </w:t>
      </w:r>
      <w:r w:rsidR="00AF4644">
        <w:t xml:space="preserve">such approach </w:t>
      </w:r>
      <w:r w:rsidR="00813831">
        <w:t xml:space="preserve">a </w:t>
      </w:r>
      <w:r w:rsidR="00813831" w:rsidRPr="00F336A6">
        <w:rPr>
          <w:i/>
          <w:iCs/>
        </w:rPr>
        <w:t xml:space="preserve">configurative </w:t>
      </w:r>
      <w:r w:rsidR="002D6B46" w:rsidRPr="00F336A6">
        <w:rPr>
          <w:i/>
          <w:iCs/>
        </w:rPr>
        <w:t>review</w:t>
      </w:r>
      <w:r w:rsidR="002D6B46">
        <w:t>.</w:t>
      </w:r>
      <w:r w:rsidR="00260D4B">
        <w:t xml:space="preserve"> The applied method</w:t>
      </w:r>
      <w:r w:rsidR="00201204">
        <w:t xml:space="preserve"> can be described in two main steps</w:t>
      </w:r>
      <w:r w:rsidR="0044769A">
        <w:t>: 1)</w:t>
      </w:r>
      <w:r w:rsidR="00201204">
        <w:t xml:space="preserve"> finding </w:t>
      </w:r>
      <w:r w:rsidR="00093799">
        <w:t>and</w:t>
      </w:r>
      <w:r w:rsidR="00201204">
        <w:t xml:space="preserve"> selecting relevant literature</w:t>
      </w:r>
      <w:r w:rsidR="0098346C">
        <w:t>,</w:t>
      </w:r>
      <w:r w:rsidR="00201204">
        <w:t xml:space="preserve"> and</w:t>
      </w:r>
      <w:r w:rsidR="006062EA">
        <w:t xml:space="preserve"> </w:t>
      </w:r>
      <w:r w:rsidR="0098346C">
        <w:t xml:space="preserve">2) </w:t>
      </w:r>
      <w:r w:rsidR="006062EA">
        <w:t>analysing and synthesising the selected literature</w:t>
      </w:r>
      <w:r w:rsidR="00E73CEA">
        <w:t xml:space="preserve"> </w:t>
      </w:r>
      <w:r w:rsidR="007229DD">
        <w:t>according to</w:t>
      </w:r>
      <w:r w:rsidR="00E73CEA">
        <w:t xml:space="preserve"> relevant themes.</w:t>
      </w:r>
    </w:p>
    <w:p w14:paraId="70B4BE4F" w14:textId="5F3D3301" w:rsidR="00E73CEA" w:rsidRPr="00E73CEA" w:rsidRDefault="00E73CEA" w:rsidP="00885E89">
      <w:pPr>
        <w:pStyle w:val="Rubrik3"/>
      </w:pPr>
      <w:r>
        <w:t>Finding and selecting relevant literature</w:t>
      </w:r>
    </w:p>
    <w:p w14:paraId="265FE01A" w14:textId="424B7E33" w:rsidR="00370A23" w:rsidRDefault="0021665A" w:rsidP="00885E89">
      <w:pPr>
        <w:ind w:firstLine="0"/>
      </w:pPr>
      <w:r>
        <w:t xml:space="preserve">The strategy for </w:t>
      </w:r>
      <w:r w:rsidR="00145969">
        <w:t>identifying</w:t>
      </w:r>
      <w:r>
        <w:t xml:space="preserve"> relevant literature</w:t>
      </w:r>
      <w:r w:rsidR="00350B9D">
        <w:t xml:space="preserve"> was </w:t>
      </w:r>
      <w:r w:rsidR="00145969">
        <w:t>conducted</w:t>
      </w:r>
      <w:r w:rsidR="00350B9D">
        <w:t xml:space="preserve"> in two st</w:t>
      </w:r>
      <w:r w:rsidR="0056098C">
        <w:t>eps</w:t>
      </w:r>
      <w:r w:rsidR="000C4C41">
        <w:t xml:space="preserve">, </w:t>
      </w:r>
      <w:r w:rsidR="009E20E3">
        <w:t xml:space="preserve">1) </w:t>
      </w:r>
      <w:r w:rsidR="000C4C41">
        <w:t xml:space="preserve">searching databases and </w:t>
      </w:r>
      <w:r w:rsidR="009E20E3">
        <w:t xml:space="preserve">2) </w:t>
      </w:r>
      <w:r w:rsidR="000C4C41">
        <w:t xml:space="preserve">searching reference lists </w:t>
      </w:r>
      <w:r w:rsidR="00066580">
        <w:t>in</w:t>
      </w:r>
      <w:r w:rsidR="00471550">
        <w:t xml:space="preserve"> hits from the first step.</w:t>
      </w:r>
      <w:r w:rsidR="00AB5243">
        <w:t xml:space="preserve"> </w:t>
      </w:r>
      <w:r w:rsidR="00DB1558">
        <w:t>The d</w:t>
      </w:r>
      <w:r w:rsidR="00AB5243">
        <w:t xml:space="preserve">atabases used </w:t>
      </w:r>
      <w:r w:rsidR="00DB1558">
        <w:t>were</w:t>
      </w:r>
      <w:r w:rsidR="00DE3C09">
        <w:t xml:space="preserve"> ERIC, Scopus, Educational </w:t>
      </w:r>
      <w:r w:rsidR="00066580">
        <w:t>R</w:t>
      </w:r>
      <w:r w:rsidR="00DE3C09">
        <w:t xml:space="preserve">esearch </w:t>
      </w:r>
      <w:r w:rsidR="00066580">
        <w:t>C</w:t>
      </w:r>
      <w:r w:rsidR="00DE3C09">
        <w:t xml:space="preserve">omplete, Teacher Reference </w:t>
      </w:r>
      <w:proofErr w:type="spellStart"/>
      <w:r w:rsidR="00DE3C09">
        <w:t>Center</w:t>
      </w:r>
      <w:proofErr w:type="spellEnd"/>
      <w:r w:rsidR="00DE3C09">
        <w:t xml:space="preserve"> and Web of Science</w:t>
      </w:r>
      <w:r w:rsidR="00A53C42">
        <w:t xml:space="preserve">, </w:t>
      </w:r>
      <w:r w:rsidR="00090AF1">
        <w:t>which were searched through as</w:t>
      </w:r>
      <w:r w:rsidR="001054A4">
        <w:t xml:space="preserve"> illustrated in table 1</w:t>
      </w:r>
      <w:r w:rsidR="009A3CA0">
        <w:t xml:space="preserve">. </w:t>
      </w:r>
    </w:p>
    <w:tbl>
      <w:tblPr>
        <w:tblW w:w="93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7229"/>
        <w:gridCol w:w="1276"/>
      </w:tblGrid>
      <w:tr w:rsidR="00370A23" w:rsidRPr="00FC0964" w14:paraId="09750439" w14:textId="77777777" w:rsidTr="00694FBE">
        <w:trPr>
          <w:trHeight w:val="24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9270B" w14:textId="77777777" w:rsidR="00370A23" w:rsidRPr="00FC0964" w:rsidRDefault="00370A23" w:rsidP="000B082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C096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Search #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B9C3A" w14:textId="77777777" w:rsidR="00370A23" w:rsidRPr="00FC0964" w:rsidRDefault="00370A23" w:rsidP="000B0829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FC096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Search strings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51EA2" w14:textId="77777777" w:rsidR="00370A23" w:rsidRPr="00FC0964" w:rsidRDefault="00370A23" w:rsidP="000B0829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FC096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Hits</w:t>
            </w:r>
          </w:p>
        </w:tc>
      </w:tr>
      <w:tr w:rsidR="00370A23" w:rsidRPr="00FC0964" w14:paraId="5A743906" w14:textId="77777777" w:rsidTr="000B0829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2FAA3D" w14:textId="77777777" w:rsidR="00370A23" w:rsidRPr="00FC0964" w:rsidRDefault="00370A23" w:rsidP="000B082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C0964">
              <w:rPr>
                <w:sz w:val="16"/>
                <w:szCs w:val="16"/>
              </w:rPr>
              <w:t>1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2D474" w14:textId="77777777" w:rsidR="00370A23" w:rsidRPr="00FC0964" w:rsidRDefault="00370A23" w:rsidP="000B0829">
            <w:pPr>
              <w:spacing w:line="240" w:lineRule="auto"/>
              <w:ind w:firstLine="0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FC0964">
              <w:rPr>
                <w:rFonts w:ascii="Calibri" w:hAnsi="Calibri" w:cs="Calibri"/>
                <w:color w:val="4F81BD" w:themeColor="accent1"/>
                <w:sz w:val="16"/>
                <w:szCs w:val="16"/>
                <w:lang w:val="en-US"/>
              </w:rPr>
              <w:t xml:space="preserve">TI </w:t>
            </w:r>
            <w:r w:rsidRPr="00FC0964">
              <w:rPr>
                <w:rFonts w:ascii="Calibri" w:hAnsi="Calibri" w:cs="Calibri"/>
                <w:sz w:val="16"/>
                <w:szCs w:val="16"/>
                <w:lang w:val="en-US"/>
              </w:rPr>
              <w:t xml:space="preserve">(“curriculum material*” OR textbook* OR ”teacher guide*” OR “mathematic* </w:t>
            </w:r>
            <w:proofErr w:type="spellStart"/>
            <w:r w:rsidRPr="00FC0964">
              <w:rPr>
                <w:rFonts w:ascii="Calibri" w:hAnsi="Calibri" w:cs="Calibri"/>
                <w:sz w:val="16"/>
                <w:szCs w:val="16"/>
                <w:lang w:val="en-US"/>
              </w:rPr>
              <w:t>curricul</w:t>
            </w:r>
            <w:proofErr w:type="spellEnd"/>
            <w:r w:rsidRPr="00FC0964">
              <w:rPr>
                <w:rFonts w:ascii="Calibri" w:hAnsi="Calibri" w:cs="Calibri"/>
                <w:sz w:val="16"/>
                <w:szCs w:val="16"/>
                <w:lang w:val="en-US"/>
              </w:rPr>
              <w:t xml:space="preserve">* material*” OR “mathematic* textbook*”) OR </w:t>
            </w:r>
            <w:r w:rsidRPr="00FC0964">
              <w:rPr>
                <w:rFonts w:ascii="Calibri" w:hAnsi="Calibri" w:cs="Calibri"/>
                <w:color w:val="403152" w:themeColor="accent4" w:themeShade="80"/>
                <w:sz w:val="16"/>
                <w:szCs w:val="16"/>
                <w:lang w:val="en-US"/>
              </w:rPr>
              <w:t xml:space="preserve">AB </w:t>
            </w:r>
            <w:r w:rsidRPr="00FC0964">
              <w:rPr>
                <w:rFonts w:ascii="Calibri" w:hAnsi="Calibri" w:cs="Calibri"/>
                <w:sz w:val="16"/>
                <w:szCs w:val="16"/>
                <w:lang w:val="en-US"/>
              </w:rPr>
              <w:t xml:space="preserve">(“curriculum material*” OR textbook* OR ”teacher guide*” OR “mathematic* </w:t>
            </w:r>
            <w:proofErr w:type="spellStart"/>
            <w:r w:rsidRPr="00FC0964">
              <w:rPr>
                <w:rFonts w:ascii="Calibri" w:hAnsi="Calibri" w:cs="Calibri"/>
                <w:sz w:val="16"/>
                <w:szCs w:val="16"/>
                <w:lang w:val="en-US"/>
              </w:rPr>
              <w:t>curricul</w:t>
            </w:r>
            <w:proofErr w:type="spellEnd"/>
            <w:r w:rsidRPr="00FC0964">
              <w:rPr>
                <w:rFonts w:ascii="Calibri" w:hAnsi="Calibri" w:cs="Calibri"/>
                <w:sz w:val="16"/>
                <w:szCs w:val="16"/>
                <w:lang w:val="en-US"/>
              </w:rPr>
              <w:t xml:space="preserve">* material*” OR “mathematic* textbook*”) OR </w:t>
            </w:r>
            <w:r w:rsidRPr="00FC0964">
              <w:rPr>
                <w:rFonts w:ascii="Calibri" w:hAnsi="Calibri" w:cs="Calibri"/>
                <w:color w:val="00B050"/>
                <w:sz w:val="16"/>
                <w:szCs w:val="16"/>
                <w:lang w:val="en-US"/>
              </w:rPr>
              <w:t>KW</w:t>
            </w:r>
            <w:r w:rsidRPr="00FC0964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(“curriculum material*” OR textbook* OR ”teacher guide*” OR “mathematic* </w:t>
            </w:r>
            <w:proofErr w:type="spellStart"/>
            <w:r w:rsidRPr="00FC0964">
              <w:rPr>
                <w:rFonts w:ascii="Calibri" w:hAnsi="Calibri" w:cs="Calibri"/>
                <w:sz w:val="16"/>
                <w:szCs w:val="16"/>
                <w:lang w:val="en-US"/>
              </w:rPr>
              <w:t>curricul</w:t>
            </w:r>
            <w:proofErr w:type="spellEnd"/>
            <w:r w:rsidRPr="00FC0964">
              <w:rPr>
                <w:rFonts w:ascii="Calibri" w:hAnsi="Calibri" w:cs="Calibri"/>
                <w:sz w:val="16"/>
                <w:szCs w:val="16"/>
                <w:lang w:val="en-US"/>
              </w:rPr>
              <w:t>* material*” OR “mathematic* textbook*”)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D4E5D" w14:textId="77777777" w:rsidR="00370A23" w:rsidRPr="00FC0964" w:rsidRDefault="00370A23" w:rsidP="000B0829">
            <w:pPr>
              <w:spacing w:line="240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00FC096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Number of hits</w:t>
            </w:r>
          </w:p>
        </w:tc>
      </w:tr>
      <w:tr w:rsidR="00370A23" w:rsidRPr="00FC0964" w14:paraId="3CD8B26A" w14:textId="77777777" w:rsidTr="000B0829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C82F5" w14:textId="77777777" w:rsidR="00370A23" w:rsidRPr="00FC0964" w:rsidRDefault="00370A23" w:rsidP="000B082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C096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8BA6F" w14:textId="77777777" w:rsidR="00370A23" w:rsidRPr="00FC0964" w:rsidRDefault="00370A23" w:rsidP="006501C7">
            <w:pPr>
              <w:spacing w:line="240" w:lineRule="auto"/>
              <w:ind w:firstLine="0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FC0964">
              <w:rPr>
                <w:rFonts w:ascii="Calibri" w:hAnsi="Calibri" w:cs="Calibri"/>
                <w:color w:val="4F81BD" w:themeColor="accent1"/>
                <w:sz w:val="16"/>
                <w:szCs w:val="16"/>
                <w:lang w:val="en-US"/>
              </w:rPr>
              <w:t xml:space="preserve">TI </w:t>
            </w:r>
            <w:r w:rsidRPr="00FC0964">
              <w:rPr>
                <w:rFonts w:ascii="Calibri" w:hAnsi="Calibri" w:cs="Calibri"/>
                <w:sz w:val="16"/>
                <w:szCs w:val="16"/>
                <w:lang w:val="en-US"/>
              </w:rPr>
              <w:t xml:space="preserve">(“teacher* education” OR “teacher student*” OR “pre-service teacher*” OR PSTs OR “teacher educator*” OR “teacher* learning”) OR </w:t>
            </w:r>
            <w:r w:rsidRPr="00FC0964">
              <w:rPr>
                <w:rFonts w:ascii="Calibri" w:hAnsi="Calibri" w:cs="Calibri"/>
                <w:color w:val="403152" w:themeColor="accent4" w:themeShade="80"/>
                <w:sz w:val="16"/>
                <w:szCs w:val="16"/>
                <w:lang w:val="en-US"/>
              </w:rPr>
              <w:t xml:space="preserve">AB </w:t>
            </w:r>
            <w:r w:rsidRPr="00FC0964">
              <w:rPr>
                <w:rFonts w:ascii="Calibri" w:hAnsi="Calibri" w:cs="Calibri"/>
                <w:sz w:val="16"/>
                <w:szCs w:val="16"/>
                <w:lang w:val="en-US"/>
              </w:rPr>
              <w:t xml:space="preserve">(“teacher* education” OR “teacher student*” OR “pre-service teacher*” OR PSTs OR “teacher educator*” OR “teacher* learning”) OR </w:t>
            </w:r>
            <w:r w:rsidRPr="00FC0964">
              <w:rPr>
                <w:rFonts w:ascii="Calibri" w:hAnsi="Calibri" w:cs="Calibri"/>
                <w:color w:val="00B050"/>
                <w:sz w:val="16"/>
                <w:szCs w:val="16"/>
                <w:lang w:val="en-US"/>
              </w:rPr>
              <w:t>KW</w:t>
            </w:r>
            <w:r w:rsidRPr="00FC0964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(“teacher* education” OR “teacher student*” OR “pre-service teacher*” OR PSTs OR “teacher educator*” OR “teacher* learning”)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50E77" w14:textId="77777777" w:rsidR="00370A23" w:rsidRPr="00FC0964" w:rsidRDefault="00370A23" w:rsidP="000B0829">
            <w:pPr>
              <w:spacing w:line="240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00FC096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Number of hits</w:t>
            </w:r>
          </w:p>
        </w:tc>
      </w:tr>
      <w:tr w:rsidR="00370A23" w:rsidRPr="00FC0964" w14:paraId="6D65F583" w14:textId="77777777" w:rsidTr="00694FBE">
        <w:trPr>
          <w:trHeight w:val="224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15569" w14:textId="77777777" w:rsidR="00370A23" w:rsidRPr="00FC0964" w:rsidRDefault="00370A23" w:rsidP="000B082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C0964">
              <w:rPr>
                <w:sz w:val="16"/>
                <w:szCs w:val="16"/>
              </w:rPr>
              <w:t>3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6933B" w14:textId="77777777" w:rsidR="00370A23" w:rsidRPr="00FC0964" w:rsidRDefault="00370A23" w:rsidP="000A341E">
            <w:pPr>
              <w:spacing w:line="240" w:lineRule="auto"/>
              <w:ind w:firstLine="0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FC0964">
              <w:rPr>
                <w:rFonts w:ascii="Calibri" w:eastAsia="Calibri" w:hAnsi="Calibri" w:cs="Calibri"/>
                <w:color w:val="4F81BD" w:themeColor="accent1"/>
                <w:sz w:val="16"/>
                <w:szCs w:val="16"/>
                <w:lang w:val="en-US"/>
              </w:rPr>
              <w:t xml:space="preserve">TI </w:t>
            </w:r>
            <w:proofErr w:type="gramStart"/>
            <w:r w:rsidRPr="00FC096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mathematic</w:t>
            </w:r>
            <w:proofErr w:type="gramEnd"/>
            <w:r w:rsidRPr="00FC096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* OR </w:t>
            </w:r>
            <w:r w:rsidRPr="00FC0964">
              <w:rPr>
                <w:rFonts w:ascii="Calibri" w:eastAsia="Calibri" w:hAnsi="Calibri" w:cs="Calibri"/>
                <w:color w:val="403152" w:themeColor="accent4" w:themeShade="80"/>
                <w:sz w:val="16"/>
                <w:szCs w:val="16"/>
                <w:lang w:val="en-US"/>
              </w:rPr>
              <w:t xml:space="preserve">AB </w:t>
            </w:r>
            <w:r w:rsidRPr="00FC096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mathematic* OR </w:t>
            </w:r>
            <w:r w:rsidRPr="00FC0964">
              <w:rPr>
                <w:rFonts w:ascii="Calibri" w:eastAsia="Calibri" w:hAnsi="Calibri" w:cs="Calibri"/>
                <w:color w:val="00B050"/>
                <w:sz w:val="16"/>
                <w:szCs w:val="16"/>
                <w:lang w:val="en-US"/>
              </w:rPr>
              <w:t>KW</w:t>
            </w:r>
            <w:r w:rsidRPr="00FC0964">
              <w:rPr>
                <w:rFonts w:ascii="Calibri" w:eastAsia="Calibri" w:hAnsi="Calibri" w:cs="Calibri"/>
                <w:sz w:val="16"/>
                <w:szCs w:val="16"/>
                <w:lang w:val="en-US"/>
              </w:rPr>
              <w:t xml:space="preserve"> mathematic*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B2276" w14:textId="77777777" w:rsidR="00370A23" w:rsidRPr="00FC0964" w:rsidRDefault="00370A23" w:rsidP="000B0829">
            <w:pPr>
              <w:spacing w:line="240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  <w:r w:rsidRPr="00FC096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Number of hits</w:t>
            </w:r>
          </w:p>
        </w:tc>
      </w:tr>
      <w:tr w:rsidR="00370A23" w:rsidRPr="00FC0964" w14:paraId="0C6E4B41" w14:textId="77777777" w:rsidTr="00296249">
        <w:trPr>
          <w:trHeight w:val="116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88B1D" w14:textId="77777777" w:rsidR="00370A23" w:rsidRPr="00FC0964" w:rsidRDefault="00370A23" w:rsidP="000B082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C0964">
              <w:rPr>
                <w:sz w:val="16"/>
                <w:szCs w:val="16"/>
              </w:rPr>
              <w:t>4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DC05C" w14:textId="77777777" w:rsidR="00370A23" w:rsidRPr="00FC0964" w:rsidRDefault="00370A23" w:rsidP="000A341E">
            <w:pPr>
              <w:spacing w:line="240" w:lineRule="auto"/>
              <w:ind w:firstLine="0"/>
              <w:rPr>
                <w:rFonts w:ascii="Calibri" w:hAnsi="Calibri" w:cs="Calibri"/>
                <w:sz w:val="16"/>
                <w:szCs w:val="16"/>
              </w:rPr>
            </w:pPr>
            <w:r w:rsidRPr="00FC0964">
              <w:rPr>
                <w:rFonts w:ascii="Calibri" w:eastAsia="Calibri" w:hAnsi="Calibri" w:cs="Calibri"/>
                <w:sz w:val="16"/>
                <w:szCs w:val="16"/>
              </w:rPr>
              <w:t>1 AND 2 AND 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967C3" w14:textId="77777777" w:rsidR="00370A23" w:rsidRPr="00FC0964" w:rsidRDefault="00370A23" w:rsidP="000B082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333333"/>
                <w:sz w:val="16"/>
                <w:szCs w:val="16"/>
                <w:shd w:val="clear" w:color="auto" w:fill="FFFFFF"/>
              </w:rPr>
            </w:pPr>
            <w:r w:rsidRPr="00FC096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Number of hits</w:t>
            </w:r>
          </w:p>
        </w:tc>
      </w:tr>
      <w:tr w:rsidR="00370A23" w:rsidRPr="00FC0964" w14:paraId="6F146711" w14:textId="77777777" w:rsidTr="00296249">
        <w:trPr>
          <w:trHeight w:val="190"/>
        </w:trPr>
        <w:tc>
          <w:tcPr>
            <w:tcW w:w="9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9C4EB" w14:textId="77777777" w:rsidR="00370A23" w:rsidRPr="00FC0964" w:rsidRDefault="00370A23" w:rsidP="000B0829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FC0964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Inclusion criteria</w:t>
            </w:r>
          </w:p>
        </w:tc>
      </w:tr>
      <w:tr w:rsidR="00370A23" w:rsidRPr="00FC0964" w14:paraId="1CFAAD8A" w14:textId="77777777" w:rsidTr="00296249">
        <w:trPr>
          <w:trHeight w:val="121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2E3E5" w14:textId="77777777" w:rsidR="00370A23" w:rsidRPr="00FC0964" w:rsidRDefault="00370A23" w:rsidP="000B0829">
            <w:pPr>
              <w:spacing w:line="240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 w:rsidRPr="00FC0964">
              <w:rPr>
                <w:rFonts w:ascii="Calibri" w:eastAsia="Calibri" w:hAnsi="Calibri" w:cs="Calibri"/>
                <w:sz w:val="16"/>
                <w:szCs w:val="16"/>
              </w:rPr>
              <w:t>Years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DB79C" w14:textId="77777777" w:rsidR="00370A23" w:rsidRPr="00FC0964" w:rsidRDefault="00370A23" w:rsidP="000A341E">
            <w:pPr>
              <w:spacing w:line="240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 w:rsidRPr="00FC0964">
              <w:rPr>
                <w:rFonts w:ascii="Calibri" w:eastAsia="Calibri" w:hAnsi="Calibri" w:cs="Calibri"/>
                <w:sz w:val="16"/>
                <w:szCs w:val="16"/>
              </w:rPr>
              <w:t>2000 - 2023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9B969" w14:textId="77777777" w:rsidR="00370A23" w:rsidRPr="00FC0964" w:rsidRDefault="00370A23" w:rsidP="000B0829">
            <w:pPr>
              <w:spacing w:line="240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FC096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Number of hits</w:t>
            </w:r>
          </w:p>
        </w:tc>
      </w:tr>
      <w:tr w:rsidR="00370A23" w:rsidRPr="00FC0964" w14:paraId="0154CA6C" w14:textId="77777777" w:rsidTr="00296249">
        <w:trPr>
          <w:trHeight w:val="182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04A0B" w14:textId="77777777" w:rsidR="00370A23" w:rsidRPr="00FC0964" w:rsidRDefault="00370A23" w:rsidP="000B0829">
            <w:pPr>
              <w:spacing w:line="240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 w:rsidRPr="00FC0964">
              <w:rPr>
                <w:rFonts w:ascii="Calibri" w:eastAsia="Calibri" w:hAnsi="Calibri" w:cs="Calibri"/>
                <w:sz w:val="16"/>
                <w:szCs w:val="16"/>
              </w:rPr>
              <w:t>Language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569B4" w14:textId="77777777" w:rsidR="00370A23" w:rsidRPr="00FC0964" w:rsidRDefault="00370A23" w:rsidP="000A341E">
            <w:pPr>
              <w:spacing w:line="240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 w:rsidRPr="00FC0964">
              <w:rPr>
                <w:rFonts w:ascii="Calibri" w:eastAsia="Calibri" w:hAnsi="Calibri" w:cs="Calibri"/>
                <w:sz w:val="16"/>
                <w:szCs w:val="16"/>
              </w:rPr>
              <w:t>English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4F2D5" w14:textId="77777777" w:rsidR="00370A23" w:rsidRPr="00FC0964" w:rsidRDefault="00370A23" w:rsidP="000B0829">
            <w:pPr>
              <w:spacing w:line="240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FC096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Number of hits</w:t>
            </w:r>
          </w:p>
        </w:tc>
      </w:tr>
      <w:tr w:rsidR="00370A23" w:rsidRPr="00FC0964" w14:paraId="73C18282" w14:textId="77777777" w:rsidTr="00296249">
        <w:trPr>
          <w:trHeight w:val="114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63A12" w14:textId="77777777" w:rsidR="00370A23" w:rsidRPr="00FC0964" w:rsidRDefault="00370A23" w:rsidP="000B0829">
            <w:pPr>
              <w:spacing w:line="240" w:lineRule="auto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 w:rsidRPr="00FC0964">
              <w:rPr>
                <w:rFonts w:ascii="Calibri" w:eastAsia="Calibri" w:hAnsi="Calibri" w:cs="Calibri"/>
                <w:sz w:val="16"/>
                <w:szCs w:val="16"/>
              </w:rPr>
              <w:t>Total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E9E28" w14:textId="77777777" w:rsidR="00370A23" w:rsidRPr="00FC0964" w:rsidRDefault="00370A23" w:rsidP="000B0829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62CCD" w14:textId="77777777" w:rsidR="00370A23" w:rsidRPr="00FC0964" w:rsidRDefault="00370A23" w:rsidP="000B0829">
            <w:pPr>
              <w:spacing w:line="240" w:lineRule="auto"/>
              <w:ind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 w:rsidRPr="00FC0964">
              <w:rPr>
                <w:rFonts w:ascii="Calibri" w:eastAsia="Calibri" w:hAnsi="Calibri" w:cs="Calibri"/>
                <w:sz w:val="16"/>
                <w:szCs w:val="16"/>
                <w:lang w:val="en-US"/>
              </w:rPr>
              <w:t>Number of hits</w:t>
            </w:r>
          </w:p>
        </w:tc>
      </w:tr>
    </w:tbl>
    <w:p w14:paraId="61B8A910" w14:textId="6A79E211" w:rsidR="00370A23" w:rsidRDefault="00370A23" w:rsidP="00370A23">
      <w:pPr>
        <w:pStyle w:val="Headtable"/>
      </w:pPr>
      <w:r w:rsidRPr="004A1674">
        <w:t xml:space="preserve">Table 1. </w:t>
      </w:r>
      <w:r>
        <w:t>The s</w:t>
      </w:r>
      <w:r w:rsidRPr="004A1674">
        <w:t>earch methodology to identify publications addressing the use of mathematics curriculum materials in teacher education.</w:t>
      </w:r>
    </w:p>
    <w:p w14:paraId="0CEA61A1" w14:textId="0E8F2B9E" w:rsidR="00712C73" w:rsidRDefault="00EE0B84" w:rsidP="001C1CCC">
      <w:pPr>
        <w:ind w:firstLine="0"/>
      </w:pPr>
      <w:r>
        <w:t>Crucial in the</w:t>
      </w:r>
      <w:r w:rsidR="00503138">
        <w:t xml:space="preserve"> </w:t>
      </w:r>
      <w:r w:rsidR="005C392F">
        <w:t xml:space="preserve">database </w:t>
      </w:r>
      <w:r w:rsidR="00503138">
        <w:t>search is step 4</w:t>
      </w:r>
      <w:r w:rsidR="00064024">
        <w:t>,</w:t>
      </w:r>
      <w:r w:rsidR="00503138">
        <w:t xml:space="preserve"> in which a combination o</w:t>
      </w:r>
      <w:r w:rsidR="002D050C">
        <w:t>f step 1 – 3 is selected.</w:t>
      </w:r>
      <w:r w:rsidR="00E03C86">
        <w:t xml:space="preserve"> For </w:t>
      </w:r>
      <w:r w:rsidR="006F1DB0">
        <w:t>example,</w:t>
      </w:r>
      <w:r w:rsidR="00C40120">
        <w:t xml:space="preserve"> in ERIC step 1</w:t>
      </w:r>
      <w:r w:rsidR="006F1DB0">
        <w:t xml:space="preserve"> gave 27 591 hits, step 2</w:t>
      </w:r>
      <w:r w:rsidR="00814A1A">
        <w:t xml:space="preserve"> gave 63 060 hits and</w:t>
      </w:r>
      <w:r w:rsidR="000765C6">
        <w:t xml:space="preserve"> step 3 gave 92 516 hits. When combining them</w:t>
      </w:r>
      <w:r w:rsidR="007F0839">
        <w:t xml:space="preserve"> in step 4, only 93 hits </w:t>
      </w:r>
      <w:r w:rsidR="00045E26">
        <w:t>remained</w:t>
      </w:r>
      <w:r w:rsidR="00867039">
        <w:t xml:space="preserve"> and when inclusion criteria were applied,</w:t>
      </w:r>
      <w:r w:rsidR="00045E26">
        <w:t xml:space="preserve"> </w:t>
      </w:r>
      <w:r w:rsidR="00867039">
        <w:t>87 hits</w:t>
      </w:r>
      <w:r w:rsidR="003D5516">
        <w:t xml:space="preserve"> remained</w:t>
      </w:r>
      <w:r w:rsidR="007F0839">
        <w:t>.</w:t>
      </w:r>
      <w:r w:rsidR="00C40120">
        <w:t xml:space="preserve"> </w:t>
      </w:r>
      <w:r w:rsidR="00877DB9">
        <w:t>From</w:t>
      </w:r>
      <w:r w:rsidR="00867039">
        <w:t xml:space="preserve"> the same procedure</w:t>
      </w:r>
      <w:r w:rsidR="00AA578D">
        <w:t xml:space="preserve">, Scopus provided 157 hits, </w:t>
      </w:r>
      <w:r w:rsidR="004F6246">
        <w:t xml:space="preserve">Educational Research Complete 126 hits, </w:t>
      </w:r>
      <w:r w:rsidR="00F91EF7">
        <w:t xml:space="preserve">Teacher Reference </w:t>
      </w:r>
      <w:proofErr w:type="spellStart"/>
      <w:r w:rsidR="00F91EF7">
        <w:t>Center</w:t>
      </w:r>
      <w:proofErr w:type="spellEnd"/>
      <w:r w:rsidR="00F91EF7">
        <w:t xml:space="preserve"> 33 hits and Web of Science</w:t>
      </w:r>
      <w:r w:rsidR="00867D6A">
        <w:t xml:space="preserve"> 133 hits. </w:t>
      </w:r>
      <w:r w:rsidR="00441544">
        <w:t xml:space="preserve">In total, </w:t>
      </w:r>
      <w:r w:rsidR="001B0BF2">
        <w:t>536</w:t>
      </w:r>
      <w:r w:rsidR="00765826">
        <w:t xml:space="preserve"> hits from the selected databases were</w:t>
      </w:r>
      <w:r w:rsidR="003D42C3">
        <w:t xml:space="preserve"> found. D</w:t>
      </w:r>
      <w:r w:rsidR="005D5267">
        <w:t>uplicates were removed</w:t>
      </w:r>
      <w:r w:rsidR="00E1763D">
        <w:t xml:space="preserve"> and </w:t>
      </w:r>
      <w:r w:rsidR="00204B3E">
        <w:t>p</w:t>
      </w:r>
      <w:r w:rsidR="005D5267">
        <w:t>apers</w:t>
      </w:r>
      <w:r w:rsidR="0044646C">
        <w:t xml:space="preserve"> were</w:t>
      </w:r>
      <w:r w:rsidR="005D5267">
        <w:t xml:space="preserve"> excluded based on title and abstract screening, as well as full-text reading if they: focus</w:t>
      </w:r>
      <w:r w:rsidR="00685875">
        <w:t>ed</w:t>
      </w:r>
      <w:r w:rsidR="005D5267">
        <w:t xml:space="preserve"> on in-service teachers rather than PTs, addressed subjects other than mathematics, involved university textbooks or focused on syllabi or teacher educators. </w:t>
      </w:r>
      <w:r w:rsidR="005E7A5F">
        <w:t xml:space="preserve">A total of 35 records remained </w:t>
      </w:r>
      <w:r w:rsidR="00D96799">
        <w:t xml:space="preserve">for analyses and for the next step in the </w:t>
      </w:r>
      <w:r w:rsidR="00BB18B8">
        <w:t>procedure</w:t>
      </w:r>
      <w:r w:rsidR="002B258A">
        <w:t xml:space="preserve"> – searching the</w:t>
      </w:r>
      <w:r w:rsidR="00C26BE7">
        <w:t xml:space="preserve"> reference lists of the 35 hits</w:t>
      </w:r>
      <w:r w:rsidR="00BB18B8">
        <w:t>.</w:t>
      </w:r>
    </w:p>
    <w:p w14:paraId="71D8074B" w14:textId="36E5B11B" w:rsidR="00F65BD6" w:rsidRPr="006C3F95" w:rsidRDefault="00773B4C" w:rsidP="00712C73">
      <w:r>
        <w:t>In t</w:t>
      </w:r>
      <w:r w:rsidR="00BF0C18">
        <w:t xml:space="preserve">he </w:t>
      </w:r>
      <w:r>
        <w:t xml:space="preserve">search through the </w:t>
      </w:r>
      <w:r w:rsidR="001A0C01">
        <w:t>r</w:t>
      </w:r>
      <w:r w:rsidR="005D5267">
        <w:t xml:space="preserve">eference lists of the </w:t>
      </w:r>
      <w:r w:rsidR="00674A8C">
        <w:t xml:space="preserve">35 </w:t>
      </w:r>
      <w:r w:rsidR="005D5267">
        <w:t>included papers</w:t>
      </w:r>
      <w:r w:rsidR="00692B2B">
        <w:t xml:space="preserve"> from the initial step</w:t>
      </w:r>
      <w:r>
        <w:t>,</w:t>
      </w:r>
      <w:r w:rsidR="005D5267">
        <w:t xml:space="preserve"> </w:t>
      </w:r>
      <w:r w:rsidR="00A44CB7">
        <w:t>17</w:t>
      </w:r>
      <w:r w:rsidR="008221B9">
        <w:t xml:space="preserve"> hits were found</w:t>
      </w:r>
      <w:r>
        <w:t>.</w:t>
      </w:r>
      <w:r w:rsidR="008221B9">
        <w:t xml:space="preserve"> </w:t>
      </w:r>
      <w:r>
        <w:t>T</w:t>
      </w:r>
      <w:r w:rsidR="00A02D1D">
        <w:t>he same</w:t>
      </w:r>
      <w:r w:rsidR="00F022E0">
        <w:t xml:space="preserve"> approach</w:t>
      </w:r>
      <w:r w:rsidR="005C5A84">
        <w:t xml:space="preserve"> </w:t>
      </w:r>
      <w:r w:rsidR="001A0C01">
        <w:t>regarding exclusion</w:t>
      </w:r>
      <w:r w:rsidR="00692B2B">
        <w:t xml:space="preserve"> </w:t>
      </w:r>
      <w:r w:rsidR="00CA2D01">
        <w:t xml:space="preserve">as in the first step </w:t>
      </w:r>
      <w:r w:rsidR="00692B2B">
        <w:t xml:space="preserve">was </w:t>
      </w:r>
      <w:r w:rsidR="00692B2B">
        <w:lastRenderedPageBreak/>
        <w:t>applied</w:t>
      </w:r>
      <w:r w:rsidR="00B70F1E">
        <w:t xml:space="preserve">, </w:t>
      </w:r>
      <w:r w:rsidR="00404F63">
        <w:t>exclud</w:t>
      </w:r>
      <w:r w:rsidR="00B70F1E">
        <w:t>ing</w:t>
      </w:r>
      <w:r w:rsidR="00404F63">
        <w:t xml:space="preserve"> 8 records</w:t>
      </w:r>
      <w:r w:rsidR="00B70F1E">
        <w:t xml:space="preserve"> and</w:t>
      </w:r>
      <w:r w:rsidR="00324F42">
        <w:t xml:space="preserve"> remaining</w:t>
      </w:r>
      <w:r w:rsidR="002D47BA">
        <w:t xml:space="preserve"> 9 papers</w:t>
      </w:r>
      <w:r w:rsidR="000C6241">
        <w:t xml:space="preserve"> for analyse</w:t>
      </w:r>
      <w:r w:rsidR="00085C95">
        <w:t>s</w:t>
      </w:r>
      <w:r w:rsidR="00500CE0">
        <w:t>. In total,</w:t>
      </w:r>
      <w:r w:rsidR="005D5267">
        <w:t xml:space="preserve"> 44 papers </w:t>
      </w:r>
      <w:r w:rsidR="001222BC">
        <w:t xml:space="preserve">(see Appendix) </w:t>
      </w:r>
      <w:r w:rsidR="005D5267">
        <w:t>were selected for analyses and synthesis.</w:t>
      </w:r>
    </w:p>
    <w:p w14:paraId="39622345" w14:textId="240B0D27" w:rsidR="005D6E45" w:rsidRDefault="005D6E45" w:rsidP="00AA2D03">
      <w:pPr>
        <w:pStyle w:val="Rubrik3"/>
      </w:pPr>
      <w:r>
        <w:t xml:space="preserve">Analysing and synthesising </w:t>
      </w:r>
      <w:r w:rsidR="00F66392">
        <w:t>selected papers</w:t>
      </w:r>
    </w:p>
    <w:p w14:paraId="376669E4" w14:textId="48FFA2D3" w:rsidR="008144F2" w:rsidRDefault="006477AA" w:rsidP="00F06AC6">
      <w:pPr>
        <w:pStyle w:val="Brdtext"/>
      </w:pPr>
      <w:r>
        <w:t>Th</w:t>
      </w:r>
      <w:r w:rsidR="00DE183A">
        <w:t xml:space="preserve">is study </w:t>
      </w:r>
      <w:r w:rsidR="00DE183A" w:rsidRPr="00CB43F9">
        <w:t xml:space="preserve">aims to </w:t>
      </w:r>
      <w:r w:rsidR="00DE183A">
        <w:t>develop a model for implementing MaCMs in TE</w:t>
      </w:r>
      <w:r w:rsidR="00F8448C">
        <w:t>.</w:t>
      </w:r>
      <w:r w:rsidR="00D30785">
        <w:t xml:space="preserve"> </w:t>
      </w:r>
      <w:r w:rsidR="00057329">
        <w:t>Such</w:t>
      </w:r>
      <w:r w:rsidR="00066C6B">
        <w:t xml:space="preserve"> a</w:t>
      </w:r>
      <w:r w:rsidR="00487B3D">
        <w:t xml:space="preserve"> model should</w:t>
      </w:r>
      <w:r w:rsidR="00513AFE">
        <w:t xml:space="preserve"> p</w:t>
      </w:r>
      <w:r w:rsidR="00BD2D45">
        <w:t>rovid</w:t>
      </w:r>
      <w:r w:rsidR="00487B3D">
        <w:t>e</w:t>
      </w:r>
      <w:r w:rsidR="00BD2D45">
        <w:t xml:space="preserve"> </w:t>
      </w:r>
      <w:r w:rsidR="00D30785">
        <w:rPr>
          <w:lang w:val="en-US"/>
        </w:rPr>
        <w:t xml:space="preserve">research-based </w:t>
      </w:r>
      <w:r w:rsidR="00140F75">
        <w:rPr>
          <w:lang w:val="en-US"/>
        </w:rPr>
        <w:t>descriptions of what</w:t>
      </w:r>
      <w:r w:rsidR="0024344D">
        <w:rPr>
          <w:lang w:val="en-US"/>
        </w:rPr>
        <w:t xml:space="preserve"> PTs </w:t>
      </w:r>
      <w:r w:rsidR="00240A51">
        <w:rPr>
          <w:lang w:val="en-US"/>
        </w:rPr>
        <w:t>are supposed</w:t>
      </w:r>
      <w:r w:rsidR="00BD4A46">
        <w:rPr>
          <w:lang w:val="en-US"/>
        </w:rPr>
        <w:t xml:space="preserve"> to</w:t>
      </w:r>
      <w:r w:rsidR="0024344D">
        <w:rPr>
          <w:lang w:val="en-US"/>
        </w:rPr>
        <w:t xml:space="preserve"> develop </w:t>
      </w:r>
      <w:r w:rsidR="007E4EA5">
        <w:rPr>
          <w:lang w:val="en-US"/>
        </w:rPr>
        <w:t xml:space="preserve">by integrating </w:t>
      </w:r>
      <w:r w:rsidR="00233ED3">
        <w:rPr>
          <w:lang w:val="en-US"/>
        </w:rPr>
        <w:t xml:space="preserve">MaCMs in TE </w:t>
      </w:r>
      <w:r w:rsidR="00F867A8">
        <w:t>–</w:t>
      </w:r>
      <w:r w:rsidR="006A5D2A">
        <w:t xml:space="preserve"> </w:t>
      </w:r>
      <w:r w:rsidR="00CC2746">
        <w:t>describing</w:t>
      </w:r>
      <w:r w:rsidR="00EE2A9B">
        <w:t xml:space="preserve"> its</w:t>
      </w:r>
      <w:r w:rsidR="00745068">
        <w:t xml:space="preserve"> learning objective</w:t>
      </w:r>
      <w:r w:rsidR="00A6703F">
        <w:t>s</w:t>
      </w:r>
      <w:r w:rsidR="00E93739">
        <w:t>.</w:t>
      </w:r>
      <w:r w:rsidR="00C35607">
        <w:t xml:space="preserve"> </w:t>
      </w:r>
      <w:r w:rsidR="00343126">
        <w:t>For the model to be actionable for teacher educators</w:t>
      </w:r>
      <w:r w:rsidR="00F867A8">
        <w:t xml:space="preserve">, </w:t>
      </w:r>
      <w:r w:rsidR="00EA1D5B">
        <w:t xml:space="preserve">ideas of </w:t>
      </w:r>
      <w:r w:rsidR="00EA1D5B" w:rsidRPr="006C78A1">
        <w:rPr>
          <w:i/>
          <w:iCs/>
        </w:rPr>
        <w:t>what</w:t>
      </w:r>
      <w:r w:rsidR="00EA1D5B">
        <w:t xml:space="preserve"> to do</w:t>
      </w:r>
      <w:r w:rsidR="00DB3E89">
        <w:t xml:space="preserve"> (activities)</w:t>
      </w:r>
      <w:r w:rsidR="006C78A1">
        <w:t>,</w:t>
      </w:r>
      <w:r w:rsidR="00DB3E89">
        <w:t xml:space="preserve"> </w:t>
      </w:r>
      <w:r w:rsidR="00DB3E89" w:rsidRPr="006C78A1">
        <w:rPr>
          <w:i/>
          <w:iCs/>
        </w:rPr>
        <w:t>how</w:t>
      </w:r>
      <w:r w:rsidR="00DB3E89">
        <w:t xml:space="preserve"> to do it (</w:t>
      </w:r>
      <w:r w:rsidR="00DF15F3">
        <w:t>what frameworks to depart from)</w:t>
      </w:r>
      <w:r w:rsidR="001E00B3">
        <w:t xml:space="preserve"> and</w:t>
      </w:r>
      <w:r w:rsidR="006C5667">
        <w:t xml:space="preserve"> </w:t>
      </w:r>
      <w:r w:rsidR="00EE38E9">
        <w:rPr>
          <w:i/>
          <w:iCs/>
        </w:rPr>
        <w:t xml:space="preserve">crucial aspects to </w:t>
      </w:r>
      <w:r w:rsidR="00002B28">
        <w:rPr>
          <w:i/>
          <w:iCs/>
        </w:rPr>
        <w:t>consider</w:t>
      </w:r>
      <w:r w:rsidR="00AC730D">
        <w:t xml:space="preserve"> (research findings and conclusions)</w:t>
      </w:r>
      <w:r w:rsidR="000E16EA">
        <w:t xml:space="preserve"> are </w:t>
      </w:r>
      <w:r w:rsidR="00E071C9">
        <w:t>relevant</w:t>
      </w:r>
      <w:r w:rsidR="00C415BF">
        <w:t xml:space="preserve"> to describe</w:t>
      </w:r>
      <w:r w:rsidR="00436E18">
        <w:t xml:space="preserve"> and </w:t>
      </w:r>
      <w:r w:rsidR="009C497E">
        <w:t>constitute the foundation of the</w:t>
      </w:r>
      <w:r w:rsidR="00EA1D5B">
        <w:t xml:space="preserve"> </w:t>
      </w:r>
      <w:r w:rsidR="004C7FD4">
        <w:t>three research questions</w:t>
      </w:r>
      <w:r w:rsidR="00EA1D5B">
        <w:t>.</w:t>
      </w:r>
      <w:r w:rsidR="003115C7">
        <w:t xml:space="preserve"> </w:t>
      </w:r>
      <w:r w:rsidR="002B0D96">
        <w:t>T</w:t>
      </w:r>
      <w:r w:rsidR="00CB5443">
        <w:t>hus, t</w:t>
      </w:r>
      <w:r w:rsidR="002B0D96">
        <w:t xml:space="preserve">he </w:t>
      </w:r>
      <w:r w:rsidR="00D627D7">
        <w:t xml:space="preserve">first step in the </w:t>
      </w:r>
      <w:r w:rsidR="002B0D96">
        <w:t xml:space="preserve">analysis </w:t>
      </w:r>
      <w:r w:rsidR="00D627D7">
        <w:t>was to</w:t>
      </w:r>
      <w:r w:rsidR="004B06D5">
        <w:t xml:space="preserve"> </w:t>
      </w:r>
      <w:r w:rsidR="00F23357">
        <w:t>establish</w:t>
      </w:r>
      <w:r w:rsidR="004B06D5">
        <w:t xml:space="preserve"> learning objectives</w:t>
      </w:r>
      <w:r w:rsidR="0025465C" w:rsidRPr="0025465C">
        <w:t xml:space="preserve"> </w:t>
      </w:r>
      <w:r w:rsidR="008F58C9">
        <w:t xml:space="preserve">for PTs </w:t>
      </w:r>
      <w:r w:rsidR="0025465C">
        <w:t>when using MaCMs</w:t>
      </w:r>
      <w:r w:rsidR="00D627D7">
        <w:t xml:space="preserve"> </w:t>
      </w:r>
      <w:r w:rsidR="003E0BB7">
        <w:t>in TE</w:t>
      </w:r>
      <w:r w:rsidR="00AC390B">
        <w:t>.</w:t>
      </w:r>
      <w:r w:rsidR="004B06D5">
        <w:t xml:space="preserve"> </w:t>
      </w:r>
      <w:r w:rsidR="002D2312">
        <w:t>Then,</w:t>
      </w:r>
      <w:r w:rsidR="00DB1F52">
        <w:t xml:space="preserve"> for each learning objective,</w:t>
      </w:r>
      <w:r w:rsidR="00556458">
        <w:t xml:space="preserve"> </w:t>
      </w:r>
      <w:r w:rsidR="00091EED">
        <w:t xml:space="preserve">content </w:t>
      </w:r>
      <w:r w:rsidR="002D2312">
        <w:t>address</w:t>
      </w:r>
      <w:r w:rsidR="00091EED">
        <w:t>ing research questions</w:t>
      </w:r>
      <w:r w:rsidR="00F015A0">
        <w:t xml:space="preserve"> </w:t>
      </w:r>
      <w:r w:rsidR="003E0BB7">
        <w:t xml:space="preserve">1, </w:t>
      </w:r>
      <w:r w:rsidR="00F015A0">
        <w:t>2</w:t>
      </w:r>
      <w:r w:rsidR="00C730FF">
        <w:t xml:space="preserve"> </w:t>
      </w:r>
      <w:r w:rsidR="003E0BB7">
        <w:t xml:space="preserve">and 3 </w:t>
      </w:r>
      <w:r w:rsidR="00782ABA">
        <w:t>were</w:t>
      </w:r>
      <w:r w:rsidR="00091EED">
        <w:t xml:space="preserve"> </w:t>
      </w:r>
      <w:r w:rsidR="00264CDC">
        <w:t>identified</w:t>
      </w:r>
      <w:r w:rsidR="008144F2">
        <w:t>.</w:t>
      </w:r>
    </w:p>
    <w:p w14:paraId="18333073" w14:textId="1A4D6FBE" w:rsidR="00D730D8" w:rsidRDefault="00E96265" w:rsidP="003D2D6E">
      <w:pPr>
        <w:pStyle w:val="Rubrik4"/>
      </w:pPr>
      <w:r>
        <w:t>Learning objectives</w:t>
      </w:r>
    </w:p>
    <w:p w14:paraId="4C3A190A" w14:textId="40CE7205" w:rsidR="00E13819" w:rsidRDefault="000C169C" w:rsidP="00793DF0">
      <w:pPr>
        <w:pStyle w:val="Brdtext"/>
      </w:pPr>
      <w:r>
        <w:t>The process of e</w:t>
      </w:r>
      <w:r w:rsidR="00197D5B">
        <w:t>stablishing</w:t>
      </w:r>
      <w:r w:rsidR="008D7C1F">
        <w:t xml:space="preserve"> learning objectives departed from </w:t>
      </w:r>
      <w:r w:rsidR="008D7C1F" w:rsidRPr="00B90A72">
        <w:rPr>
          <w:lang w:val="en-US"/>
        </w:rPr>
        <w:t>Lloyd (2006)</w:t>
      </w:r>
      <w:r w:rsidR="008D7C1F">
        <w:rPr>
          <w:lang w:val="en-US"/>
        </w:rPr>
        <w:t>, who</w:t>
      </w:r>
      <w:r w:rsidR="008D7C1F" w:rsidRPr="00B90A72">
        <w:rPr>
          <w:lang w:val="en-US"/>
        </w:rPr>
        <w:t xml:space="preserve"> identifies three critical areas of PT</w:t>
      </w:r>
      <w:r w:rsidR="008D7C1F">
        <w:rPr>
          <w:lang w:val="en-US"/>
        </w:rPr>
        <w:t>s</w:t>
      </w:r>
      <w:r w:rsidR="008D7C1F" w:rsidRPr="00B90A72">
        <w:rPr>
          <w:lang w:val="en-US"/>
        </w:rPr>
        <w:t xml:space="preserve"> learning in relation to MaCMs</w:t>
      </w:r>
      <w:r w:rsidR="008D7C1F">
        <w:rPr>
          <w:lang w:val="en-US"/>
        </w:rPr>
        <w:t xml:space="preserve">: 1) </w:t>
      </w:r>
      <w:r w:rsidR="008D7C1F" w:rsidRPr="00B90A72">
        <w:rPr>
          <w:lang w:val="en-US"/>
        </w:rPr>
        <w:t>Learning mathematics,</w:t>
      </w:r>
      <w:r w:rsidR="008D7C1F">
        <w:rPr>
          <w:lang w:val="en-US"/>
        </w:rPr>
        <w:t xml:space="preserve"> 2) </w:t>
      </w:r>
      <w:r w:rsidR="008D7C1F" w:rsidRPr="00B90A72">
        <w:rPr>
          <w:lang w:val="en-US"/>
        </w:rPr>
        <w:t>Learning about curriculum, and</w:t>
      </w:r>
      <w:r w:rsidR="008D7C1F">
        <w:rPr>
          <w:lang w:val="en-US"/>
        </w:rPr>
        <w:t xml:space="preserve"> 3) </w:t>
      </w:r>
      <w:r w:rsidR="008D7C1F" w:rsidRPr="00B90A72">
        <w:rPr>
          <w:lang w:val="en-US"/>
        </w:rPr>
        <w:t>Learning mathematics teaching and learning.</w:t>
      </w:r>
      <w:r w:rsidR="00416584">
        <w:t xml:space="preserve"> </w:t>
      </w:r>
      <w:r w:rsidR="00F814BD">
        <w:t xml:space="preserve">The critical area </w:t>
      </w:r>
      <w:r w:rsidR="00F814BD" w:rsidRPr="00F814BD">
        <w:rPr>
          <w:i/>
          <w:iCs/>
        </w:rPr>
        <w:t>l</w:t>
      </w:r>
      <w:r w:rsidR="00416584" w:rsidRPr="00F814BD">
        <w:rPr>
          <w:i/>
          <w:iCs/>
        </w:rPr>
        <w:t>earning mathematics</w:t>
      </w:r>
      <w:r w:rsidR="0031027D">
        <w:t xml:space="preserve"> correspond</w:t>
      </w:r>
      <w:r w:rsidR="007E04C4">
        <w:t>s</w:t>
      </w:r>
      <w:r w:rsidR="0031027D">
        <w:t xml:space="preserve"> to what</w:t>
      </w:r>
      <w:r w:rsidR="002D6A30">
        <w:t xml:space="preserve"> Nicol and Crespo (2006) </w:t>
      </w:r>
      <w:r w:rsidR="004F547D">
        <w:t xml:space="preserve">term </w:t>
      </w:r>
      <w:r w:rsidR="002D6A30">
        <w:t xml:space="preserve">learning </w:t>
      </w:r>
      <w:r w:rsidR="002D6A30" w:rsidRPr="00F85AB7">
        <w:rPr>
          <w:i/>
          <w:iCs/>
        </w:rPr>
        <w:t>from</w:t>
      </w:r>
      <w:r w:rsidR="002D6A30">
        <w:t xml:space="preserve"> MaCMs</w:t>
      </w:r>
      <w:r w:rsidR="00F85AB7">
        <w:t xml:space="preserve">, </w:t>
      </w:r>
      <w:r w:rsidR="00AF197C">
        <w:t>where</w:t>
      </w:r>
      <w:r w:rsidR="00F85AB7">
        <w:t xml:space="preserve"> </w:t>
      </w:r>
      <w:r w:rsidR="00723484">
        <w:t>the</w:t>
      </w:r>
      <w:r w:rsidR="00293CB4">
        <w:t xml:space="preserve"> aim</w:t>
      </w:r>
      <w:r w:rsidR="00F85AB7">
        <w:t xml:space="preserve"> </w:t>
      </w:r>
      <w:r w:rsidR="00723484">
        <w:t xml:space="preserve">is for PTs </w:t>
      </w:r>
      <w:r w:rsidR="00F85AB7">
        <w:t>to learn mathematic</w:t>
      </w:r>
      <w:r w:rsidR="00FF4B41">
        <w:t>al</w:t>
      </w:r>
      <w:r w:rsidR="00F85AB7">
        <w:t xml:space="preserve"> content from the </w:t>
      </w:r>
      <w:r w:rsidR="00E73EA0">
        <w:t>material</w:t>
      </w:r>
      <w:r w:rsidR="00F85AB7">
        <w:t>s.</w:t>
      </w:r>
      <w:r w:rsidR="001F6053">
        <w:t xml:space="preserve"> </w:t>
      </w:r>
      <w:r w:rsidR="00136A63">
        <w:t xml:space="preserve">The critical area </w:t>
      </w:r>
      <w:r w:rsidR="00136A63" w:rsidRPr="00F814BD">
        <w:rPr>
          <w:i/>
          <w:iCs/>
        </w:rPr>
        <w:t>learning about curriculum</w:t>
      </w:r>
      <w:r w:rsidR="00FD50F4" w:rsidRPr="00117A04">
        <w:t>,</w:t>
      </w:r>
      <w:r w:rsidR="000D6F5C">
        <w:t xml:space="preserve"> focus</w:t>
      </w:r>
      <w:r w:rsidR="00BF2A3C">
        <w:t>es</w:t>
      </w:r>
      <w:r w:rsidR="000D6F5C">
        <w:t xml:space="preserve"> on</w:t>
      </w:r>
      <w:r w:rsidR="00F93FEE">
        <w:t xml:space="preserve"> </w:t>
      </w:r>
      <w:proofErr w:type="spellStart"/>
      <w:r w:rsidR="00F93FEE">
        <w:t>PTs</w:t>
      </w:r>
      <w:r w:rsidR="00EC2124">
        <w:t>’</w:t>
      </w:r>
      <w:proofErr w:type="spellEnd"/>
      <w:r w:rsidR="00F93FEE">
        <w:t xml:space="preserve"> </w:t>
      </w:r>
      <w:r w:rsidR="0092799C">
        <w:t>analys</w:t>
      </w:r>
      <w:r w:rsidR="00EC2124">
        <w:t>es of</w:t>
      </w:r>
      <w:r w:rsidR="0092799C">
        <w:t xml:space="preserve"> </w:t>
      </w:r>
      <w:r w:rsidR="005F763C">
        <w:t>MaCMs</w:t>
      </w:r>
      <w:r w:rsidR="0092799C">
        <w:t xml:space="preserve"> </w:t>
      </w:r>
      <w:r w:rsidR="00607345">
        <w:t>from</w:t>
      </w:r>
      <w:r w:rsidR="0092799C">
        <w:t xml:space="preserve"> </w:t>
      </w:r>
      <w:r w:rsidR="005F763C">
        <w:t>various</w:t>
      </w:r>
      <w:r w:rsidR="0092799C">
        <w:t xml:space="preserve"> </w:t>
      </w:r>
      <w:r w:rsidR="00607345">
        <w:t>perspectives</w:t>
      </w:r>
      <w:r w:rsidR="007967F0">
        <w:t xml:space="preserve"> to understand their structure and purpose</w:t>
      </w:r>
      <w:r w:rsidR="000D6F5C">
        <w:t xml:space="preserve"> – learning </w:t>
      </w:r>
      <w:r w:rsidR="000D6F5C" w:rsidRPr="000D6F5C">
        <w:rPr>
          <w:i/>
          <w:iCs/>
        </w:rPr>
        <w:t>about</w:t>
      </w:r>
      <w:r w:rsidR="000D6F5C">
        <w:t xml:space="preserve"> the material</w:t>
      </w:r>
      <w:r w:rsidR="0092799C">
        <w:t>.</w:t>
      </w:r>
      <w:r w:rsidR="00AC1902">
        <w:t xml:space="preserve"> The critical area </w:t>
      </w:r>
      <w:r w:rsidR="00C93679" w:rsidRPr="000D6540">
        <w:rPr>
          <w:i/>
          <w:iCs/>
        </w:rPr>
        <w:t xml:space="preserve">learning </w:t>
      </w:r>
      <w:r w:rsidR="000D6540" w:rsidRPr="000D6540">
        <w:rPr>
          <w:i/>
          <w:iCs/>
        </w:rPr>
        <w:t>mathematics teaching and learning</w:t>
      </w:r>
      <w:r w:rsidR="00363AF6">
        <w:t xml:space="preserve"> encompasses </w:t>
      </w:r>
      <w:proofErr w:type="spellStart"/>
      <w:r w:rsidR="00363AF6" w:rsidRPr="00B90A72">
        <w:rPr>
          <w:lang w:val="en-US"/>
        </w:rPr>
        <w:t>PTs</w:t>
      </w:r>
      <w:r w:rsidR="00EC2124">
        <w:rPr>
          <w:lang w:val="en-US"/>
        </w:rPr>
        <w:t>’</w:t>
      </w:r>
      <w:proofErr w:type="spellEnd"/>
      <w:r w:rsidR="00363AF6" w:rsidRPr="00B90A72">
        <w:rPr>
          <w:lang w:val="en-US"/>
        </w:rPr>
        <w:t xml:space="preserve"> </w:t>
      </w:r>
      <w:r w:rsidR="00363AF6">
        <w:rPr>
          <w:lang w:val="en-US"/>
        </w:rPr>
        <w:t>engagement with</w:t>
      </w:r>
      <w:r w:rsidR="00363AF6" w:rsidRPr="00B90A72">
        <w:rPr>
          <w:lang w:val="en-US"/>
        </w:rPr>
        <w:t xml:space="preserve"> curriculum materials as a foundation for lesson planning and teaching</w:t>
      </w:r>
      <w:r w:rsidR="00955A48">
        <w:rPr>
          <w:lang w:val="en-US"/>
        </w:rPr>
        <w:t>.</w:t>
      </w:r>
      <w:r w:rsidR="0062754C">
        <w:t xml:space="preserve"> </w:t>
      </w:r>
      <w:r w:rsidR="00EE1DE9">
        <w:t>This</w:t>
      </w:r>
      <w:r w:rsidR="0062754C">
        <w:t xml:space="preserve"> </w:t>
      </w:r>
      <w:r w:rsidR="00F84FBB">
        <w:t>corresponds</w:t>
      </w:r>
      <w:r w:rsidR="0062754C">
        <w:t xml:space="preserve"> </w:t>
      </w:r>
      <w:r w:rsidR="0060510E">
        <w:t>to</w:t>
      </w:r>
      <w:r w:rsidR="003727E8">
        <w:t xml:space="preserve"> </w:t>
      </w:r>
      <w:r w:rsidR="00955A48">
        <w:t xml:space="preserve">what Nicol and Crespo (2006) term </w:t>
      </w:r>
      <w:r w:rsidR="00EE1DE9">
        <w:t xml:space="preserve">learning </w:t>
      </w:r>
      <w:r w:rsidR="00EE1DE9" w:rsidRPr="00EE1DE9">
        <w:rPr>
          <w:i/>
          <w:iCs/>
        </w:rPr>
        <w:t>with</w:t>
      </w:r>
      <w:r w:rsidR="00EE1DE9">
        <w:t xml:space="preserve"> MaCMs</w:t>
      </w:r>
      <w:r w:rsidR="001D6837">
        <w:t>.</w:t>
      </w:r>
      <w:r w:rsidR="00813CBC">
        <w:t xml:space="preserve"> </w:t>
      </w:r>
      <w:r w:rsidR="008E6407">
        <w:t>As illustrated in Figure 1</w:t>
      </w:r>
      <w:r w:rsidR="008E175A">
        <w:t>,</w:t>
      </w:r>
      <w:r w:rsidR="00CD4F84">
        <w:t xml:space="preserve"> three learning objectives</w:t>
      </w:r>
      <w:r w:rsidR="009210E7">
        <w:t xml:space="preserve"> </w:t>
      </w:r>
      <w:r w:rsidR="00A11AFD">
        <w:t>for</w:t>
      </w:r>
      <w:r w:rsidR="009210E7">
        <w:t xml:space="preserve"> implementing MaCMs in TE</w:t>
      </w:r>
      <w:r w:rsidR="001F0D5E">
        <w:t xml:space="preserve"> are </w:t>
      </w:r>
      <w:r w:rsidR="00197D5B">
        <w:t>established</w:t>
      </w:r>
      <w:r w:rsidR="003366B0">
        <w:t xml:space="preserve"> </w:t>
      </w:r>
      <w:r w:rsidR="00C95963">
        <w:t>–</w:t>
      </w:r>
      <w:r w:rsidR="009210E7">
        <w:t xml:space="preserve"> learning </w:t>
      </w:r>
      <w:r w:rsidR="009210E7" w:rsidRPr="008E175A">
        <w:rPr>
          <w:i/>
          <w:iCs/>
        </w:rPr>
        <w:t>from</w:t>
      </w:r>
      <w:r w:rsidR="009210E7">
        <w:t xml:space="preserve">, </w:t>
      </w:r>
      <w:r w:rsidR="009210E7" w:rsidRPr="008E175A">
        <w:rPr>
          <w:i/>
          <w:iCs/>
        </w:rPr>
        <w:t>about</w:t>
      </w:r>
      <w:r w:rsidR="009210E7">
        <w:t xml:space="preserve"> and </w:t>
      </w:r>
      <w:r w:rsidR="009210E7" w:rsidRPr="008E175A">
        <w:rPr>
          <w:i/>
          <w:iCs/>
        </w:rPr>
        <w:t>with</w:t>
      </w:r>
      <w:r w:rsidR="009210E7">
        <w:t xml:space="preserve"> M</w:t>
      </w:r>
      <w:r w:rsidR="009E795C">
        <w:t>a</w:t>
      </w:r>
      <w:r w:rsidR="009210E7">
        <w:t>CMs.</w:t>
      </w:r>
    </w:p>
    <w:p w14:paraId="5D180900" w14:textId="77777777" w:rsidR="00F32367" w:rsidRPr="00F32367" w:rsidRDefault="00F32367" w:rsidP="00F32367"/>
    <w:p w14:paraId="2FD342BB" w14:textId="3D2EECAA" w:rsidR="007F1C1A" w:rsidRDefault="00831450" w:rsidP="007F1C1A">
      <w:pPr>
        <w:ind w:firstLine="0"/>
      </w:pPr>
      <w:r>
        <w:rPr>
          <w:noProof/>
        </w:rPr>
        <w:drawing>
          <wp:inline distT="0" distB="0" distL="0" distR="0" wp14:anchorId="18CE8524" wp14:editId="5D94E3B7">
            <wp:extent cx="5396865" cy="1312981"/>
            <wp:effectExtent l="0" t="0" r="0" b="1905"/>
            <wp:docPr id="184247760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77608" name="Bildobjekt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131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6EA54" w14:textId="5BBCB392" w:rsidR="00BF0406" w:rsidRPr="00F62A79" w:rsidRDefault="00831450" w:rsidP="00F62A79">
      <w:pPr>
        <w:pStyle w:val="Headtable"/>
      </w:pPr>
      <w:r>
        <w:t xml:space="preserve">Figure </w:t>
      </w:r>
      <w:r w:rsidR="008E6407">
        <w:t>1</w:t>
      </w:r>
      <w:r>
        <w:t xml:space="preserve">. Connection between </w:t>
      </w:r>
      <w:r w:rsidR="000D63AB">
        <w:t xml:space="preserve">the </w:t>
      </w:r>
      <w:r>
        <w:t>three critical areas for PTs learning</w:t>
      </w:r>
      <w:r w:rsidR="00386510">
        <w:t xml:space="preserve"> from MaCMs</w:t>
      </w:r>
      <w:r>
        <w:t xml:space="preserve"> (Lloyd, 2006)</w:t>
      </w:r>
      <w:r w:rsidR="00D760B6">
        <w:t xml:space="preserve"> and</w:t>
      </w:r>
      <w:r w:rsidR="00046779">
        <w:t xml:space="preserve"> applied</w:t>
      </w:r>
      <w:r w:rsidR="00D760B6">
        <w:t xml:space="preserve"> learning objectives </w:t>
      </w:r>
      <w:r w:rsidR="00022970">
        <w:t>when implementing MaCMs in TE.</w:t>
      </w:r>
    </w:p>
    <w:p w14:paraId="1FF8CAE2" w14:textId="7F9ECFCD" w:rsidR="00FB4262" w:rsidRDefault="00EA5AE6" w:rsidP="003D2D6E">
      <w:pPr>
        <w:pStyle w:val="Rubrik4"/>
      </w:pPr>
      <w:r>
        <w:t>A</w:t>
      </w:r>
      <w:r w:rsidR="00FA0F32">
        <w:t>ctivities and prospective teachers’ learning</w:t>
      </w:r>
      <w:r w:rsidR="00E4314F">
        <w:t>, theoretical constructs and research findings and conclusions</w:t>
      </w:r>
    </w:p>
    <w:p w14:paraId="5495644D" w14:textId="0CE5441D" w:rsidR="00071A81" w:rsidRDefault="00071A81" w:rsidP="007C0F35">
      <w:pPr>
        <w:pStyle w:val="Brdtext"/>
      </w:pPr>
      <w:r>
        <w:t xml:space="preserve">For each established learning objective </w:t>
      </w:r>
      <w:r w:rsidR="00B82E6C">
        <w:rPr>
          <w:lang w:val="en-US"/>
        </w:rPr>
        <w:t>–</w:t>
      </w:r>
      <w:r>
        <w:rPr>
          <w:lang w:val="en-US"/>
        </w:rPr>
        <w:t xml:space="preserve"> learning </w:t>
      </w:r>
      <w:r w:rsidRPr="0089124A">
        <w:rPr>
          <w:i/>
          <w:iCs/>
          <w:lang w:val="en-US"/>
        </w:rPr>
        <w:t>from, about</w:t>
      </w:r>
      <w:r>
        <w:rPr>
          <w:lang w:val="en-US"/>
        </w:rPr>
        <w:t xml:space="preserve"> and </w:t>
      </w:r>
      <w:r w:rsidRPr="0089124A">
        <w:rPr>
          <w:i/>
          <w:iCs/>
          <w:lang w:val="en-US"/>
        </w:rPr>
        <w:t>with</w:t>
      </w:r>
      <w:r>
        <w:rPr>
          <w:lang w:val="en-US"/>
        </w:rPr>
        <w:t xml:space="preserve"> MaCMs </w:t>
      </w:r>
      <w:r w:rsidR="00EA6F13">
        <w:rPr>
          <w:lang w:val="en-US"/>
        </w:rPr>
        <w:t>–</w:t>
      </w:r>
      <w:r>
        <w:rPr>
          <w:lang w:val="en-US"/>
        </w:rPr>
        <w:t xml:space="preserve"> </w:t>
      </w:r>
      <w:r w:rsidR="00EA6F13">
        <w:rPr>
          <w:lang w:val="en-US"/>
        </w:rPr>
        <w:t>the 44 included papers were searched for</w:t>
      </w:r>
      <w:r w:rsidR="0013770B">
        <w:rPr>
          <w:lang w:val="en-US"/>
        </w:rPr>
        <w:t xml:space="preserve"> </w:t>
      </w:r>
      <w:r w:rsidR="002B6301">
        <w:rPr>
          <w:lang w:val="en-US"/>
        </w:rPr>
        <w:t xml:space="preserve">crucial </w:t>
      </w:r>
      <w:r w:rsidR="00576421">
        <w:rPr>
          <w:lang w:val="en-US"/>
        </w:rPr>
        <w:t>actionable</w:t>
      </w:r>
      <w:r w:rsidR="0013770B">
        <w:rPr>
          <w:lang w:val="en-US"/>
        </w:rPr>
        <w:t xml:space="preserve"> aspects</w:t>
      </w:r>
      <w:r w:rsidR="00EA6F13">
        <w:rPr>
          <w:lang w:val="en-US"/>
        </w:rPr>
        <w:t xml:space="preserve"> </w:t>
      </w:r>
      <w:r w:rsidR="00B82E6C">
        <w:rPr>
          <w:lang w:val="en-US"/>
        </w:rPr>
        <w:t xml:space="preserve">when implementing </w:t>
      </w:r>
      <w:r w:rsidR="00B82E6C">
        <w:rPr>
          <w:lang w:val="en-US"/>
        </w:rPr>
        <w:lastRenderedPageBreak/>
        <w:t xml:space="preserve">MaCMs in TE – </w:t>
      </w:r>
      <w:r>
        <w:t>implemented a</w:t>
      </w:r>
      <w:r w:rsidRPr="0037179E">
        <w:t xml:space="preserve">ctivities and </w:t>
      </w:r>
      <w:proofErr w:type="spellStart"/>
      <w:r w:rsidRPr="0037179E">
        <w:t>PTs’</w:t>
      </w:r>
      <w:proofErr w:type="spellEnd"/>
      <w:r w:rsidRPr="0037179E">
        <w:t xml:space="preserve"> learning outcomes, theoretical constructs, and research findings and conclusions</w:t>
      </w:r>
      <w:r w:rsidRPr="00990EC8">
        <w:t>.</w:t>
      </w:r>
    </w:p>
    <w:p w14:paraId="0235C035" w14:textId="78469215" w:rsidR="00071A81" w:rsidRDefault="005575F8" w:rsidP="00DF2F80">
      <w:r>
        <w:t>In l</w:t>
      </w:r>
      <w:r w:rsidR="00071A81" w:rsidRPr="00E61138">
        <w:t xml:space="preserve">earning </w:t>
      </w:r>
      <w:r w:rsidR="00071A81" w:rsidRPr="008652A1">
        <w:rPr>
          <w:i/>
          <w:iCs/>
        </w:rPr>
        <w:t>from</w:t>
      </w:r>
      <w:r w:rsidR="00071A81" w:rsidRPr="00E61138">
        <w:t xml:space="preserve"> MaCMs</w:t>
      </w:r>
      <w:r w:rsidR="0022537D">
        <w:t>,</w:t>
      </w:r>
      <w:r w:rsidR="00071A81" w:rsidRPr="00E61138">
        <w:t xml:space="preserve"> </w:t>
      </w:r>
      <w:r w:rsidR="00157176">
        <w:t>t</w:t>
      </w:r>
      <w:r w:rsidR="00071A81" w:rsidRPr="00E61138">
        <w:t>ypical activities</w:t>
      </w:r>
      <w:r w:rsidR="00F47AEA">
        <w:t xml:space="preserve"> found in the analysis</w:t>
      </w:r>
      <w:r w:rsidR="00071A81" w:rsidRPr="00E61138">
        <w:t xml:space="preserve"> involve PTs engaging with materials as pupils</w:t>
      </w:r>
      <w:r w:rsidR="00C315C4">
        <w:t xml:space="preserve"> (e.g.</w:t>
      </w:r>
      <w:r w:rsidR="009E3149">
        <w:t xml:space="preserve"> </w:t>
      </w:r>
      <w:r w:rsidR="00AE2194">
        <w:t>Frykholm, 2005)</w:t>
      </w:r>
      <w:r w:rsidR="00216749">
        <w:t xml:space="preserve">, </w:t>
      </w:r>
      <w:r w:rsidR="00071A81">
        <w:t>work</w:t>
      </w:r>
      <w:r w:rsidR="00216749">
        <w:t>ing</w:t>
      </w:r>
      <w:r w:rsidR="00071A81">
        <w:t xml:space="preserve"> with </w:t>
      </w:r>
      <w:r w:rsidR="00F71591">
        <w:t>several mathematics areas</w:t>
      </w:r>
      <w:r w:rsidR="00E56B90">
        <w:t>,</w:t>
      </w:r>
      <w:r w:rsidR="00071A81" w:rsidRPr="00D13AFD">
        <w:t xml:space="preserve"> classifying mathematical tasks</w:t>
      </w:r>
      <w:r w:rsidR="00B638C6">
        <w:t xml:space="preserve"> </w:t>
      </w:r>
      <w:r w:rsidR="003261B5">
        <w:t>(</w:t>
      </w:r>
      <w:r w:rsidR="00C315C4">
        <w:t>Dempsey &amp; O’Shea, 2020)</w:t>
      </w:r>
      <w:r w:rsidR="00071A81" w:rsidRPr="00D13AFD">
        <w:t xml:space="preserve"> and interpreting mathematical definitions</w:t>
      </w:r>
      <w:r w:rsidR="00104261">
        <w:t xml:space="preserve"> (Chesler, 2012)</w:t>
      </w:r>
      <w:r w:rsidR="00071A81" w:rsidRPr="00D13AFD">
        <w:t>.</w:t>
      </w:r>
      <w:r w:rsidR="00071A81">
        <w:t xml:space="preserve"> </w:t>
      </w:r>
      <w:r w:rsidR="008579D3">
        <w:t xml:space="preserve">In searching for </w:t>
      </w:r>
      <w:r w:rsidR="00FA3095">
        <w:t xml:space="preserve">applied </w:t>
      </w:r>
      <w:r w:rsidR="002A72B9">
        <w:t>theoretical constructs,</w:t>
      </w:r>
      <w:r w:rsidR="00EE457E">
        <w:t xml:space="preserve"> </w:t>
      </w:r>
      <w:r w:rsidR="002537F0">
        <w:t xml:space="preserve">some </w:t>
      </w:r>
      <w:r w:rsidR="00EE457E">
        <w:t>frameworks</w:t>
      </w:r>
      <w:r w:rsidR="00AB1E63" w:rsidRPr="00AB1E63">
        <w:t xml:space="preserve"> </w:t>
      </w:r>
      <w:r w:rsidR="00AB1E63">
        <w:t xml:space="preserve">for </w:t>
      </w:r>
      <w:r w:rsidR="00AB1E63" w:rsidRPr="00D35942">
        <w:t>classifying mathematical tasks</w:t>
      </w:r>
      <w:r w:rsidR="00EF0CB3">
        <w:t xml:space="preserve"> (e.g.</w:t>
      </w:r>
      <w:r w:rsidR="009604D5">
        <w:t xml:space="preserve"> </w:t>
      </w:r>
      <w:r w:rsidR="00BF1E19">
        <w:t>Lithner, 2008)</w:t>
      </w:r>
      <w:r w:rsidR="00EE457E">
        <w:t xml:space="preserve"> were </w:t>
      </w:r>
      <w:r w:rsidR="00AB1E63">
        <w:t>found</w:t>
      </w:r>
      <w:r w:rsidR="0063320C">
        <w:t xml:space="preserve"> and</w:t>
      </w:r>
      <w:r w:rsidR="00071A81" w:rsidRPr="00D35942">
        <w:t xml:space="preserve"> the </w:t>
      </w:r>
      <w:r w:rsidR="00071A81" w:rsidRPr="007779A6">
        <w:rPr>
          <w:i/>
          <w:iCs/>
        </w:rPr>
        <w:t>MKT framework</w:t>
      </w:r>
      <w:r w:rsidR="00071A81" w:rsidRPr="00D35942">
        <w:t xml:space="preserve"> </w:t>
      </w:r>
      <w:r w:rsidR="00BF1E19">
        <w:t xml:space="preserve">(Ball et al., 2008) </w:t>
      </w:r>
      <w:r w:rsidR="00FE5D2D">
        <w:t>was found</w:t>
      </w:r>
      <w:r w:rsidR="00071A81" w:rsidRPr="00D35942">
        <w:t xml:space="preserve"> to structure the investigation of </w:t>
      </w:r>
      <w:proofErr w:type="spellStart"/>
      <w:r w:rsidR="00071A81" w:rsidRPr="00D35942">
        <w:t>PTs’</w:t>
      </w:r>
      <w:proofErr w:type="spellEnd"/>
      <w:r w:rsidR="00071A81" w:rsidRPr="00D35942">
        <w:t xml:space="preserve"> mathematical understanding</w:t>
      </w:r>
      <w:r w:rsidR="00071A81">
        <w:t xml:space="preserve">. </w:t>
      </w:r>
      <w:r w:rsidR="00F26E59">
        <w:t>Regarding</w:t>
      </w:r>
      <w:r w:rsidR="0027695E">
        <w:t xml:space="preserve"> </w:t>
      </w:r>
      <w:r w:rsidR="00071A81">
        <w:t>research</w:t>
      </w:r>
      <w:r w:rsidR="00071A81" w:rsidRPr="001D27D7">
        <w:t xml:space="preserve"> conclusion</w:t>
      </w:r>
      <w:r w:rsidR="00071A81">
        <w:t>s</w:t>
      </w:r>
      <w:r w:rsidR="00A36943">
        <w:t>,</w:t>
      </w:r>
      <w:r w:rsidR="00071A81" w:rsidRPr="001D27D7">
        <w:t xml:space="preserve"> </w:t>
      </w:r>
      <w:r w:rsidR="005249DA">
        <w:t xml:space="preserve">the </w:t>
      </w:r>
      <w:r w:rsidR="00E64253">
        <w:t>analys</w:t>
      </w:r>
      <w:r w:rsidR="00D73C49">
        <w:t>i</w:t>
      </w:r>
      <w:r w:rsidR="00E64253">
        <w:t xml:space="preserve">s revealed </w:t>
      </w:r>
      <w:r w:rsidR="005249DA">
        <w:t xml:space="preserve">that </w:t>
      </w:r>
      <w:r w:rsidR="00071A81" w:rsidRPr="001D27D7">
        <w:t xml:space="preserve">mathematics instruction for PTs should </w:t>
      </w:r>
      <w:r w:rsidR="00071A81">
        <w:t>be</w:t>
      </w:r>
      <w:r w:rsidR="00071A81" w:rsidRPr="001D27D7">
        <w:t xml:space="preserve"> qualitatively</w:t>
      </w:r>
      <w:r w:rsidR="00071A81">
        <w:t xml:space="preserve"> different</w:t>
      </w:r>
      <w:r w:rsidR="00071A81" w:rsidRPr="001D27D7">
        <w:t xml:space="preserve"> from traditional university mathematics teaching</w:t>
      </w:r>
      <w:r w:rsidR="00071A81">
        <w:t xml:space="preserve">, </w:t>
      </w:r>
      <w:r w:rsidR="00071A81" w:rsidRPr="001D27D7">
        <w:t>directly connected to the mathematics they will later teach</w:t>
      </w:r>
      <w:r w:rsidR="004C1428">
        <w:t xml:space="preserve"> </w:t>
      </w:r>
      <w:r w:rsidR="00147D5D">
        <w:t>(Lutz &amp; Berglund, 2007)</w:t>
      </w:r>
      <w:r w:rsidR="00071A81" w:rsidRPr="001D27D7">
        <w:t xml:space="preserve">. </w:t>
      </w:r>
      <w:r w:rsidR="00165D41">
        <w:t xml:space="preserve">It </w:t>
      </w:r>
      <w:r w:rsidR="00C6607A">
        <w:t>was also</w:t>
      </w:r>
      <w:r w:rsidR="00165D41">
        <w:t xml:space="preserve"> i</w:t>
      </w:r>
      <w:r w:rsidR="00071A81" w:rsidRPr="001D27D7">
        <w:t>ndicate</w:t>
      </w:r>
      <w:r w:rsidR="00165D41">
        <w:t>d</w:t>
      </w:r>
      <w:r w:rsidR="00071A81" w:rsidRPr="001D27D7">
        <w:t xml:space="preserve"> that PTs</w:t>
      </w:r>
      <w:r w:rsidR="008E0C15">
        <w:t xml:space="preserve"> </w:t>
      </w:r>
      <w:r w:rsidR="00071A81" w:rsidRPr="001D27D7">
        <w:t>learn mathematical content using standards-based materials</w:t>
      </w:r>
      <w:r w:rsidR="00071A81">
        <w:t xml:space="preserve">, </w:t>
      </w:r>
      <w:r w:rsidR="00071A81" w:rsidRPr="001D27D7">
        <w:t>sometimes more effectively than with traditional university textbooks</w:t>
      </w:r>
      <w:r w:rsidR="00971FFE">
        <w:t xml:space="preserve"> (</w:t>
      </w:r>
      <w:r w:rsidR="004C1428">
        <w:t>Spielman &amp; Lloyd, 2004)</w:t>
      </w:r>
      <w:r w:rsidR="00071A81" w:rsidRPr="001D27D7">
        <w:t>.</w:t>
      </w:r>
    </w:p>
    <w:p w14:paraId="631B69BF" w14:textId="201C76B8" w:rsidR="00071A81" w:rsidRDefault="00071A81" w:rsidP="00DF2F80">
      <w:pPr>
        <w:rPr>
          <w:lang w:val="en-US"/>
        </w:rPr>
      </w:pPr>
      <w:r>
        <w:rPr>
          <w:lang w:val="en-US"/>
        </w:rPr>
        <w:t xml:space="preserve">In </w:t>
      </w:r>
      <w:r w:rsidRPr="003E34DB">
        <w:rPr>
          <w:lang w:val="en-US"/>
        </w:rPr>
        <w:t>learning</w:t>
      </w:r>
      <w:r w:rsidRPr="003E34DB">
        <w:rPr>
          <w:i/>
          <w:iCs/>
          <w:lang w:val="en-US"/>
        </w:rPr>
        <w:t xml:space="preserve"> about</w:t>
      </w:r>
      <w:r w:rsidRPr="003E34DB">
        <w:rPr>
          <w:lang w:val="en-US"/>
        </w:rPr>
        <w:t> MaCMs</w:t>
      </w:r>
      <w:r>
        <w:rPr>
          <w:lang w:val="en-US"/>
        </w:rPr>
        <w:t xml:space="preserve">, </w:t>
      </w:r>
      <w:r w:rsidR="009B7BF2">
        <w:rPr>
          <w:lang w:val="en-US"/>
        </w:rPr>
        <w:t>t</w:t>
      </w:r>
      <w:r w:rsidRPr="003E34DB">
        <w:rPr>
          <w:lang w:val="en-US"/>
        </w:rPr>
        <w:t xml:space="preserve">ypical activities </w:t>
      </w:r>
      <w:r w:rsidR="007C18C5">
        <w:rPr>
          <w:lang w:val="en-US"/>
        </w:rPr>
        <w:t>found in the analysis</w:t>
      </w:r>
      <w:r w:rsidR="00BC0167">
        <w:rPr>
          <w:lang w:val="en-US"/>
        </w:rPr>
        <w:t xml:space="preserve"> </w:t>
      </w:r>
      <w:r w:rsidRPr="003E34DB">
        <w:rPr>
          <w:lang w:val="en-US"/>
        </w:rPr>
        <w:t>include</w:t>
      </w:r>
      <w:r>
        <w:rPr>
          <w:lang w:val="en-US"/>
        </w:rPr>
        <w:t xml:space="preserve"> students </w:t>
      </w:r>
      <w:proofErr w:type="spellStart"/>
      <w:r>
        <w:rPr>
          <w:lang w:val="en-US"/>
        </w:rPr>
        <w:t>analy</w:t>
      </w:r>
      <w:r w:rsidR="00D73C49">
        <w:rPr>
          <w:lang w:val="en-US"/>
        </w:rPr>
        <w:t>s</w:t>
      </w:r>
      <w:r>
        <w:rPr>
          <w:lang w:val="en-US"/>
        </w:rPr>
        <w:t>ing</w:t>
      </w:r>
      <w:proofErr w:type="spellEnd"/>
      <w:r>
        <w:rPr>
          <w:lang w:val="en-US"/>
        </w:rPr>
        <w:t xml:space="preserve"> </w:t>
      </w:r>
      <w:r w:rsidR="00E0697B">
        <w:rPr>
          <w:lang w:val="en-US"/>
        </w:rPr>
        <w:t>MaCMs</w:t>
      </w:r>
      <w:r w:rsidR="004B457B">
        <w:rPr>
          <w:lang w:val="en-US"/>
        </w:rPr>
        <w:t xml:space="preserve"> from several perspectives (e.g. Males et al., 2015)</w:t>
      </w:r>
      <w:r w:rsidRPr="003E34DB">
        <w:rPr>
          <w:lang w:val="en-US"/>
        </w:rPr>
        <w:t> and</w:t>
      </w:r>
      <w:r w:rsidR="00AB4186">
        <w:rPr>
          <w:lang w:val="en-US"/>
        </w:rPr>
        <w:t xml:space="preserve"> </w:t>
      </w:r>
      <w:r>
        <w:rPr>
          <w:lang w:val="en-US"/>
        </w:rPr>
        <w:t>comparing different MaCMs</w:t>
      </w:r>
      <w:r w:rsidR="004B457B">
        <w:rPr>
          <w:lang w:val="en-US"/>
        </w:rPr>
        <w:t xml:space="preserve"> (</w:t>
      </w:r>
      <w:r w:rsidR="007463C5">
        <w:rPr>
          <w:lang w:val="en-US"/>
        </w:rPr>
        <w:t>Lloyd &amp; Behm, 2005</w:t>
      </w:r>
      <w:r w:rsidR="002C20FC">
        <w:rPr>
          <w:lang w:val="en-US"/>
        </w:rPr>
        <w:t>)</w:t>
      </w:r>
      <w:r>
        <w:rPr>
          <w:lang w:val="en-US"/>
        </w:rPr>
        <w:t>.</w:t>
      </w:r>
      <w:r w:rsidRPr="003E34DB">
        <w:rPr>
          <w:lang w:val="en-US"/>
        </w:rPr>
        <w:t xml:space="preserve"> </w:t>
      </w:r>
      <w:r>
        <w:rPr>
          <w:lang w:val="en-US"/>
        </w:rPr>
        <w:t>For such analyses,</w:t>
      </w:r>
      <w:r w:rsidRPr="006A0916">
        <w:t xml:space="preserve"> various frameworks for textbook analysis </w:t>
      </w:r>
      <w:r>
        <w:t>were</w:t>
      </w:r>
      <w:r w:rsidRPr="006A0916">
        <w:t xml:space="preserve"> employed</w:t>
      </w:r>
      <w:r w:rsidR="00BC0167">
        <w:t xml:space="preserve">, such as </w:t>
      </w:r>
      <w:r w:rsidRPr="00746310">
        <w:rPr>
          <w:i/>
          <w:iCs/>
        </w:rPr>
        <w:t>Documentational genesis</w:t>
      </w:r>
      <w:r w:rsidR="000F39A2">
        <w:rPr>
          <w:i/>
          <w:iCs/>
        </w:rPr>
        <w:t xml:space="preserve"> </w:t>
      </w:r>
      <w:r w:rsidR="000F39A2" w:rsidRPr="006A0916">
        <w:t>(</w:t>
      </w:r>
      <w:proofErr w:type="spellStart"/>
      <w:r w:rsidR="000F39A2" w:rsidRPr="006A0916">
        <w:t>Gueudet</w:t>
      </w:r>
      <w:proofErr w:type="spellEnd"/>
      <w:r w:rsidR="000F39A2" w:rsidRPr="006A0916">
        <w:t xml:space="preserve"> &amp; </w:t>
      </w:r>
      <w:proofErr w:type="spellStart"/>
      <w:r w:rsidR="000F39A2" w:rsidRPr="006A0916">
        <w:t>Trouche</w:t>
      </w:r>
      <w:proofErr w:type="spellEnd"/>
      <w:r w:rsidR="000F39A2" w:rsidRPr="006A0916">
        <w:t>, 2009)</w:t>
      </w:r>
      <w:r w:rsidRPr="006A0916">
        <w:t>, </w:t>
      </w:r>
      <w:r w:rsidRPr="008155DD">
        <w:rPr>
          <w:i/>
          <w:iCs/>
        </w:rPr>
        <w:t>Key Pedagogies of Practice</w:t>
      </w:r>
      <w:r w:rsidR="000F39A2">
        <w:rPr>
          <w:i/>
          <w:iCs/>
        </w:rPr>
        <w:t xml:space="preserve"> </w:t>
      </w:r>
      <w:r w:rsidR="00533391" w:rsidRPr="006A0916">
        <w:t>(Grossman et al., 2009)</w:t>
      </w:r>
      <w:r w:rsidRPr="006A0916">
        <w:t>, and the </w:t>
      </w:r>
      <w:r w:rsidRPr="008155DD">
        <w:rPr>
          <w:i/>
          <w:iCs/>
        </w:rPr>
        <w:t>Curriculum Spaces Analysis Tool</w:t>
      </w:r>
      <w:r w:rsidR="00C63734">
        <w:rPr>
          <w:i/>
          <w:iCs/>
        </w:rPr>
        <w:t xml:space="preserve"> </w:t>
      </w:r>
      <w:r w:rsidR="00C63734" w:rsidRPr="006A0916">
        <w:t>(Drake et al., 2015)</w:t>
      </w:r>
      <w:r w:rsidRPr="006A0916">
        <w:t xml:space="preserve">. </w:t>
      </w:r>
      <w:r w:rsidR="00CE5052">
        <w:t>Examples of f</w:t>
      </w:r>
      <w:r w:rsidR="00C94305">
        <w:t>ound r</w:t>
      </w:r>
      <w:r>
        <w:t>esearch</w:t>
      </w:r>
      <w:r w:rsidRPr="001D27D7">
        <w:t xml:space="preserve"> conclusion</w:t>
      </w:r>
      <w:r>
        <w:t xml:space="preserve">s </w:t>
      </w:r>
      <w:r w:rsidR="00C94305">
        <w:t>are</w:t>
      </w:r>
      <w:r w:rsidRPr="00796B40">
        <w:rPr>
          <w:lang w:val="en-US"/>
        </w:rPr>
        <w:t xml:space="preserve"> </w:t>
      </w:r>
      <w:r w:rsidR="00166AF4">
        <w:rPr>
          <w:lang w:val="en-US"/>
        </w:rPr>
        <w:t xml:space="preserve">1) </w:t>
      </w:r>
      <w:r>
        <w:rPr>
          <w:lang w:val="en-US"/>
        </w:rPr>
        <w:t>PTs</w:t>
      </w:r>
      <w:r w:rsidRPr="00796B40">
        <w:rPr>
          <w:lang w:val="en-US"/>
        </w:rPr>
        <w:t xml:space="preserve"> benefit from </w:t>
      </w:r>
      <w:proofErr w:type="spellStart"/>
      <w:r w:rsidRPr="00796B40">
        <w:rPr>
          <w:lang w:val="en-US"/>
        </w:rPr>
        <w:t>analy</w:t>
      </w:r>
      <w:r w:rsidR="00AC3455">
        <w:rPr>
          <w:lang w:val="en-US"/>
        </w:rPr>
        <w:t>s</w:t>
      </w:r>
      <w:r w:rsidRPr="00796B40">
        <w:rPr>
          <w:lang w:val="en-US"/>
        </w:rPr>
        <w:t>ing</w:t>
      </w:r>
      <w:proofErr w:type="spellEnd"/>
      <w:r w:rsidRPr="00796B40">
        <w:rPr>
          <w:lang w:val="en-US"/>
        </w:rPr>
        <w:t xml:space="preserve"> </w:t>
      </w:r>
      <w:r>
        <w:rPr>
          <w:lang w:val="en-US"/>
        </w:rPr>
        <w:t>MaCMs</w:t>
      </w:r>
      <w:r w:rsidR="00341459">
        <w:rPr>
          <w:lang w:val="en-US"/>
        </w:rPr>
        <w:t xml:space="preserve"> to</w:t>
      </w:r>
      <w:r w:rsidRPr="00796B40">
        <w:rPr>
          <w:lang w:val="en-US"/>
        </w:rPr>
        <w:t xml:space="preserve"> deepen their understanding</w:t>
      </w:r>
      <w:r w:rsidR="00E56074">
        <w:rPr>
          <w:lang w:val="en-US"/>
        </w:rPr>
        <w:t xml:space="preserve"> of</w:t>
      </w:r>
      <w:r w:rsidR="00002135">
        <w:rPr>
          <w:lang w:val="en-US"/>
        </w:rPr>
        <w:t xml:space="preserve"> the material</w:t>
      </w:r>
      <w:r w:rsidR="00514104">
        <w:rPr>
          <w:lang w:val="en-US"/>
        </w:rPr>
        <w:t>s</w:t>
      </w:r>
      <w:r w:rsidRPr="00796B40">
        <w:rPr>
          <w:lang w:val="en-US"/>
        </w:rPr>
        <w:t xml:space="preserve"> and enhanc</w:t>
      </w:r>
      <w:r w:rsidR="004A5D9A">
        <w:rPr>
          <w:lang w:val="en-US"/>
        </w:rPr>
        <w:t>ing</w:t>
      </w:r>
      <w:r w:rsidRPr="00796B40">
        <w:rPr>
          <w:lang w:val="en-US"/>
        </w:rPr>
        <w:t xml:space="preserve"> their ability to use different resources effectively</w:t>
      </w:r>
      <w:r w:rsidR="00FF2D38">
        <w:rPr>
          <w:lang w:val="en-US"/>
        </w:rPr>
        <w:t xml:space="preserve"> (</w:t>
      </w:r>
      <w:r w:rsidR="00C6772C">
        <w:rPr>
          <w:lang w:val="en-US"/>
        </w:rPr>
        <w:t>Cross &amp; Lloyd, 2011</w:t>
      </w:r>
      <w:r w:rsidR="00FF2D38">
        <w:rPr>
          <w:lang w:val="en-US"/>
        </w:rPr>
        <w:t>)</w:t>
      </w:r>
      <w:r w:rsidR="00C94305">
        <w:rPr>
          <w:lang w:val="en-US"/>
        </w:rPr>
        <w:t>,</w:t>
      </w:r>
      <w:r>
        <w:rPr>
          <w:lang w:val="en-US"/>
        </w:rPr>
        <w:t xml:space="preserve"> </w:t>
      </w:r>
      <w:r w:rsidR="00166AF4">
        <w:rPr>
          <w:lang w:val="en-US"/>
        </w:rPr>
        <w:t>2)</w:t>
      </w:r>
      <w:r w:rsidRPr="00796B40">
        <w:rPr>
          <w:lang w:val="en-US"/>
        </w:rPr>
        <w:t xml:space="preserve"> engaging in critical analysis of MaCMs is more beneficial than focusing solely on their practical use in lesson planning and teaching</w:t>
      </w:r>
      <w:r w:rsidR="004C78DF">
        <w:rPr>
          <w:lang w:val="en-US"/>
        </w:rPr>
        <w:t xml:space="preserve"> </w:t>
      </w:r>
      <w:r w:rsidR="004C78DF">
        <w:t>(</w:t>
      </w:r>
      <w:r w:rsidR="001F2510">
        <w:t>ibid</w:t>
      </w:r>
      <w:r w:rsidR="004C78DF">
        <w:t>)</w:t>
      </w:r>
      <w:r w:rsidR="00166AF4">
        <w:rPr>
          <w:lang w:val="en-US"/>
        </w:rPr>
        <w:t xml:space="preserve"> and 3)</w:t>
      </w:r>
      <w:r w:rsidRPr="00796B40">
        <w:rPr>
          <w:lang w:val="en-US"/>
        </w:rPr>
        <w:t xml:space="preserve"> </w:t>
      </w:r>
      <w:r w:rsidR="006340F6">
        <w:rPr>
          <w:lang w:val="en-US"/>
        </w:rPr>
        <w:t xml:space="preserve">textbook </w:t>
      </w:r>
      <w:r w:rsidRPr="00796B40">
        <w:rPr>
          <w:lang w:val="en-US"/>
        </w:rPr>
        <w:t>analyses are most effective when PTs receive support both from teacher educators and using analytical frameworks</w:t>
      </w:r>
      <w:r w:rsidR="00965A9D">
        <w:rPr>
          <w:lang w:val="en-US"/>
        </w:rPr>
        <w:t>, guiding t</w:t>
      </w:r>
      <w:r w:rsidR="004419BB">
        <w:rPr>
          <w:lang w:val="en-US"/>
        </w:rPr>
        <w:t>heir analyses</w:t>
      </w:r>
      <w:r w:rsidR="00372D31">
        <w:rPr>
          <w:lang w:val="en-US"/>
        </w:rPr>
        <w:t xml:space="preserve"> (</w:t>
      </w:r>
      <w:r w:rsidR="00372D31">
        <w:t>e.g. Earnest &amp; Amador, 2019)</w:t>
      </w:r>
      <w:r w:rsidRPr="00796B40">
        <w:rPr>
          <w:lang w:val="en-US"/>
        </w:rPr>
        <w:t>.</w:t>
      </w:r>
    </w:p>
    <w:p w14:paraId="73BE836F" w14:textId="7CC1C796" w:rsidR="002E22C5" w:rsidRPr="00071A81" w:rsidRDefault="00071A81" w:rsidP="00DF2F80">
      <w:pPr>
        <w:rPr>
          <w:lang w:val="en-US"/>
        </w:rPr>
      </w:pPr>
      <w:r w:rsidRPr="00E219F8">
        <w:rPr>
          <w:lang w:val="en-US"/>
        </w:rPr>
        <w:t>In learning</w:t>
      </w:r>
      <w:r w:rsidRPr="00E219F8">
        <w:rPr>
          <w:i/>
          <w:iCs/>
          <w:lang w:val="en-US"/>
        </w:rPr>
        <w:t xml:space="preserve"> with</w:t>
      </w:r>
      <w:r w:rsidRPr="00E219F8">
        <w:rPr>
          <w:lang w:val="en-US"/>
        </w:rPr>
        <w:t xml:space="preserve"> MaCMs, </w:t>
      </w:r>
      <w:r w:rsidR="002C6F46">
        <w:rPr>
          <w:lang w:val="en-US"/>
        </w:rPr>
        <w:t>t</w:t>
      </w:r>
      <w:r w:rsidRPr="003E34DB">
        <w:rPr>
          <w:lang w:val="en-US"/>
        </w:rPr>
        <w:t xml:space="preserve">ypical activities </w:t>
      </w:r>
      <w:r w:rsidR="0022537D">
        <w:rPr>
          <w:lang w:val="en-US"/>
        </w:rPr>
        <w:t xml:space="preserve">found in the analysis </w:t>
      </w:r>
      <w:r w:rsidRPr="003E34DB">
        <w:rPr>
          <w:lang w:val="en-US"/>
        </w:rPr>
        <w:t>include</w:t>
      </w:r>
      <w:r>
        <w:rPr>
          <w:lang w:val="en-US"/>
        </w:rPr>
        <w:t xml:space="preserve"> </w:t>
      </w:r>
      <w:r w:rsidRPr="00E219F8">
        <w:rPr>
          <w:lang w:val="en-US"/>
        </w:rPr>
        <w:t>reading, planning, and enacting lessons based on MaCMs</w:t>
      </w:r>
      <w:r w:rsidR="00DE5E7A">
        <w:rPr>
          <w:lang w:val="en-US"/>
        </w:rPr>
        <w:t xml:space="preserve"> (</w:t>
      </w:r>
      <w:r w:rsidR="00CB22AA">
        <w:rPr>
          <w:lang w:val="en-US"/>
        </w:rPr>
        <w:t>e.g. Davis, 2009)</w:t>
      </w:r>
      <w:r>
        <w:rPr>
          <w:lang w:val="en-US"/>
        </w:rPr>
        <w:t xml:space="preserve">. </w:t>
      </w:r>
      <w:r w:rsidRPr="00E219F8">
        <w:rPr>
          <w:lang w:val="en-US"/>
        </w:rPr>
        <w:t xml:space="preserve">PTs became familiar with MaCMs as tools for both planning and </w:t>
      </w:r>
      <w:r w:rsidR="00BA0D6B" w:rsidRPr="00E219F8">
        <w:rPr>
          <w:lang w:val="en-US"/>
        </w:rPr>
        <w:t>teaching</w:t>
      </w:r>
      <w:r w:rsidR="00BA0D6B">
        <w:rPr>
          <w:lang w:val="en-US"/>
        </w:rPr>
        <w:t xml:space="preserve"> and</w:t>
      </w:r>
      <w:r w:rsidRPr="00E219F8">
        <w:rPr>
          <w:lang w:val="en-US"/>
        </w:rPr>
        <w:t xml:space="preserve"> recognized that effective curriculum use is more complex than initially anticipated</w:t>
      </w:r>
      <w:r w:rsidR="001421F5">
        <w:rPr>
          <w:lang w:val="en-US"/>
        </w:rPr>
        <w:t xml:space="preserve"> (</w:t>
      </w:r>
      <w:r w:rsidR="00CB7FB5">
        <w:rPr>
          <w:lang w:val="en-US"/>
        </w:rPr>
        <w:t>Behm &amp; Lloyd, 2005)</w:t>
      </w:r>
      <w:r w:rsidRPr="00E219F8">
        <w:rPr>
          <w:lang w:val="en-US"/>
        </w:rPr>
        <w:t>.</w:t>
      </w:r>
      <w:r>
        <w:rPr>
          <w:lang w:val="en-US"/>
        </w:rPr>
        <w:t xml:space="preserve"> </w:t>
      </w:r>
      <w:r>
        <w:t>V</w:t>
      </w:r>
      <w:r w:rsidRPr="00EF3463">
        <w:t>arious frameworks are employed to examine how PTs use and make sense of curriculum materials</w:t>
      </w:r>
      <w:r w:rsidR="006D2347">
        <w:t>, f</w:t>
      </w:r>
      <w:r w:rsidRPr="00EF3463">
        <w:t>or example</w:t>
      </w:r>
      <w:r>
        <w:t xml:space="preserve"> </w:t>
      </w:r>
      <w:r w:rsidRPr="00141EBA">
        <w:rPr>
          <w:i/>
          <w:iCs/>
        </w:rPr>
        <w:t>Types of Curriculum Use</w:t>
      </w:r>
      <w:r w:rsidRPr="00EF3463">
        <w:t> framework</w:t>
      </w:r>
      <w:r w:rsidR="009911B7">
        <w:t xml:space="preserve"> </w:t>
      </w:r>
      <w:r w:rsidR="00A812AD" w:rsidRPr="00EF3463">
        <w:t>(Brown &amp; Edelson, 2003)</w:t>
      </w:r>
      <w:r w:rsidR="00C00912">
        <w:t xml:space="preserve"> </w:t>
      </w:r>
      <w:r w:rsidR="009911B7">
        <w:t>and</w:t>
      </w:r>
      <w:r w:rsidRPr="00EF3463">
        <w:t> </w:t>
      </w:r>
      <w:r w:rsidRPr="006B033A">
        <w:rPr>
          <w:i/>
          <w:iCs/>
        </w:rPr>
        <w:t>Teachers’ Curriculum Use</w:t>
      </w:r>
      <w:r w:rsidR="00D74532">
        <w:rPr>
          <w:i/>
          <w:iCs/>
        </w:rPr>
        <w:t xml:space="preserve"> </w:t>
      </w:r>
      <w:r w:rsidR="00D74532" w:rsidRPr="00EF3463">
        <w:t>(Remillard &amp; Bryans, 2004)</w:t>
      </w:r>
      <w:r w:rsidRPr="00EF3463">
        <w:t xml:space="preserve">. </w:t>
      </w:r>
      <w:r w:rsidR="00644A68">
        <w:t xml:space="preserve">The analysis </w:t>
      </w:r>
      <w:r>
        <w:t>notice</w:t>
      </w:r>
      <w:r w:rsidR="00644A68">
        <w:t>d</w:t>
      </w:r>
      <w:r>
        <w:t xml:space="preserve"> research</w:t>
      </w:r>
      <w:r w:rsidRPr="001D27D7">
        <w:t xml:space="preserve"> conclusion</w:t>
      </w:r>
      <w:r>
        <w:t>s such as</w:t>
      </w:r>
      <w:r w:rsidRPr="00714C36">
        <w:rPr>
          <w:lang w:val="en-US"/>
        </w:rPr>
        <w:t xml:space="preserve"> differently designed materials promote different types of learning</w:t>
      </w:r>
      <w:r>
        <w:rPr>
          <w:lang w:val="en-US"/>
        </w:rPr>
        <w:t xml:space="preserve">, </w:t>
      </w:r>
      <w:r w:rsidRPr="00714C36">
        <w:rPr>
          <w:lang w:val="en-US"/>
        </w:rPr>
        <w:t>supporting either </w:t>
      </w:r>
      <w:r w:rsidRPr="00E323CD">
        <w:rPr>
          <w:lang w:val="en-US"/>
        </w:rPr>
        <w:t>subject matter knowledge or pedagogical content knowledge</w:t>
      </w:r>
      <w:r w:rsidR="00040352">
        <w:rPr>
          <w:lang w:val="en-US"/>
        </w:rPr>
        <w:t xml:space="preserve"> (Davis, 2009)</w:t>
      </w:r>
      <w:r w:rsidRPr="00714C36">
        <w:rPr>
          <w:lang w:val="en-US"/>
        </w:rPr>
        <w:t xml:space="preserve">. </w:t>
      </w:r>
      <w:r>
        <w:rPr>
          <w:lang w:val="en-US"/>
        </w:rPr>
        <w:t>A</w:t>
      </w:r>
      <w:r w:rsidRPr="00714C36">
        <w:rPr>
          <w:lang w:val="en-US"/>
        </w:rPr>
        <w:t>lso</w:t>
      </w:r>
      <w:r>
        <w:rPr>
          <w:lang w:val="en-US"/>
        </w:rPr>
        <w:t xml:space="preserve">, </w:t>
      </w:r>
      <w:r w:rsidR="00082162">
        <w:rPr>
          <w:lang w:val="en-US"/>
        </w:rPr>
        <w:t>modifying preexisting lesson</w:t>
      </w:r>
      <w:r w:rsidR="0074337F">
        <w:rPr>
          <w:lang w:val="en-US"/>
        </w:rPr>
        <w:t xml:space="preserve"> </w:t>
      </w:r>
      <w:r w:rsidR="0074337F">
        <w:t xml:space="preserve">suggestions </w:t>
      </w:r>
      <w:r w:rsidR="008114DA">
        <w:t>produces better lesson plans</w:t>
      </w:r>
      <w:r w:rsidR="00F866F3">
        <w:t xml:space="preserve"> and higher efficacy in teaching the lesson,</w:t>
      </w:r>
      <w:r w:rsidR="0074337F">
        <w:t xml:space="preserve"> than planning and teaching without support (Lim et al., 2018).</w:t>
      </w:r>
    </w:p>
    <w:p w14:paraId="758AFABC" w14:textId="3250E03D" w:rsidR="00EE4BF4" w:rsidRDefault="00D91AB3" w:rsidP="000A6D9F">
      <w:pPr>
        <w:pStyle w:val="Rubrik2"/>
      </w:pPr>
      <w:r>
        <w:lastRenderedPageBreak/>
        <w:t>Result</w:t>
      </w:r>
    </w:p>
    <w:p w14:paraId="6551FC6A" w14:textId="2F4264E5" w:rsidR="00C639B1" w:rsidRDefault="00C35A19" w:rsidP="00FA56E8">
      <w:pPr>
        <w:pStyle w:val="Brdtext"/>
      </w:pPr>
      <w:r>
        <w:t>The result o</w:t>
      </w:r>
      <w:r w:rsidR="000F4001">
        <w:t>f</w:t>
      </w:r>
      <w:r>
        <w:t xml:space="preserve"> the analys</w:t>
      </w:r>
      <w:r w:rsidR="00051385">
        <w:t>is</w:t>
      </w:r>
      <w:r w:rsidR="00071E09">
        <w:t xml:space="preserve"> and synthesis</w:t>
      </w:r>
      <w:r w:rsidR="00051385">
        <w:t xml:space="preserve"> is presented as </w:t>
      </w:r>
      <w:r w:rsidR="009E63E2">
        <w:t>a suggested model for implementing MaCMs in TE</w:t>
      </w:r>
      <w:r w:rsidR="000F4001">
        <w:t xml:space="preserve">, </w:t>
      </w:r>
      <w:r w:rsidR="00B64CBF">
        <w:t>illustrated in Figure 2.</w:t>
      </w:r>
      <w:r w:rsidR="009E63E2">
        <w:t xml:space="preserve"> </w:t>
      </w:r>
    </w:p>
    <w:p w14:paraId="4FFEC062" w14:textId="2EEB5232" w:rsidR="00D57276" w:rsidRDefault="00D57276" w:rsidP="00D57276">
      <w:pPr>
        <w:ind w:firstLine="0"/>
      </w:pPr>
      <w:r>
        <w:rPr>
          <w:noProof/>
        </w:rPr>
        <w:drawing>
          <wp:inline distT="0" distB="0" distL="0" distR="0" wp14:anchorId="14BD192A" wp14:editId="5F25612A">
            <wp:extent cx="5664741" cy="4592622"/>
            <wp:effectExtent l="0" t="0" r="0" b="0"/>
            <wp:docPr id="2152019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20196" name="Bildobjekt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4741" cy="459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C3977" w14:textId="769DB88A" w:rsidR="00D57276" w:rsidRDefault="0018541C" w:rsidP="00C12B21">
      <w:pPr>
        <w:pStyle w:val="Headtable"/>
      </w:pPr>
      <w:r w:rsidRPr="00C12B21">
        <w:rPr>
          <w:rStyle w:val="HeadtableChar"/>
        </w:rPr>
        <w:t xml:space="preserve">Figure </w:t>
      </w:r>
      <w:r w:rsidR="008F1EF8">
        <w:rPr>
          <w:rStyle w:val="HeadtableChar"/>
        </w:rPr>
        <w:t>2</w:t>
      </w:r>
      <w:r w:rsidRPr="00C12B21">
        <w:rPr>
          <w:rStyle w:val="HeadtableChar"/>
        </w:rPr>
        <w:t xml:space="preserve">. </w:t>
      </w:r>
      <w:r w:rsidR="001A4E32" w:rsidRPr="00C12B21">
        <w:rPr>
          <w:rStyle w:val="HeadtableChar"/>
        </w:rPr>
        <w:t>A</w:t>
      </w:r>
      <w:r w:rsidR="00E524A7">
        <w:rPr>
          <w:rStyle w:val="HeadtableChar"/>
        </w:rPr>
        <w:t xml:space="preserve"> suggested</w:t>
      </w:r>
      <w:r w:rsidR="001A4E32" w:rsidRPr="00C12B21">
        <w:rPr>
          <w:rStyle w:val="HeadtableChar"/>
        </w:rPr>
        <w:t xml:space="preserve"> model for implementing MaCMs in TE</w:t>
      </w:r>
      <w:r w:rsidR="001A4E32">
        <w:t>.</w:t>
      </w:r>
    </w:p>
    <w:p w14:paraId="6899CE87" w14:textId="3BE16EE9" w:rsidR="00E84FDD" w:rsidRDefault="00953613" w:rsidP="00E84FDD">
      <w:pPr>
        <w:pStyle w:val="Brdtext"/>
      </w:pPr>
      <w:r>
        <w:t>T</w:t>
      </w:r>
      <w:r w:rsidR="00E84FDD">
        <w:t xml:space="preserve">he </w:t>
      </w:r>
      <w:r w:rsidR="00C97CE6">
        <w:t xml:space="preserve">suggested </w:t>
      </w:r>
      <w:r w:rsidR="00C93578">
        <w:t>model</w:t>
      </w:r>
      <w:r w:rsidR="00C97CE6">
        <w:t xml:space="preserve">, based on </w:t>
      </w:r>
      <w:r w:rsidR="00B56CA2">
        <w:t>an analysis of</w:t>
      </w:r>
      <w:r w:rsidR="00C97CE6">
        <w:t xml:space="preserve"> 44 papers on</w:t>
      </w:r>
      <w:r w:rsidR="0005218F">
        <w:t xml:space="preserve"> the use of MaCMs in TE,</w:t>
      </w:r>
      <w:r>
        <w:t xml:space="preserve"> is structured</w:t>
      </w:r>
      <w:r w:rsidR="00E84FDD">
        <w:t xml:space="preserve"> around three learning objectives – learning </w:t>
      </w:r>
      <w:r w:rsidR="00E84FDD" w:rsidRPr="002741AB">
        <w:rPr>
          <w:i/>
          <w:iCs/>
        </w:rPr>
        <w:t>from, about</w:t>
      </w:r>
      <w:r w:rsidR="00E84FDD">
        <w:t xml:space="preserve"> and </w:t>
      </w:r>
      <w:r w:rsidR="00E84FDD" w:rsidRPr="002741AB">
        <w:rPr>
          <w:i/>
          <w:iCs/>
        </w:rPr>
        <w:t>with</w:t>
      </w:r>
      <w:r w:rsidR="00E84FDD">
        <w:t xml:space="preserve"> MaCMs</w:t>
      </w:r>
      <w:r w:rsidR="00FC4DD7">
        <w:t>.</w:t>
      </w:r>
      <w:r w:rsidR="00E84FDD">
        <w:t xml:space="preserve"> </w:t>
      </w:r>
      <w:r w:rsidR="000A66D1">
        <w:t>For each learning objective, findings regarding a) activities and student learning outcomes, b) theoretical constructs and c) research findings and conclusions are linked</w:t>
      </w:r>
      <w:r w:rsidR="000C3A30">
        <w:t xml:space="preserve">. </w:t>
      </w:r>
      <w:r w:rsidR="00750320">
        <w:t>Altogether, the suggested model</w:t>
      </w:r>
      <w:r w:rsidR="00023B6F">
        <w:t xml:space="preserve"> is</w:t>
      </w:r>
      <w:r w:rsidR="00750320">
        <w:t xml:space="preserve"> offering a research-based guidance</w:t>
      </w:r>
      <w:r w:rsidR="008D1E0D">
        <w:t xml:space="preserve"> for teacher educators to consider</w:t>
      </w:r>
      <w:r w:rsidR="00750320">
        <w:t xml:space="preserve"> when implementing MaCMs into TE programmes</w:t>
      </w:r>
      <w:r w:rsidR="00880FCE">
        <w:t>, by</w:t>
      </w:r>
      <w:r w:rsidR="00622F30">
        <w:t xml:space="preserve"> simultaneously provid</w:t>
      </w:r>
      <w:r w:rsidR="00112512">
        <w:t>ing</w:t>
      </w:r>
      <w:r w:rsidR="00622F30">
        <w:t xml:space="preserve"> an overview </w:t>
      </w:r>
      <w:r w:rsidR="00026D17">
        <w:t>of learning objectives</w:t>
      </w:r>
      <w:r w:rsidR="000B33AB">
        <w:t>,</w:t>
      </w:r>
      <w:r w:rsidR="00465AEC">
        <w:t xml:space="preserve"> </w:t>
      </w:r>
      <w:r w:rsidR="00622F30">
        <w:t>detail</w:t>
      </w:r>
      <w:r w:rsidR="00A82496">
        <w:t>s on their</w:t>
      </w:r>
      <w:r w:rsidR="00DE72D5">
        <w:t xml:space="preserve"> content and</w:t>
      </w:r>
      <w:r w:rsidR="00622F30">
        <w:t xml:space="preserve"> structures</w:t>
      </w:r>
      <w:r w:rsidR="006354AC">
        <w:t xml:space="preserve"> and their preferred sequencing</w:t>
      </w:r>
      <w:r w:rsidR="002964EA">
        <w:t>.</w:t>
      </w:r>
    </w:p>
    <w:p w14:paraId="7FC3C939" w14:textId="617E8E79" w:rsidR="00BA6284" w:rsidRPr="00BA6284" w:rsidRDefault="00BA6284" w:rsidP="00BA6284">
      <w:r>
        <w:t xml:space="preserve">The preferred sequence of the learning objectives </w:t>
      </w:r>
      <w:r w:rsidR="002776DB">
        <w:t>–</w:t>
      </w:r>
      <w:r>
        <w:t xml:space="preserve"> first learning </w:t>
      </w:r>
      <w:r w:rsidRPr="001F48CD">
        <w:rPr>
          <w:i/>
          <w:iCs/>
        </w:rPr>
        <w:t>from</w:t>
      </w:r>
      <w:r>
        <w:t xml:space="preserve"> MaCMs, followed by learning </w:t>
      </w:r>
      <w:r w:rsidRPr="001F48CD">
        <w:rPr>
          <w:i/>
          <w:iCs/>
        </w:rPr>
        <w:t>about</w:t>
      </w:r>
      <w:r>
        <w:t xml:space="preserve"> MaCMs and last learning </w:t>
      </w:r>
      <w:r w:rsidRPr="001F48CD">
        <w:rPr>
          <w:i/>
          <w:iCs/>
        </w:rPr>
        <w:t>with</w:t>
      </w:r>
      <w:r>
        <w:t xml:space="preserve"> MaCMs</w:t>
      </w:r>
      <w:r w:rsidR="002776DB">
        <w:t xml:space="preserve"> –</w:t>
      </w:r>
      <w:r>
        <w:t xml:space="preserve"> is based on two key findings from the </w:t>
      </w:r>
      <w:r w:rsidR="0073402F">
        <w:t>analysed</w:t>
      </w:r>
      <w:r>
        <w:t xml:space="preserve"> literature. Firstly, </w:t>
      </w:r>
      <w:r w:rsidRPr="00B85848">
        <w:t>Castillo Céspedes</w:t>
      </w:r>
      <w:r>
        <w:t xml:space="preserve"> and</w:t>
      </w:r>
      <w:r w:rsidRPr="00B85848">
        <w:t xml:space="preserve"> Burgos Navarro</w:t>
      </w:r>
      <w:r>
        <w:t xml:space="preserve"> </w:t>
      </w:r>
      <w:r w:rsidRPr="00B85848">
        <w:t>(2022)</w:t>
      </w:r>
      <w:r>
        <w:t xml:space="preserve"> found that PTs with well-developed content knowledge demonstrated deeper insights when analysing MaCMs than those with weaker content knowledge. This suggests that learning the mathematics </w:t>
      </w:r>
      <w:r w:rsidRPr="00EE563E">
        <w:rPr>
          <w:i/>
          <w:iCs/>
        </w:rPr>
        <w:t>from</w:t>
      </w:r>
      <w:r>
        <w:t xml:space="preserve"> MaCMs ideally precedes learning </w:t>
      </w:r>
      <w:r w:rsidRPr="006E2364">
        <w:rPr>
          <w:i/>
          <w:iCs/>
        </w:rPr>
        <w:t>about</w:t>
      </w:r>
      <w:r>
        <w:t xml:space="preserve"> MaCMs. Second, Tyminski et al. (2011) observed that PTs who analysed MaCMs before </w:t>
      </w:r>
      <w:r>
        <w:lastRenderedPageBreak/>
        <w:t xml:space="preserve">planning and teaching made more effective use of them. This implies that learning </w:t>
      </w:r>
      <w:r w:rsidRPr="006E2364">
        <w:rPr>
          <w:i/>
          <w:iCs/>
        </w:rPr>
        <w:t>about</w:t>
      </w:r>
      <w:r>
        <w:t xml:space="preserve"> MaCMs should precede learning </w:t>
      </w:r>
      <w:r w:rsidRPr="006E2364">
        <w:rPr>
          <w:i/>
          <w:iCs/>
        </w:rPr>
        <w:t>with</w:t>
      </w:r>
      <w:r>
        <w:t xml:space="preserve"> MaCMs. Together, these findings suggest the proposed sequence: first learning </w:t>
      </w:r>
      <w:r w:rsidRPr="00B3582C">
        <w:rPr>
          <w:i/>
          <w:iCs/>
        </w:rPr>
        <w:t>from</w:t>
      </w:r>
      <w:r>
        <w:t xml:space="preserve"> MaCMs, then learning </w:t>
      </w:r>
      <w:r w:rsidRPr="00B3582C">
        <w:rPr>
          <w:i/>
          <w:iCs/>
        </w:rPr>
        <w:t>about</w:t>
      </w:r>
      <w:r>
        <w:t xml:space="preserve"> MaCMs and last learning </w:t>
      </w:r>
      <w:r w:rsidRPr="00B3582C">
        <w:rPr>
          <w:i/>
          <w:iCs/>
        </w:rPr>
        <w:t>with</w:t>
      </w:r>
      <w:r>
        <w:t xml:space="preserve"> MaCMs.</w:t>
      </w:r>
    </w:p>
    <w:p w14:paraId="679E51F8" w14:textId="26987A75" w:rsidR="00C639B1" w:rsidRDefault="00C639B1" w:rsidP="00C639B1">
      <w:pPr>
        <w:pStyle w:val="Rubrik2"/>
      </w:pPr>
      <w:r>
        <w:t>Discussion</w:t>
      </w:r>
    </w:p>
    <w:p w14:paraId="6EB81C2F" w14:textId="374F9149" w:rsidR="0079313D" w:rsidRDefault="00624F35" w:rsidP="0079313D">
      <w:pPr>
        <w:pStyle w:val="Brdtext"/>
      </w:pPr>
      <w:r>
        <w:t>The discussion reflects on</w:t>
      </w:r>
      <w:r w:rsidR="00B20652">
        <w:t xml:space="preserve"> limitations of the </w:t>
      </w:r>
      <w:r w:rsidR="005B0BA0">
        <w:t xml:space="preserve">applied </w:t>
      </w:r>
      <w:r w:rsidR="00F2722F">
        <w:t>method</w:t>
      </w:r>
      <w:r w:rsidR="005B0BA0">
        <w:t>s</w:t>
      </w:r>
      <w:r w:rsidR="009C63BD">
        <w:t xml:space="preserve"> and</w:t>
      </w:r>
      <w:r w:rsidR="00F2722F">
        <w:t xml:space="preserve"> </w:t>
      </w:r>
      <w:r w:rsidR="001F4390" w:rsidRPr="007F5D6C">
        <w:t>implications</w:t>
      </w:r>
      <w:r w:rsidR="00AE502E">
        <w:t xml:space="preserve"> of the suggested model</w:t>
      </w:r>
      <w:r w:rsidR="001F4390" w:rsidRPr="007F5D6C">
        <w:t xml:space="preserve"> for both </w:t>
      </w:r>
      <w:r w:rsidR="00037938">
        <w:t xml:space="preserve">practice and </w:t>
      </w:r>
      <w:r w:rsidR="001F4390" w:rsidRPr="007F5D6C">
        <w:t>research</w:t>
      </w:r>
      <w:r w:rsidR="00037938">
        <w:t>.</w:t>
      </w:r>
    </w:p>
    <w:p w14:paraId="1711A33C" w14:textId="4E18FE33" w:rsidR="00736870" w:rsidRPr="00736870" w:rsidRDefault="00B6022A" w:rsidP="00736870">
      <w:r>
        <w:t>The systematic review approach is limited</w:t>
      </w:r>
      <w:r w:rsidR="0040084E">
        <w:t xml:space="preserve"> by</w:t>
      </w:r>
      <w:r w:rsidR="00FD2A28">
        <w:t xml:space="preserve"> factors such as</w:t>
      </w:r>
      <w:r w:rsidR="0040084E">
        <w:t xml:space="preserve"> </w:t>
      </w:r>
      <w:r w:rsidR="00464CCB">
        <w:t>selected databases</w:t>
      </w:r>
      <w:r w:rsidR="009D6020">
        <w:t>, search strings</w:t>
      </w:r>
      <w:r w:rsidR="00464CCB">
        <w:t xml:space="preserve"> and inclusion criteria</w:t>
      </w:r>
      <w:r w:rsidR="00793251">
        <w:t>. I</w:t>
      </w:r>
      <w:r w:rsidR="007E5294">
        <w:t xml:space="preserve">f </w:t>
      </w:r>
      <w:r w:rsidR="00793251">
        <w:t>one or more of these factors</w:t>
      </w:r>
      <w:r w:rsidR="00266F38">
        <w:t xml:space="preserve"> is </w:t>
      </w:r>
      <w:r w:rsidR="007E5294">
        <w:t>changed</w:t>
      </w:r>
      <w:r w:rsidR="00266F38">
        <w:t>,</w:t>
      </w:r>
      <w:r w:rsidR="00C921C4">
        <w:t xml:space="preserve"> </w:t>
      </w:r>
      <w:r w:rsidR="00A9445F">
        <w:t>the result</w:t>
      </w:r>
      <w:r w:rsidR="00C921C4">
        <w:t xml:space="preserve"> </w:t>
      </w:r>
      <w:r w:rsidR="00DD20CD">
        <w:t>and content of the suggested model</w:t>
      </w:r>
      <w:r w:rsidR="003E22C2">
        <w:t xml:space="preserve"> </w:t>
      </w:r>
      <w:r w:rsidR="004A1D0E">
        <w:t>could</w:t>
      </w:r>
      <w:r w:rsidR="003E22C2">
        <w:t xml:space="preserve"> </w:t>
      </w:r>
      <w:r w:rsidR="00DD267B">
        <w:t>be different</w:t>
      </w:r>
      <w:r w:rsidR="00DD20CD">
        <w:t>.</w:t>
      </w:r>
      <w:r w:rsidR="00BB1046">
        <w:t xml:space="preserve"> </w:t>
      </w:r>
      <w:r w:rsidR="000008C0">
        <w:t>T</w:t>
      </w:r>
      <w:r w:rsidR="00B47C09">
        <w:t xml:space="preserve">o </w:t>
      </w:r>
      <w:r w:rsidR="002F79BE">
        <w:t>counteract such bias, t</w:t>
      </w:r>
      <w:r w:rsidR="000008C0">
        <w:t xml:space="preserve">he </w:t>
      </w:r>
      <w:r w:rsidR="0013437E">
        <w:t>applied</w:t>
      </w:r>
      <w:r w:rsidR="000008C0">
        <w:t xml:space="preserve"> search strings</w:t>
      </w:r>
      <w:r w:rsidR="006978FD">
        <w:t xml:space="preserve"> and </w:t>
      </w:r>
      <w:r w:rsidR="00873E0D">
        <w:t>criteria for inclusion or exclusion,</w:t>
      </w:r>
      <w:r w:rsidR="00D81FAE">
        <w:t xml:space="preserve"> are a </w:t>
      </w:r>
      <w:r w:rsidR="0090029C">
        <w:t>product of tests</w:t>
      </w:r>
      <w:r w:rsidR="00666F41">
        <w:t xml:space="preserve"> of </w:t>
      </w:r>
      <w:r w:rsidR="00C42F6A">
        <w:t xml:space="preserve">several </w:t>
      </w:r>
      <w:r w:rsidR="00666F41">
        <w:t>differen</w:t>
      </w:r>
      <w:r w:rsidR="000D6E8E">
        <w:t>t ones</w:t>
      </w:r>
      <w:r w:rsidR="00C42F6A">
        <w:t xml:space="preserve">, refined </w:t>
      </w:r>
      <w:r w:rsidR="006D3E6F">
        <w:t>and adjusted to be precise according to the aim and research questions.</w:t>
      </w:r>
      <w:r w:rsidR="00EA4DE9">
        <w:t xml:space="preserve"> </w:t>
      </w:r>
      <w:r w:rsidR="00032FD0">
        <w:t>At the end of</w:t>
      </w:r>
      <w:r w:rsidR="002301A7">
        <w:t xml:space="preserve"> this process</w:t>
      </w:r>
      <w:r w:rsidR="0090380C">
        <w:t xml:space="preserve">, it was noted that small changes </w:t>
      </w:r>
      <w:r w:rsidR="00E05A25">
        <w:t>in words</w:t>
      </w:r>
      <w:r w:rsidR="00524B8F">
        <w:t xml:space="preserve"> or sequences of words</w:t>
      </w:r>
      <w:r w:rsidR="0096006B">
        <w:t xml:space="preserve"> lead to </w:t>
      </w:r>
      <w:r w:rsidR="00680286">
        <w:t>minimal</w:t>
      </w:r>
      <w:r w:rsidR="0096006B">
        <w:t xml:space="preserve"> changes in number of hits</w:t>
      </w:r>
      <w:r w:rsidR="00AD6034">
        <w:t xml:space="preserve">, indicating the </w:t>
      </w:r>
      <w:r w:rsidR="00036E48">
        <w:t xml:space="preserve">used </w:t>
      </w:r>
      <w:r w:rsidR="00332C00">
        <w:t>strings and criteria were</w:t>
      </w:r>
      <w:r w:rsidR="00AD6034">
        <w:t xml:space="preserve"> satisf</w:t>
      </w:r>
      <w:r w:rsidR="00036E48">
        <w:t>ying.</w:t>
      </w:r>
      <w:r w:rsidR="009636D3">
        <w:t xml:space="preserve"> Further, the completed search gave </w:t>
      </w:r>
      <w:proofErr w:type="gramStart"/>
      <w:r w:rsidR="009636D3">
        <w:t>a large number of</w:t>
      </w:r>
      <w:proofErr w:type="gramEnd"/>
      <w:r w:rsidR="009636D3">
        <w:t xml:space="preserve"> duplicates, indicating more databases was probably not necessary.</w:t>
      </w:r>
      <w:r w:rsidR="00817CE4">
        <w:t xml:space="preserve"> </w:t>
      </w:r>
      <w:r w:rsidR="00706894">
        <w:t>Another factor for</w:t>
      </w:r>
      <w:r w:rsidR="007B2293">
        <w:t xml:space="preserve"> result</w:t>
      </w:r>
      <w:r w:rsidR="00706894">
        <w:t xml:space="preserve"> </w:t>
      </w:r>
      <w:r w:rsidR="00675D7D">
        <w:t xml:space="preserve">bias </w:t>
      </w:r>
      <w:r w:rsidR="004C11E4">
        <w:t>is</w:t>
      </w:r>
      <w:r w:rsidR="00675D7D">
        <w:t xml:space="preserve"> interpretations in the process of analysing and synthesising</w:t>
      </w:r>
      <w:r w:rsidR="00DF0AD5">
        <w:t xml:space="preserve"> the papers.</w:t>
      </w:r>
      <w:r w:rsidR="00C51964">
        <w:t xml:space="preserve"> To counteract such bias</w:t>
      </w:r>
      <w:r w:rsidR="006B5842">
        <w:t>,</w:t>
      </w:r>
      <w:r w:rsidR="001A7DBD">
        <w:t xml:space="preserve"> </w:t>
      </w:r>
      <w:r w:rsidR="0006468C">
        <w:t>distinct themes</w:t>
      </w:r>
      <w:r w:rsidR="00C10547">
        <w:t xml:space="preserve"> based on the </w:t>
      </w:r>
      <w:r w:rsidR="008826B2">
        <w:t>research questions</w:t>
      </w:r>
      <w:r w:rsidR="00C10547">
        <w:t xml:space="preserve"> </w:t>
      </w:r>
      <w:r w:rsidR="00B644B4">
        <w:t>guided the analysis and synthesis procedure</w:t>
      </w:r>
      <w:r w:rsidR="00C10547">
        <w:t>.</w:t>
      </w:r>
      <w:r w:rsidR="00D734C2">
        <w:t xml:space="preserve"> </w:t>
      </w:r>
      <w:r w:rsidR="00897533">
        <w:t>Also,</w:t>
      </w:r>
      <w:r w:rsidR="006B5842">
        <w:t xml:space="preserve"> iteratively readings</w:t>
      </w:r>
      <w:r w:rsidR="00265583">
        <w:t xml:space="preserve"> of each paper </w:t>
      </w:r>
      <w:r w:rsidR="003C4B40">
        <w:t>were</w:t>
      </w:r>
      <w:r w:rsidR="00265583">
        <w:t xml:space="preserve"> conducted</w:t>
      </w:r>
      <w:r w:rsidR="00897533">
        <w:t xml:space="preserve">, </w:t>
      </w:r>
      <w:r w:rsidR="00D8103E">
        <w:t>reducing the risk for misinterpretations or</w:t>
      </w:r>
      <w:r w:rsidR="00031EAB">
        <w:t xml:space="preserve"> placing papers in the wrong category</w:t>
      </w:r>
      <w:r w:rsidR="00265583">
        <w:t>.</w:t>
      </w:r>
      <w:r w:rsidR="00897533">
        <w:t xml:space="preserve"> </w:t>
      </w:r>
      <w:r w:rsidR="007200C1">
        <w:t>For example,</w:t>
      </w:r>
      <w:r w:rsidR="008F7557">
        <w:t xml:space="preserve"> some papers</w:t>
      </w:r>
      <w:r w:rsidR="00E06C3F">
        <w:t xml:space="preserve"> </w:t>
      </w:r>
      <w:r w:rsidR="00636209">
        <w:t>included more than one</w:t>
      </w:r>
      <w:r w:rsidR="00A93858">
        <w:t xml:space="preserve"> learning objective</w:t>
      </w:r>
      <w:r w:rsidR="00426C00">
        <w:t xml:space="preserve">, </w:t>
      </w:r>
      <w:r w:rsidR="004A5DC5">
        <w:t xml:space="preserve">initially </w:t>
      </w:r>
      <w:r w:rsidR="00426C00">
        <w:t>suggesting them to be placed in more than one category</w:t>
      </w:r>
      <w:r w:rsidR="001D55FC">
        <w:t>. F</w:t>
      </w:r>
      <w:r w:rsidR="004A5DC5">
        <w:t xml:space="preserve">urther reading </w:t>
      </w:r>
      <w:r w:rsidR="001D55FC">
        <w:t xml:space="preserve">though </w:t>
      </w:r>
      <w:r w:rsidR="00D63912">
        <w:t>revealed one of the objectives to be in focus</w:t>
      </w:r>
      <w:r w:rsidR="005C5759">
        <w:t>, placing it in one specific category</w:t>
      </w:r>
      <w:r w:rsidR="00D63912">
        <w:t>.</w:t>
      </w:r>
    </w:p>
    <w:p w14:paraId="2B4FF8FD" w14:textId="739CE275" w:rsidR="00C07664" w:rsidRDefault="005F10DA" w:rsidP="00C10829">
      <w:r>
        <w:t>Regarding the result of the study, i</w:t>
      </w:r>
      <w:r w:rsidR="00C10829">
        <w:t xml:space="preserve">mplementing MaCMs in TE appears highly relevant given </w:t>
      </w:r>
      <w:r w:rsidR="003271B9">
        <w:t xml:space="preserve">the calls from research to address this area (Ben-Peretz, 1984; Drake et al., 2014) and </w:t>
      </w:r>
      <w:proofErr w:type="spellStart"/>
      <w:r w:rsidR="00A07A10">
        <w:t>MaCM’s</w:t>
      </w:r>
      <w:proofErr w:type="spellEnd"/>
      <w:r w:rsidR="00C10829">
        <w:t xml:space="preserve"> significant impact on mathematics teaching (e.g. Choppin et al., 2022). However, recent reviews on the field (e.g. Bu</w:t>
      </w:r>
      <w:r w:rsidR="003026C6">
        <w:t>c</w:t>
      </w:r>
      <w:r w:rsidR="00C10829">
        <w:t>h et al., 2022;</w:t>
      </w:r>
      <w:r w:rsidR="00D216B5">
        <w:t xml:space="preserve"> Fan et al., 2018;</w:t>
      </w:r>
      <w:r w:rsidR="00C10829">
        <w:t xml:space="preserve"> </w:t>
      </w:r>
      <w:r w:rsidR="005972A2">
        <w:t xml:space="preserve">Lloyd et al., 2017; </w:t>
      </w:r>
      <w:r w:rsidR="00C10829">
        <w:t>Rezat, 2024) have not</w:t>
      </w:r>
      <w:r w:rsidR="00326443">
        <w:t xml:space="preserve"> </w:t>
      </w:r>
      <w:r w:rsidR="0014536D">
        <w:t>addresse</w:t>
      </w:r>
      <w:r w:rsidR="00D519D9">
        <w:t>d</w:t>
      </w:r>
      <w:r w:rsidR="0014536D">
        <w:t xml:space="preserve"> the use of MaCMs in TE</w:t>
      </w:r>
      <w:r w:rsidR="00C10829">
        <w:t>. This review</w:t>
      </w:r>
      <w:r w:rsidR="000B3233">
        <w:t xml:space="preserve"> study</w:t>
      </w:r>
      <w:r w:rsidR="00C10829">
        <w:t xml:space="preserve"> </w:t>
      </w:r>
      <w:r w:rsidR="000B3233">
        <w:t>suggests</w:t>
      </w:r>
      <w:r w:rsidR="00C10829">
        <w:t xml:space="preserve"> a model</w:t>
      </w:r>
      <w:r w:rsidR="00A973EC">
        <w:t xml:space="preserve"> </w:t>
      </w:r>
      <w:r w:rsidR="006673B5">
        <w:t>with the</w:t>
      </w:r>
      <w:r w:rsidR="00C10829">
        <w:t xml:space="preserve"> aim to provide a</w:t>
      </w:r>
      <w:r w:rsidR="00E54C17">
        <w:t>n</w:t>
      </w:r>
      <w:r w:rsidR="00C10829">
        <w:t xml:space="preserve"> </w:t>
      </w:r>
      <w:r w:rsidR="002E3E24">
        <w:t xml:space="preserve">actionable </w:t>
      </w:r>
      <w:r w:rsidR="00C10829">
        <w:t>structure for teacher educators to consider when implementing MaCMs into TE programmes.</w:t>
      </w:r>
      <w:r w:rsidR="003938C1">
        <w:t xml:space="preserve"> </w:t>
      </w:r>
      <w:r w:rsidR="00C10829">
        <w:t xml:space="preserve">Firstly, the model identifies three distinct learning objectives, offering a structured approach </w:t>
      </w:r>
      <w:r w:rsidR="005E0831">
        <w:t>for</w:t>
      </w:r>
      <w:r w:rsidR="00C10829">
        <w:t xml:space="preserve"> implementation with a suggested, not prescriptive order. Some studies</w:t>
      </w:r>
      <w:r w:rsidR="00B46268">
        <w:t>, for example,</w:t>
      </w:r>
      <w:r w:rsidR="00C10829">
        <w:t xml:space="preserve"> focused solely on learning </w:t>
      </w:r>
      <w:r w:rsidR="00C10829" w:rsidRPr="0020333E">
        <w:rPr>
          <w:i/>
          <w:iCs/>
        </w:rPr>
        <w:t>about</w:t>
      </w:r>
      <w:r w:rsidR="00C10829">
        <w:t xml:space="preserve"> MaCMs</w:t>
      </w:r>
      <w:r w:rsidR="00384A8F">
        <w:t xml:space="preserve">, </w:t>
      </w:r>
      <w:r w:rsidR="002E48BD">
        <w:t>but</w:t>
      </w:r>
      <w:r w:rsidR="00C10829">
        <w:t xml:space="preserve"> still reported positive outcomes. </w:t>
      </w:r>
      <w:r w:rsidR="003A2241">
        <w:t>T</w:t>
      </w:r>
      <w:r w:rsidR="00C10829">
        <w:t>hese studies</w:t>
      </w:r>
      <w:r w:rsidR="003A2241">
        <w:t>, however,</w:t>
      </w:r>
      <w:r w:rsidR="00C10829">
        <w:t xml:space="preserve"> also indicated that PTs with stronger content knowledge gained more from the analysis, su</w:t>
      </w:r>
      <w:r w:rsidR="00266B50">
        <w:t>ggesting</w:t>
      </w:r>
      <w:r w:rsidR="00C10829">
        <w:t xml:space="preserve"> </w:t>
      </w:r>
      <w:r w:rsidR="00266B50">
        <w:t>some</w:t>
      </w:r>
      <w:r w:rsidR="00EC384C">
        <w:t xml:space="preserve"> activity in</w:t>
      </w:r>
      <w:r w:rsidR="00955F4E">
        <w:t>volving</w:t>
      </w:r>
      <w:r w:rsidR="00C10829">
        <w:t xml:space="preserve"> learning </w:t>
      </w:r>
      <w:r w:rsidR="00C10829" w:rsidRPr="008B01E7">
        <w:rPr>
          <w:i/>
          <w:iCs/>
        </w:rPr>
        <w:t>from</w:t>
      </w:r>
      <w:r w:rsidR="00C10829">
        <w:t xml:space="preserve"> should precede learning </w:t>
      </w:r>
      <w:r w:rsidR="00C10829" w:rsidRPr="008B01E7">
        <w:rPr>
          <w:i/>
          <w:iCs/>
        </w:rPr>
        <w:t>about</w:t>
      </w:r>
      <w:r w:rsidR="00C10829">
        <w:t xml:space="preserve">. </w:t>
      </w:r>
      <w:r w:rsidR="004E4CDA">
        <w:t>Similarly,</w:t>
      </w:r>
      <w:r w:rsidR="00E53789">
        <w:t xml:space="preserve"> but t</w:t>
      </w:r>
      <w:r w:rsidR="002367EC">
        <w:t>he other way around, i</w:t>
      </w:r>
      <w:r w:rsidR="00C10829">
        <w:t xml:space="preserve">n many cases multiple learning objective were addressed within </w:t>
      </w:r>
      <w:r w:rsidR="00CF104F">
        <w:t>one</w:t>
      </w:r>
      <w:r w:rsidR="00C10829">
        <w:t xml:space="preserve"> single activity. For example, PTs first analys</w:t>
      </w:r>
      <w:r w:rsidR="00CF104F">
        <w:t>ing</w:t>
      </w:r>
      <w:r w:rsidR="00C10829">
        <w:t xml:space="preserve"> a MaCM (learning </w:t>
      </w:r>
      <w:r w:rsidR="00C10829" w:rsidRPr="00D31C74">
        <w:rPr>
          <w:i/>
          <w:iCs/>
        </w:rPr>
        <w:t>about</w:t>
      </w:r>
      <w:r w:rsidR="00C10829">
        <w:t>) and then us</w:t>
      </w:r>
      <w:r w:rsidR="00F83A0C">
        <w:t>ing</w:t>
      </w:r>
      <w:r w:rsidR="00C10829">
        <w:t xml:space="preserve"> it to plan and teach a lesson (learning </w:t>
      </w:r>
      <w:r w:rsidR="00C10829" w:rsidRPr="00A05595">
        <w:rPr>
          <w:i/>
          <w:iCs/>
        </w:rPr>
        <w:t>with</w:t>
      </w:r>
      <w:r w:rsidR="00C10829">
        <w:t xml:space="preserve">), </w:t>
      </w:r>
      <w:r w:rsidR="001E11E0">
        <w:t>describ</w:t>
      </w:r>
      <w:r w:rsidR="00C10829">
        <w:t xml:space="preserve">ing an internal sequence within </w:t>
      </w:r>
      <w:r w:rsidR="002367EC">
        <w:t>one</w:t>
      </w:r>
      <w:r w:rsidR="00C10829">
        <w:t xml:space="preserve"> activity.</w:t>
      </w:r>
      <w:r w:rsidR="003938C1">
        <w:t xml:space="preserve"> </w:t>
      </w:r>
      <w:r w:rsidR="00C10829">
        <w:t xml:space="preserve">Second, for each learning objective, the model provides examples of </w:t>
      </w:r>
      <w:r w:rsidR="00E16166">
        <w:t>applied</w:t>
      </w:r>
      <w:r w:rsidR="00C10829">
        <w:t xml:space="preserve"> activities and information on PTs learning outcomes</w:t>
      </w:r>
      <w:r w:rsidR="00F1115C">
        <w:t xml:space="preserve"> from these activities</w:t>
      </w:r>
      <w:r w:rsidR="00C10829">
        <w:t xml:space="preserve">, along with theoretical constructs to apply. This helps </w:t>
      </w:r>
      <w:r w:rsidR="00C10829">
        <w:lastRenderedPageBreak/>
        <w:t xml:space="preserve">teacher educators designing research-informed learning experiences </w:t>
      </w:r>
      <w:r w:rsidR="008A793D">
        <w:t xml:space="preserve">from MaCMs </w:t>
      </w:r>
      <w:r w:rsidR="00C10829">
        <w:t xml:space="preserve">in TE. </w:t>
      </w:r>
      <w:r w:rsidR="002E529E">
        <w:t>As t</w:t>
      </w:r>
      <w:r w:rsidR="00C10829">
        <w:t xml:space="preserve">he model is grounded in research findings and conclusions, </w:t>
      </w:r>
      <w:r w:rsidR="00E2724D">
        <w:t>it</w:t>
      </w:r>
      <w:r w:rsidR="006C68B0">
        <w:t xml:space="preserve"> </w:t>
      </w:r>
      <w:r w:rsidR="008A793D">
        <w:t>provides</w:t>
      </w:r>
      <w:r w:rsidR="00E2724D">
        <w:t xml:space="preserve"> arguments for</w:t>
      </w:r>
      <w:r w:rsidR="00C10829">
        <w:t xml:space="preserve"> </w:t>
      </w:r>
      <w:r w:rsidR="00CD6A46">
        <w:t xml:space="preserve">applying </w:t>
      </w:r>
      <w:r w:rsidR="00C10829">
        <w:t>specific activities</w:t>
      </w:r>
      <w:r w:rsidR="00CD6A46">
        <w:t xml:space="preserve"> and</w:t>
      </w:r>
      <w:r w:rsidR="00F630D4">
        <w:t xml:space="preserve"> indications of</w:t>
      </w:r>
      <w:r w:rsidR="006C68B0">
        <w:t xml:space="preserve"> their</w:t>
      </w:r>
      <w:r w:rsidR="00CD6A46">
        <w:t xml:space="preserve"> effectiveness</w:t>
      </w:r>
      <w:r w:rsidR="00C10829">
        <w:t xml:space="preserve">. </w:t>
      </w:r>
    </w:p>
    <w:p w14:paraId="3ECF32AA" w14:textId="2D8C9D0D" w:rsidR="00C10829" w:rsidRDefault="00C10829" w:rsidP="00C10829">
      <w:r>
        <w:t>T</w:t>
      </w:r>
      <w:r w:rsidR="006F6076">
        <w:t>ogether,</w:t>
      </w:r>
      <w:r>
        <w:t xml:space="preserve"> </w:t>
      </w:r>
      <w:r w:rsidR="00392461">
        <w:t>results</w:t>
      </w:r>
      <w:r w:rsidR="00C07664">
        <w:t xml:space="preserve"> </w:t>
      </w:r>
      <w:r w:rsidR="004E4CDA">
        <w:t>regarding learning objectives</w:t>
      </w:r>
      <w:r w:rsidR="0051785D">
        <w:t>, activities and</w:t>
      </w:r>
      <w:r w:rsidR="00B957C3">
        <w:t xml:space="preserve"> theoretical constructs</w:t>
      </w:r>
      <w:r w:rsidR="0051785D">
        <w:t xml:space="preserve"> to apply</w:t>
      </w:r>
      <w:r>
        <w:t xml:space="preserve"> </w:t>
      </w:r>
      <w:r w:rsidR="00B957C3">
        <w:t>and crucial research findings</w:t>
      </w:r>
      <w:r w:rsidR="00392461">
        <w:t xml:space="preserve"> to consider,</w:t>
      </w:r>
      <w:r w:rsidR="00B957C3">
        <w:t xml:space="preserve"> </w:t>
      </w:r>
      <w:r w:rsidR="00AC5ABD">
        <w:t>lead</w:t>
      </w:r>
      <w:r>
        <w:t xml:space="preserve"> to f</w:t>
      </w:r>
      <w:r w:rsidR="00A43FBC">
        <w:t>ive</w:t>
      </w:r>
      <w:r>
        <w:t xml:space="preserve"> overarching conclusions: </w:t>
      </w:r>
    </w:p>
    <w:p w14:paraId="2DD78B4F" w14:textId="60A1370D" w:rsidR="00C10829" w:rsidRDefault="00C10829" w:rsidP="00A4761C">
      <w:pPr>
        <w:pStyle w:val="Liststycke"/>
        <w:numPr>
          <w:ilvl w:val="0"/>
          <w:numId w:val="15"/>
        </w:numPr>
        <w:ind w:left="993" w:hanging="426"/>
      </w:pPr>
      <w:r>
        <w:t xml:space="preserve">Teaching mathematics to PTs should be qualitatively different from traditional university mathematics teaching, being directly connected with the mathematics they will later teach. This can be achieved through learning mathematics </w:t>
      </w:r>
      <w:r w:rsidRPr="00F20BAA">
        <w:rPr>
          <w:i/>
          <w:iCs/>
        </w:rPr>
        <w:t>from</w:t>
      </w:r>
      <w:r>
        <w:t xml:space="preserve"> MaCMs</w:t>
      </w:r>
      <w:r w:rsidR="002D7AB5">
        <w:t xml:space="preserve"> (</w:t>
      </w:r>
      <w:r w:rsidR="00FF10A7">
        <w:t>Lutz &amp; Berglund, 2007</w:t>
      </w:r>
      <w:r w:rsidR="002D7AB5">
        <w:t>)</w:t>
      </w:r>
      <w:r>
        <w:t xml:space="preserve">. </w:t>
      </w:r>
    </w:p>
    <w:p w14:paraId="41083096" w14:textId="2954E62A" w:rsidR="00C10829" w:rsidRDefault="00C10829" w:rsidP="00A4761C">
      <w:pPr>
        <w:pStyle w:val="Liststycke"/>
        <w:numPr>
          <w:ilvl w:val="0"/>
          <w:numId w:val="15"/>
        </w:numPr>
        <w:ind w:left="993" w:hanging="426"/>
      </w:pPr>
      <w:r>
        <w:t>Exposure to MaCMs should be recurrent throughout TE</w:t>
      </w:r>
      <w:r w:rsidR="000360E8">
        <w:t xml:space="preserve"> (</w:t>
      </w:r>
      <w:r w:rsidR="00F42842">
        <w:t>Nicol &amp; Crespo, 2006</w:t>
      </w:r>
      <w:r w:rsidR="000360E8">
        <w:t>)</w:t>
      </w:r>
      <w:r>
        <w:t>, involving a variety of materials</w:t>
      </w:r>
      <w:r w:rsidR="000360E8">
        <w:t xml:space="preserve"> (</w:t>
      </w:r>
      <w:r w:rsidR="00AA470C">
        <w:t>Blo</w:t>
      </w:r>
      <w:r w:rsidR="00CF72E7">
        <w:t xml:space="preserve">ck et al., 2023; </w:t>
      </w:r>
      <w:r w:rsidR="00F42842">
        <w:t xml:space="preserve">Males &amp; </w:t>
      </w:r>
      <w:proofErr w:type="spellStart"/>
      <w:r w:rsidR="00F42842">
        <w:t>Setniker</w:t>
      </w:r>
      <w:proofErr w:type="spellEnd"/>
      <w:r w:rsidR="00716C62">
        <w:t>, 2019</w:t>
      </w:r>
      <w:r w:rsidR="000360E8">
        <w:t>)</w:t>
      </w:r>
      <w:r>
        <w:t xml:space="preserve"> and be supported by teachers and functional frameworks</w:t>
      </w:r>
      <w:r w:rsidR="003D6C40">
        <w:t xml:space="preserve"> (</w:t>
      </w:r>
      <w:r w:rsidR="00716C62">
        <w:t xml:space="preserve">e.g. </w:t>
      </w:r>
      <w:r w:rsidR="00796C15">
        <w:t>Earnest &amp; Amador, 2019</w:t>
      </w:r>
      <w:r w:rsidR="006B1BC8">
        <w:t>)</w:t>
      </w:r>
      <w:r>
        <w:t>.</w:t>
      </w:r>
    </w:p>
    <w:p w14:paraId="03E90174" w14:textId="293B5205" w:rsidR="00CF1C0F" w:rsidRDefault="00CF1C0F" w:rsidP="00A4761C">
      <w:pPr>
        <w:pStyle w:val="Liststycke"/>
        <w:numPr>
          <w:ilvl w:val="0"/>
          <w:numId w:val="15"/>
        </w:numPr>
        <w:ind w:left="993" w:hanging="426"/>
      </w:pPr>
      <w:r>
        <w:t xml:space="preserve">It is more beneficial for PTs to </w:t>
      </w:r>
      <w:r w:rsidR="00807DA4">
        <w:t>first analyse and then use M</w:t>
      </w:r>
      <w:r w:rsidR="006F46BD">
        <w:t>a</w:t>
      </w:r>
      <w:r w:rsidR="00807DA4">
        <w:t>CMs, than to only learn</w:t>
      </w:r>
      <w:r w:rsidR="006F46BD">
        <w:t xml:space="preserve"> to use them (</w:t>
      </w:r>
      <w:r w:rsidR="00612470">
        <w:t>Cross &amp; Lloyd, 2011)</w:t>
      </w:r>
      <w:r w:rsidR="00394AF6">
        <w:t>.</w:t>
      </w:r>
    </w:p>
    <w:p w14:paraId="723CD0FE" w14:textId="406791E2" w:rsidR="00C10829" w:rsidRDefault="00C10829" w:rsidP="00A4761C">
      <w:pPr>
        <w:pStyle w:val="Liststycke"/>
        <w:numPr>
          <w:ilvl w:val="0"/>
          <w:numId w:val="15"/>
        </w:numPr>
        <w:ind w:left="993" w:hanging="426"/>
      </w:pPr>
      <w:r>
        <w:t>PTs should ideally develop content knowledge before analysing MaCMs</w:t>
      </w:r>
      <w:r w:rsidR="000313D7">
        <w:t xml:space="preserve"> (</w:t>
      </w:r>
      <w:r w:rsidR="002E50CC" w:rsidRPr="00B85848">
        <w:t>Castillo Céspedes, &amp; Burgos Navarro,</w:t>
      </w:r>
      <w:r w:rsidR="002E50CC">
        <w:t xml:space="preserve"> </w:t>
      </w:r>
      <w:r w:rsidR="002E50CC" w:rsidRPr="00B85848">
        <w:t>2022</w:t>
      </w:r>
      <w:r w:rsidR="000313D7">
        <w:t>)</w:t>
      </w:r>
      <w:r>
        <w:t xml:space="preserve"> and analysing MaCMs before using them for planning and teaching</w:t>
      </w:r>
      <w:r w:rsidR="003D6C40">
        <w:t xml:space="preserve"> (</w:t>
      </w:r>
      <w:r w:rsidR="002E50CC">
        <w:t>Tyminski et al., 2011</w:t>
      </w:r>
      <w:r w:rsidR="003D6C40">
        <w:t>)</w:t>
      </w:r>
      <w:r>
        <w:t>.</w:t>
      </w:r>
    </w:p>
    <w:p w14:paraId="222A8CB2" w14:textId="42B8017D" w:rsidR="00C10829" w:rsidRDefault="00C10829" w:rsidP="00A4761C">
      <w:pPr>
        <w:pStyle w:val="Liststycke"/>
        <w:numPr>
          <w:ilvl w:val="0"/>
          <w:numId w:val="15"/>
        </w:numPr>
        <w:ind w:left="993" w:hanging="426"/>
      </w:pPr>
      <w:r>
        <w:t>Modifying preexisting lesson suggestions is more effective than planning and teaching without support</w:t>
      </w:r>
      <w:r w:rsidR="003D6C40">
        <w:t xml:space="preserve"> (</w:t>
      </w:r>
      <w:r w:rsidR="0046403F">
        <w:t>Lim et al., 2018</w:t>
      </w:r>
      <w:r w:rsidR="003D6C40">
        <w:t>)</w:t>
      </w:r>
      <w:r>
        <w:t>.</w:t>
      </w:r>
    </w:p>
    <w:p w14:paraId="5BF64A19" w14:textId="5DA38BE2" w:rsidR="00BA6150" w:rsidRPr="00BA6150" w:rsidRDefault="00BA6150" w:rsidP="00097653">
      <w:pPr>
        <w:ind w:firstLine="0"/>
        <w:rPr>
          <w:lang w:val="en-US"/>
        </w:rPr>
      </w:pPr>
      <w:r>
        <w:t>The</w:t>
      </w:r>
      <w:r w:rsidR="00097653">
        <w:t>se conclusions</w:t>
      </w:r>
      <w:r w:rsidR="00AA200D">
        <w:t xml:space="preserve"> and the</w:t>
      </w:r>
      <w:r>
        <w:t xml:space="preserve"> suggested model </w:t>
      </w:r>
      <w:r w:rsidR="00BD206E">
        <w:t xml:space="preserve">together </w:t>
      </w:r>
      <w:r w:rsidR="009822CB">
        <w:t>provide</w:t>
      </w:r>
      <w:r>
        <w:t xml:space="preserve"> a</w:t>
      </w:r>
      <w:r w:rsidR="009822CB" w:rsidRPr="009822CB">
        <w:t xml:space="preserve"> </w:t>
      </w:r>
      <w:r w:rsidR="009822CB" w:rsidRPr="00BA6150">
        <w:rPr>
          <w:lang w:val="en-US"/>
        </w:rPr>
        <w:t xml:space="preserve">comprehensive and </w:t>
      </w:r>
      <w:r>
        <w:t>holistic overview</w:t>
      </w:r>
      <w:r w:rsidR="002B12DA">
        <w:t xml:space="preserve"> with</w:t>
      </w:r>
      <w:r>
        <w:t xml:space="preserve"> </w:t>
      </w:r>
      <w:r w:rsidR="00BB6352" w:rsidRPr="00BA6150">
        <w:rPr>
          <w:lang w:val="en-US"/>
        </w:rPr>
        <w:t>actionable</w:t>
      </w:r>
      <w:r w:rsidR="00BB6352">
        <w:t xml:space="preserve"> </w:t>
      </w:r>
      <w:r>
        <w:t>detailed structures for teacher educators to consider when implementing MaCMs into TE programmes.</w:t>
      </w:r>
    </w:p>
    <w:p w14:paraId="0CBBF2B0" w14:textId="6E8F0402" w:rsidR="00815AB0" w:rsidRPr="00426C00" w:rsidRDefault="00AE4E7A" w:rsidP="00815AB0">
      <w:r>
        <w:t xml:space="preserve">From the findings and </w:t>
      </w:r>
      <w:r w:rsidR="0088221D">
        <w:t xml:space="preserve">the </w:t>
      </w:r>
      <w:r>
        <w:t>suggested model, some</w:t>
      </w:r>
      <w:r w:rsidR="00062497">
        <w:t xml:space="preserve"> interestin</w:t>
      </w:r>
      <w:r w:rsidR="003D6672">
        <w:t>g</w:t>
      </w:r>
      <w:r>
        <w:t xml:space="preserve"> avenues for future research emerge</w:t>
      </w:r>
      <w:r w:rsidR="007E75C3">
        <w:t>.</w:t>
      </w:r>
      <w:r>
        <w:t xml:space="preserve"> </w:t>
      </w:r>
      <w:r w:rsidR="007E75C3">
        <w:t xml:space="preserve">First, </w:t>
      </w:r>
      <w:r w:rsidR="00CD6E60">
        <w:t>all analysed papers could be categorised</w:t>
      </w:r>
      <w:r w:rsidR="005F5863">
        <w:t xml:space="preserve"> into at least one</w:t>
      </w:r>
      <w:r w:rsidR="00D10916">
        <w:t xml:space="preserve"> of the purposed learning objectives</w:t>
      </w:r>
      <w:r w:rsidR="007E75C3">
        <w:t xml:space="preserve"> </w:t>
      </w:r>
      <w:r w:rsidR="00D10916">
        <w:t xml:space="preserve">learning </w:t>
      </w:r>
      <w:r w:rsidR="00D10916" w:rsidRPr="00D10916">
        <w:rPr>
          <w:i/>
          <w:iCs/>
        </w:rPr>
        <w:t>from, with</w:t>
      </w:r>
      <w:r w:rsidR="00D10916">
        <w:t xml:space="preserve"> and </w:t>
      </w:r>
      <w:r w:rsidR="00D10916" w:rsidRPr="00D10916">
        <w:rPr>
          <w:i/>
          <w:iCs/>
        </w:rPr>
        <w:t xml:space="preserve">about </w:t>
      </w:r>
      <w:r w:rsidR="00D10916">
        <w:t xml:space="preserve">MaCMs. </w:t>
      </w:r>
      <w:r w:rsidR="003D6672">
        <w:t>While</w:t>
      </w:r>
      <w:r w:rsidR="00D10916">
        <w:t xml:space="preserve"> this</w:t>
      </w:r>
      <w:r w:rsidR="003D6672">
        <w:t xml:space="preserve"> </w:t>
      </w:r>
      <w:r w:rsidR="0080265C">
        <w:t>somewhat strengthen the validity of the suggested model</w:t>
      </w:r>
      <w:r w:rsidR="00B25660">
        <w:t xml:space="preserve">, </w:t>
      </w:r>
      <w:r w:rsidR="005E0AF3">
        <w:t>future research with similar approach</w:t>
      </w:r>
      <w:r w:rsidR="00537005">
        <w:t xml:space="preserve"> might find additional learning objectives</w:t>
      </w:r>
      <w:r w:rsidR="00B175D3">
        <w:t>, which complement or reshape the suggested model. Second</w:t>
      </w:r>
      <w:r w:rsidR="00284167">
        <w:t>,</w:t>
      </w:r>
      <w:r w:rsidR="00DB2494">
        <w:t xml:space="preserve"> </w:t>
      </w:r>
      <w:r w:rsidR="00512848">
        <w:t>t</w:t>
      </w:r>
      <w:r w:rsidR="00512848" w:rsidRPr="00245535">
        <w:t>he initial search identified several publications addressing similar themes within science education. A study</w:t>
      </w:r>
      <w:r w:rsidR="001D659B">
        <w:t xml:space="preserve"> </w:t>
      </w:r>
      <w:proofErr w:type="gramStart"/>
      <w:r w:rsidR="00FC224F">
        <w:t>similar to</w:t>
      </w:r>
      <w:proofErr w:type="gramEnd"/>
      <w:r w:rsidR="00FC224F">
        <w:t xml:space="preserve"> this study, </w:t>
      </w:r>
      <w:r w:rsidR="001D659B">
        <w:t>on</w:t>
      </w:r>
      <w:r w:rsidR="00512848" w:rsidRPr="00245535">
        <w:t xml:space="preserve"> </w:t>
      </w:r>
      <w:r w:rsidR="00700EEC">
        <w:t>curriculum materials</w:t>
      </w:r>
      <w:r w:rsidR="00512848" w:rsidRPr="00245535">
        <w:t xml:space="preserve"> designed for science subjects</w:t>
      </w:r>
      <w:r w:rsidR="00FC224F">
        <w:t>,</w:t>
      </w:r>
      <w:r w:rsidR="00512848" w:rsidRPr="00245535">
        <w:t xml:space="preserve"> would be potentially illuminating</w:t>
      </w:r>
      <w:r w:rsidR="00E257C9">
        <w:t xml:space="preserve"> regarding</w:t>
      </w:r>
      <w:r w:rsidR="00E1663D">
        <w:t xml:space="preserve"> the implementation of curriculum materials per s</w:t>
      </w:r>
      <w:r w:rsidR="00A408CA">
        <w:t xml:space="preserve">e </w:t>
      </w:r>
      <w:r w:rsidR="00E1663D">
        <w:t>in TE</w:t>
      </w:r>
      <w:r w:rsidR="00512848" w:rsidRPr="00245535">
        <w:t>.</w:t>
      </w:r>
      <w:r w:rsidR="0024098D">
        <w:t xml:space="preserve"> Third,</w:t>
      </w:r>
      <w:r w:rsidR="000171BE" w:rsidRPr="007D751D">
        <w:t xml:space="preserve"> developing PTs subject matter knowledge </w:t>
      </w:r>
      <w:r w:rsidR="000171BE" w:rsidRPr="009D7716">
        <w:rPr>
          <w:i/>
          <w:iCs/>
        </w:rPr>
        <w:t>from</w:t>
      </w:r>
      <w:r w:rsidR="000171BE" w:rsidRPr="007D751D">
        <w:t xml:space="preserve"> MaCMs </w:t>
      </w:r>
      <w:r w:rsidR="00D0052B">
        <w:t xml:space="preserve">is </w:t>
      </w:r>
      <w:r w:rsidR="00C218B2">
        <w:t xml:space="preserve">projected as </w:t>
      </w:r>
      <w:r w:rsidR="001450C6">
        <w:t>successful</w:t>
      </w:r>
      <w:r w:rsidR="000171BE">
        <w:t xml:space="preserve">, but </w:t>
      </w:r>
      <w:r w:rsidR="000171BE" w:rsidRPr="009352CB">
        <w:t>not all forms of knowledge were effectively cultivated.</w:t>
      </w:r>
      <w:r w:rsidR="000171BE">
        <w:t xml:space="preserve"> For example, learning about mathematics definitions</w:t>
      </w:r>
      <w:r w:rsidR="000171BE" w:rsidRPr="009352CB">
        <w:t xml:space="preserve"> </w:t>
      </w:r>
      <w:r w:rsidR="000171BE">
        <w:t xml:space="preserve">was found to be difficult from this approach. </w:t>
      </w:r>
      <w:r w:rsidR="00EE6097">
        <w:t>I</w:t>
      </w:r>
      <w:r w:rsidR="00BE21D5">
        <w:t>t</w:t>
      </w:r>
      <w:r w:rsidR="00EE6097">
        <w:t xml:space="preserve"> thus</w:t>
      </w:r>
      <w:r w:rsidR="00BE21D5">
        <w:t xml:space="preserve"> seems relevant to </w:t>
      </w:r>
      <w:r w:rsidR="007174FD">
        <w:t>investigate</w:t>
      </w:r>
      <w:r w:rsidR="000171BE" w:rsidRPr="009352CB">
        <w:t xml:space="preserve"> which content areas are most conducive to </w:t>
      </w:r>
      <w:proofErr w:type="spellStart"/>
      <w:r w:rsidR="007174FD">
        <w:t>PTs</w:t>
      </w:r>
      <w:r w:rsidR="00F6161D">
        <w:t>’</w:t>
      </w:r>
      <w:proofErr w:type="spellEnd"/>
      <w:r w:rsidR="007174FD">
        <w:t xml:space="preserve"> </w:t>
      </w:r>
      <w:r w:rsidR="000171BE" w:rsidRPr="009352CB">
        <w:t>development, and why certain areas may be less suitable in the context of TE</w:t>
      </w:r>
      <w:r w:rsidR="00512848" w:rsidRPr="00245535">
        <w:t>.</w:t>
      </w:r>
      <w:r w:rsidR="003D6672">
        <w:t xml:space="preserve"> </w:t>
      </w:r>
      <w:r w:rsidR="007174FD">
        <w:t>F</w:t>
      </w:r>
      <w:r w:rsidR="001450C6">
        <w:t>ourth</w:t>
      </w:r>
      <w:r w:rsidR="007174FD">
        <w:t>,</w:t>
      </w:r>
      <w:r w:rsidR="00C10829">
        <w:t xml:space="preserve"> it would be valuable to apply this model in a longitudinal study, spanning an entire TE programme. Such a study could evaluate PTs</w:t>
      </w:r>
      <w:r w:rsidR="006E3052">
        <w:t xml:space="preserve"> understanding and</w:t>
      </w:r>
      <w:r w:rsidR="00C10829">
        <w:t xml:space="preserve"> use of MaCMs during their first year of teaching and compare outcomes with those of teachers who did not follow this structured approach.</w:t>
      </w:r>
    </w:p>
    <w:p w14:paraId="1F9657DB" w14:textId="6354B5D1" w:rsidR="0066435C" w:rsidRDefault="0066435C" w:rsidP="0066435C">
      <w:pPr>
        <w:pStyle w:val="Rubrik2"/>
      </w:pPr>
      <w:r>
        <w:lastRenderedPageBreak/>
        <w:t>References</w:t>
      </w:r>
    </w:p>
    <w:p w14:paraId="26D02881" w14:textId="77777777" w:rsidR="00DD71B1" w:rsidRDefault="00DD71B1" w:rsidP="00DD71B1">
      <w:pPr>
        <w:pStyle w:val="References"/>
      </w:pPr>
      <w:r w:rsidRPr="000A5278">
        <w:t xml:space="preserve">Ball, D. L., &amp; Cohen, D. K. (1996). Reform by the book: What is—or might be—the role of curriculum materials in teacher learning and instructional </w:t>
      </w:r>
      <w:proofErr w:type="gramStart"/>
      <w:r w:rsidRPr="000A5278">
        <w:t>reform?.</w:t>
      </w:r>
      <w:proofErr w:type="gramEnd"/>
      <w:r w:rsidRPr="000A5278">
        <w:t> </w:t>
      </w:r>
      <w:r w:rsidRPr="000A5278">
        <w:rPr>
          <w:i/>
          <w:iCs/>
        </w:rPr>
        <w:t>Educational researcher</w:t>
      </w:r>
      <w:r w:rsidRPr="000A5278">
        <w:t>, </w:t>
      </w:r>
      <w:r w:rsidRPr="000A5278">
        <w:rPr>
          <w:i/>
          <w:iCs/>
        </w:rPr>
        <w:t>25</w:t>
      </w:r>
      <w:r w:rsidRPr="000A5278">
        <w:t>(9), 6-14.</w:t>
      </w:r>
    </w:p>
    <w:p w14:paraId="1BE9032E" w14:textId="77777777" w:rsidR="006F7762" w:rsidRDefault="006F7762" w:rsidP="006F7762">
      <w:pPr>
        <w:pStyle w:val="References"/>
      </w:pPr>
      <w:r w:rsidRPr="005137DA">
        <w:rPr>
          <w:lang w:val="en-US"/>
        </w:rPr>
        <w:t xml:space="preserve">Ball, D. L., Thames, M. H., &amp; Phelps, G. (2008). </w:t>
      </w:r>
      <w:r w:rsidRPr="00F75B71">
        <w:t xml:space="preserve">Content knowledge for teaching: what makes it special? </w:t>
      </w:r>
      <w:r w:rsidRPr="00200696">
        <w:rPr>
          <w:i/>
          <w:iCs/>
        </w:rPr>
        <w:t>Journal of teacher education, 59</w:t>
      </w:r>
      <w:r w:rsidRPr="00F75B71">
        <w:t>(5), 389-408.</w:t>
      </w:r>
    </w:p>
    <w:p w14:paraId="0872A0CA" w14:textId="79908F6B" w:rsidR="00E75AFE" w:rsidRPr="00A82924" w:rsidRDefault="00E75AFE" w:rsidP="00E75AFE">
      <w:pPr>
        <w:pStyle w:val="References"/>
        <w:rPr>
          <w:lang w:val="en-US"/>
        </w:rPr>
      </w:pPr>
      <w:r w:rsidRPr="00D462C2">
        <w:rPr>
          <w:lang w:val="en-US"/>
        </w:rPr>
        <w:t xml:space="preserve">Ben-Peretz, M. (1984). Curriculum theory and practice in teacher education programs. In L. Katz &amp; J. Raths (Eds.), </w:t>
      </w:r>
      <w:r w:rsidRPr="00814B39">
        <w:rPr>
          <w:i/>
          <w:iCs/>
          <w:lang w:val="en-US"/>
        </w:rPr>
        <w:t>Advances in teacher education</w:t>
      </w:r>
      <w:r w:rsidRPr="00D462C2">
        <w:rPr>
          <w:lang w:val="en-US"/>
        </w:rPr>
        <w:t xml:space="preserve"> (pp. 9-27). </w:t>
      </w:r>
      <w:r w:rsidRPr="00A82924">
        <w:rPr>
          <w:lang w:val="en-US"/>
        </w:rPr>
        <w:t xml:space="preserve">Norwood: NJ: </w:t>
      </w:r>
      <w:proofErr w:type="spellStart"/>
      <w:r w:rsidRPr="00A82924">
        <w:rPr>
          <w:lang w:val="en-US"/>
        </w:rPr>
        <w:t>Ablex</w:t>
      </w:r>
      <w:proofErr w:type="spellEnd"/>
      <w:r w:rsidRPr="00A82924">
        <w:rPr>
          <w:lang w:val="en-US"/>
        </w:rPr>
        <w:t>.</w:t>
      </w:r>
    </w:p>
    <w:p w14:paraId="156AB19B" w14:textId="38B7364D" w:rsidR="00A9536F" w:rsidRDefault="00A9536F" w:rsidP="00A9536F">
      <w:pPr>
        <w:pStyle w:val="References"/>
        <w:rPr>
          <w:lang w:val="en-US"/>
        </w:rPr>
      </w:pPr>
      <w:r w:rsidRPr="00A82924">
        <w:rPr>
          <w:lang w:val="en-US"/>
        </w:rPr>
        <w:t xml:space="preserve">Buch, B., Gissel, S. T., Oksbjerg, M., Kjeldsen, K. &amp; Albrechtsen, T. R. S. (2022). </w:t>
      </w:r>
      <w:r w:rsidRPr="00F95EF3">
        <w:rPr>
          <w:lang w:val="en-US"/>
        </w:rPr>
        <w:t xml:space="preserve">A systematic review of research on teachers’ guides. </w:t>
      </w:r>
      <w:r w:rsidRPr="00F95EF3">
        <w:rPr>
          <w:i/>
          <w:iCs/>
          <w:lang w:val="en-US"/>
        </w:rPr>
        <w:t xml:space="preserve">Learning Tech – </w:t>
      </w:r>
      <w:proofErr w:type="spellStart"/>
      <w:r w:rsidRPr="00F95EF3">
        <w:rPr>
          <w:i/>
          <w:iCs/>
          <w:lang w:val="en-US"/>
        </w:rPr>
        <w:t>Tidsskrift</w:t>
      </w:r>
      <w:proofErr w:type="spellEnd"/>
      <w:r w:rsidRPr="00F95EF3">
        <w:rPr>
          <w:i/>
          <w:iCs/>
          <w:lang w:val="en-US"/>
        </w:rPr>
        <w:t xml:space="preserve"> for </w:t>
      </w:r>
      <w:proofErr w:type="spellStart"/>
      <w:r w:rsidRPr="00F95EF3">
        <w:rPr>
          <w:i/>
          <w:iCs/>
          <w:lang w:val="en-US"/>
        </w:rPr>
        <w:t>læremidler</w:t>
      </w:r>
      <w:proofErr w:type="spellEnd"/>
      <w:r w:rsidRPr="00F95EF3">
        <w:rPr>
          <w:i/>
          <w:iCs/>
          <w:lang w:val="en-US"/>
        </w:rPr>
        <w:t xml:space="preserve">, </w:t>
      </w:r>
      <w:proofErr w:type="spellStart"/>
      <w:r w:rsidRPr="00F95EF3">
        <w:rPr>
          <w:i/>
          <w:iCs/>
          <w:lang w:val="en-US"/>
        </w:rPr>
        <w:t>didaktik</w:t>
      </w:r>
      <w:proofErr w:type="spellEnd"/>
      <w:r w:rsidRPr="00F95EF3">
        <w:rPr>
          <w:i/>
          <w:iCs/>
          <w:lang w:val="en-US"/>
        </w:rPr>
        <w:t xml:space="preserve"> </w:t>
      </w:r>
      <w:proofErr w:type="spellStart"/>
      <w:r w:rsidRPr="00F95EF3">
        <w:rPr>
          <w:i/>
          <w:iCs/>
          <w:lang w:val="en-US"/>
        </w:rPr>
        <w:t>og</w:t>
      </w:r>
      <w:proofErr w:type="spellEnd"/>
      <w:r w:rsidRPr="00F95EF3">
        <w:rPr>
          <w:i/>
          <w:iCs/>
          <w:lang w:val="en-US"/>
        </w:rPr>
        <w:t xml:space="preserve"> </w:t>
      </w:r>
      <w:proofErr w:type="spellStart"/>
      <w:r w:rsidRPr="00F95EF3">
        <w:rPr>
          <w:i/>
          <w:iCs/>
          <w:lang w:val="en-US"/>
        </w:rPr>
        <w:t>teknologi</w:t>
      </w:r>
      <w:proofErr w:type="spellEnd"/>
      <w:r w:rsidRPr="00F95EF3">
        <w:rPr>
          <w:lang w:val="en-US"/>
        </w:rPr>
        <w:t>, (12), 12-40.</w:t>
      </w:r>
    </w:p>
    <w:p w14:paraId="2FD02594" w14:textId="5F3E796D" w:rsidR="006F1ED9" w:rsidRPr="00FF4565" w:rsidRDefault="006F1ED9" w:rsidP="00A9536F">
      <w:pPr>
        <w:pStyle w:val="References"/>
        <w:rPr>
          <w:lang w:val="en-US"/>
        </w:rPr>
      </w:pPr>
      <w:r w:rsidRPr="00B85848">
        <w:t>Castillo Céspedes, M. J., &amp; Burgos Navarro, M. (2022). Developing Reflective</w:t>
      </w:r>
      <w:r w:rsidRPr="00B769E6">
        <w:rPr>
          <w:lang w:val="en-US"/>
        </w:rPr>
        <w:t xml:space="preserve"> Competence in Prospective Mathematics Teachers by Analyzing Textbooks Lessons. </w:t>
      </w:r>
      <w:r w:rsidRPr="003937C2">
        <w:rPr>
          <w:i/>
          <w:iCs/>
          <w:lang w:val="en-US"/>
        </w:rPr>
        <w:t>EURASIA Journal of Mathematics, Science and Technology Education, 18</w:t>
      </w:r>
      <w:r w:rsidRPr="00263196">
        <w:rPr>
          <w:lang w:val="en-US"/>
        </w:rPr>
        <w:t>(6).</w:t>
      </w:r>
    </w:p>
    <w:p w14:paraId="181A06B4" w14:textId="77777777" w:rsidR="003B5B21" w:rsidRDefault="003B5B21" w:rsidP="003B5B21">
      <w:pPr>
        <w:pStyle w:val="References"/>
      </w:pPr>
      <w:r w:rsidRPr="00F370BF">
        <w:t>Choppin, J., Roth McDuffie, A., Drake, C., &amp; Davis, J. (2022). The role of instructional materials in the relationship between the official curriculum and the enacted curriculum. </w:t>
      </w:r>
      <w:r w:rsidRPr="00F370BF">
        <w:rPr>
          <w:i/>
          <w:iCs/>
        </w:rPr>
        <w:t>Mathematical thinking and learning</w:t>
      </w:r>
      <w:r w:rsidRPr="00F370BF">
        <w:t>, </w:t>
      </w:r>
      <w:r w:rsidRPr="00F370BF">
        <w:rPr>
          <w:i/>
          <w:iCs/>
        </w:rPr>
        <w:t>24</w:t>
      </w:r>
      <w:r w:rsidRPr="00F370BF">
        <w:t>(2), 123-148.</w:t>
      </w:r>
    </w:p>
    <w:p w14:paraId="540B9FE6" w14:textId="77777777" w:rsidR="004C1322" w:rsidRPr="008838FC" w:rsidRDefault="004C1322" w:rsidP="004C1322">
      <w:pPr>
        <w:pStyle w:val="References"/>
      </w:pPr>
      <w:r w:rsidRPr="00A82924">
        <w:rPr>
          <w:lang w:val="en-US"/>
        </w:rPr>
        <w:t xml:space="preserve">Davis, E. A. &amp; Krajcik, J. S. (2005). </w:t>
      </w:r>
      <w:r w:rsidRPr="008838FC">
        <w:t xml:space="preserve">Designing educative curriculum materials to promote teacher learning. </w:t>
      </w:r>
      <w:r w:rsidRPr="004C1322">
        <w:rPr>
          <w:i/>
          <w:iCs/>
        </w:rPr>
        <w:t>Educational Researcher, 34</w:t>
      </w:r>
      <w:r w:rsidRPr="008838FC">
        <w:t>(3), s. 3–14.</w:t>
      </w:r>
    </w:p>
    <w:p w14:paraId="60DCC7B7" w14:textId="77777777" w:rsidR="00CA6C4A" w:rsidRDefault="00CA6C4A" w:rsidP="00CA6C4A">
      <w:pPr>
        <w:pStyle w:val="References"/>
      </w:pPr>
      <w:r w:rsidRPr="00E3641E">
        <w:rPr>
          <w:lang w:val="en-US"/>
        </w:rPr>
        <w:t xml:space="preserve">Davis, E. A., Palincsar, A. S., Smith, P. S., Arias, A. M., &amp; Kademian, S. M. (2017). </w:t>
      </w:r>
      <w:r w:rsidRPr="006C56ED">
        <w:t>Educative curriculum materials: Uptake, impact, and implications for research and design. </w:t>
      </w:r>
      <w:r w:rsidRPr="006C56ED">
        <w:rPr>
          <w:i/>
          <w:iCs/>
        </w:rPr>
        <w:t>Educational Researcher</w:t>
      </w:r>
      <w:r w:rsidRPr="006C56ED">
        <w:t>, </w:t>
      </w:r>
      <w:r w:rsidRPr="006C56ED">
        <w:rPr>
          <w:i/>
          <w:iCs/>
        </w:rPr>
        <w:t>46</w:t>
      </w:r>
      <w:r w:rsidRPr="006C56ED">
        <w:t>(6), 293-304.</w:t>
      </w:r>
    </w:p>
    <w:p w14:paraId="41A05AA3" w14:textId="32B823B6" w:rsidR="000E156E" w:rsidRDefault="000E156E" w:rsidP="000E156E">
      <w:pPr>
        <w:pStyle w:val="References"/>
      </w:pPr>
      <w:r w:rsidRPr="00BE679D">
        <w:rPr>
          <w:lang w:val="en-US"/>
        </w:rPr>
        <w:t xml:space="preserve">Drake, C., Land, T. J., &amp; Tyminski, A. M. (2014). </w:t>
      </w:r>
      <w:r w:rsidRPr="00785BBC">
        <w:t>Using educative curriculum materials to support the development of prospective teachers’ knowledge. </w:t>
      </w:r>
      <w:r w:rsidRPr="00785BBC">
        <w:rPr>
          <w:i/>
          <w:iCs/>
        </w:rPr>
        <w:t>Educational Researcher</w:t>
      </w:r>
      <w:r w:rsidRPr="00785BBC">
        <w:t>, </w:t>
      </w:r>
      <w:r w:rsidRPr="00785BBC">
        <w:rPr>
          <w:i/>
          <w:iCs/>
        </w:rPr>
        <w:t>43</w:t>
      </w:r>
      <w:r w:rsidRPr="00785BBC">
        <w:t>(3), 154-162.</w:t>
      </w:r>
    </w:p>
    <w:p w14:paraId="0A2C1609" w14:textId="77777777" w:rsidR="00DF5AEC" w:rsidRDefault="00DF5AEC" w:rsidP="00DF5AEC">
      <w:pPr>
        <w:pStyle w:val="References"/>
      </w:pPr>
      <w:r w:rsidRPr="006B28E1">
        <w:t>Fan, L., Cheng, J., Xie, S., Luo, J., Wang, Y., &amp; Sun, Y. (2021). Are textbooks facilitators or barriers for teachers’ teaching and instructional change? An investigation of secondary mathematics teachers in Shanghai, China. </w:t>
      </w:r>
      <w:r w:rsidRPr="00DF5AEC">
        <w:rPr>
          <w:i/>
          <w:iCs/>
        </w:rPr>
        <w:t>ZDM–Mathematics Education, 53</w:t>
      </w:r>
      <w:r w:rsidRPr="006B28E1">
        <w:t>, 1313-1330.</w:t>
      </w:r>
    </w:p>
    <w:p w14:paraId="187BF7F6" w14:textId="66E45AD4" w:rsidR="00500ED1" w:rsidRDefault="00500ED1" w:rsidP="00DF5AEC">
      <w:pPr>
        <w:pStyle w:val="References"/>
      </w:pPr>
      <w:r w:rsidRPr="00500ED1">
        <w:rPr>
          <w:rFonts w:eastAsiaTheme="minorHAnsi"/>
          <w:lang w:val="sv-SE"/>
        </w:rPr>
        <w:t xml:space="preserve">Fan, L., </w:t>
      </w:r>
      <w:proofErr w:type="spellStart"/>
      <w:r w:rsidRPr="00500ED1">
        <w:rPr>
          <w:rFonts w:eastAsiaTheme="minorHAnsi"/>
          <w:lang w:val="sv-SE"/>
        </w:rPr>
        <w:t>Trouche</w:t>
      </w:r>
      <w:proofErr w:type="spellEnd"/>
      <w:r w:rsidRPr="00500ED1">
        <w:rPr>
          <w:rFonts w:eastAsiaTheme="minorHAnsi"/>
          <w:lang w:val="sv-SE"/>
        </w:rPr>
        <w:t xml:space="preserve">, L., </w:t>
      </w:r>
      <w:proofErr w:type="spellStart"/>
      <w:r w:rsidRPr="00500ED1">
        <w:rPr>
          <w:rFonts w:eastAsiaTheme="minorHAnsi"/>
          <w:lang w:val="sv-SE"/>
        </w:rPr>
        <w:t>Qi</w:t>
      </w:r>
      <w:proofErr w:type="spellEnd"/>
      <w:r w:rsidRPr="00500ED1">
        <w:rPr>
          <w:rFonts w:eastAsiaTheme="minorHAnsi"/>
          <w:lang w:val="sv-SE"/>
        </w:rPr>
        <w:t xml:space="preserve">, C., </w:t>
      </w:r>
      <w:proofErr w:type="spellStart"/>
      <w:r w:rsidRPr="00500ED1">
        <w:rPr>
          <w:rFonts w:eastAsiaTheme="minorHAnsi"/>
          <w:lang w:val="sv-SE"/>
        </w:rPr>
        <w:t>Rezat</w:t>
      </w:r>
      <w:proofErr w:type="spellEnd"/>
      <w:r w:rsidRPr="00500ED1">
        <w:rPr>
          <w:rFonts w:eastAsiaTheme="minorHAnsi"/>
          <w:lang w:val="sv-SE"/>
        </w:rPr>
        <w:t xml:space="preserve">, S., &amp; </w:t>
      </w:r>
      <w:proofErr w:type="spellStart"/>
      <w:r w:rsidRPr="00500ED1">
        <w:rPr>
          <w:rFonts w:eastAsiaTheme="minorHAnsi"/>
          <w:lang w:val="sv-SE"/>
        </w:rPr>
        <w:t>Visnovska</w:t>
      </w:r>
      <w:proofErr w:type="spellEnd"/>
      <w:r w:rsidRPr="00500ED1">
        <w:rPr>
          <w:rFonts w:eastAsiaTheme="minorHAnsi"/>
          <w:lang w:val="sv-SE"/>
        </w:rPr>
        <w:t xml:space="preserve">, J. (2018). </w:t>
      </w:r>
      <w:r w:rsidRPr="00402CF1">
        <w:rPr>
          <w:rFonts w:eastAsiaTheme="minorHAnsi"/>
        </w:rPr>
        <w:t>Research on mathematics textbooks and teachers’ resources. </w:t>
      </w:r>
      <w:r w:rsidRPr="005137DA">
        <w:rPr>
          <w:rFonts w:eastAsiaTheme="minorHAnsi"/>
          <w:i/>
          <w:iCs/>
          <w:lang w:val="en-US"/>
        </w:rPr>
        <w:t>Switzerland: Springer International Publishing</w:t>
      </w:r>
      <w:r w:rsidRPr="005137DA">
        <w:rPr>
          <w:rFonts w:eastAsiaTheme="minorHAnsi"/>
          <w:lang w:val="en-US"/>
        </w:rPr>
        <w:t>.</w:t>
      </w:r>
    </w:p>
    <w:p w14:paraId="1EC38502" w14:textId="77777777" w:rsidR="008E0405" w:rsidRDefault="008E0405" w:rsidP="008E0405">
      <w:pPr>
        <w:pStyle w:val="References"/>
        <w:rPr>
          <w:rFonts w:eastAsiaTheme="minorHAnsi"/>
          <w:lang w:val="en-US"/>
        </w:rPr>
      </w:pPr>
      <w:r w:rsidRPr="00D642DA">
        <w:rPr>
          <w:rFonts w:eastAsiaTheme="minorHAnsi"/>
          <w:lang w:val="en-US"/>
        </w:rPr>
        <w:t xml:space="preserve">Gough, D., Thomas, J., &amp; Oliver, S. (2012). </w:t>
      </w:r>
      <w:r w:rsidRPr="008A6542">
        <w:rPr>
          <w:rFonts w:eastAsiaTheme="minorHAnsi"/>
        </w:rPr>
        <w:t>Clarifying differences between review designs and methods. </w:t>
      </w:r>
      <w:r w:rsidRPr="008A6542">
        <w:rPr>
          <w:rFonts w:eastAsiaTheme="minorHAnsi"/>
          <w:i/>
          <w:iCs/>
        </w:rPr>
        <w:t>Systematic reviews</w:t>
      </w:r>
      <w:r w:rsidRPr="008A6542">
        <w:rPr>
          <w:rFonts w:eastAsiaTheme="minorHAnsi"/>
        </w:rPr>
        <w:t>, </w:t>
      </w:r>
      <w:r w:rsidRPr="008A6542">
        <w:rPr>
          <w:rFonts w:eastAsiaTheme="minorHAnsi"/>
          <w:i/>
          <w:iCs/>
        </w:rPr>
        <w:t>1</w:t>
      </w:r>
      <w:r w:rsidRPr="008A6542">
        <w:rPr>
          <w:rFonts w:eastAsiaTheme="minorHAnsi"/>
        </w:rPr>
        <w:t>, 1-9.</w:t>
      </w:r>
    </w:p>
    <w:p w14:paraId="61A1DFDC" w14:textId="77777777" w:rsidR="00CE5C30" w:rsidRDefault="00CE5C30" w:rsidP="00CE5C30">
      <w:pPr>
        <w:pStyle w:val="References"/>
        <w:rPr>
          <w:lang w:val="en-US"/>
        </w:rPr>
      </w:pPr>
      <w:r w:rsidRPr="00CE5C30">
        <w:rPr>
          <w:lang w:val="en-US"/>
        </w:rPr>
        <w:t xml:space="preserve">Ku, N., &amp; Lee, K. (2020). </w:t>
      </w:r>
      <w:r w:rsidRPr="008B46C4">
        <w:rPr>
          <w:lang w:val="en-US"/>
        </w:rPr>
        <w:t>Middle school teachers’ interpretations and use of geometric curriculum</w:t>
      </w:r>
      <w:r>
        <w:rPr>
          <w:lang w:val="en-US"/>
        </w:rPr>
        <w:t xml:space="preserve"> </w:t>
      </w:r>
      <w:r w:rsidRPr="008B46C4">
        <w:rPr>
          <w:lang w:val="en-US"/>
        </w:rPr>
        <w:t xml:space="preserve">materials: Focused on the three aspects analysis. </w:t>
      </w:r>
      <w:r w:rsidRPr="008B46C4">
        <w:rPr>
          <w:i/>
          <w:iCs/>
          <w:lang w:val="en-US"/>
        </w:rPr>
        <w:t>Journal of Educational Research in Mathematics</w:t>
      </w:r>
      <w:r w:rsidRPr="008B46C4">
        <w:rPr>
          <w:lang w:val="en-US"/>
        </w:rPr>
        <w:t>,</w:t>
      </w:r>
      <w:r>
        <w:rPr>
          <w:lang w:val="en-US"/>
        </w:rPr>
        <w:t xml:space="preserve"> </w:t>
      </w:r>
      <w:r w:rsidRPr="00E3641E">
        <w:rPr>
          <w:i/>
          <w:iCs/>
          <w:lang w:val="en-US"/>
        </w:rPr>
        <w:t>30</w:t>
      </w:r>
      <w:r w:rsidRPr="00E3641E">
        <w:rPr>
          <w:lang w:val="en-US"/>
        </w:rPr>
        <w:t>(3), 397–425.</w:t>
      </w:r>
    </w:p>
    <w:p w14:paraId="0ECED071" w14:textId="2F1F335A" w:rsidR="002D069A" w:rsidRPr="00E3641E" w:rsidRDefault="002D069A" w:rsidP="00CE5C30">
      <w:pPr>
        <w:pStyle w:val="References"/>
        <w:rPr>
          <w:lang w:val="en-US"/>
        </w:rPr>
      </w:pPr>
      <w:r w:rsidRPr="00241468">
        <w:rPr>
          <w:lang w:val="en-US"/>
        </w:rPr>
        <w:t xml:space="preserve">Land, T. J. &amp; Drake, C. (2014). Understanding preservice teachers’ curricular knowledge. In J. Lo, K. R. Leatham &amp; L. R. Van </w:t>
      </w:r>
      <w:proofErr w:type="spellStart"/>
      <w:r w:rsidRPr="00241468">
        <w:rPr>
          <w:lang w:val="en-US"/>
        </w:rPr>
        <w:t>Zoest</w:t>
      </w:r>
      <w:proofErr w:type="spellEnd"/>
      <w:r w:rsidRPr="00241468">
        <w:rPr>
          <w:lang w:val="en-US"/>
        </w:rPr>
        <w:t xml:space="preserve"> (Eds.), </w:t>
      </w:r>
      <w:r w:rsidRPr="00156E50">
        <w:rPr>
          <w:i/>
          <w:iCs/>
          <w:lang w:val="en-US"/>
        </w:rPr>
        <w:t>Research trends in mathematics teacher education</w:t>
      </w:r>
      <w:r w:rsidRPr="00241468">
        <w:rPr>
          <w:lang w:val="en-US"/>
        </w:rPr>
        <w:t xml:space="preserve"> (pp. 3–22). Cham, Switzerland: Springer International Publishing AG.</w:t>
      </w:r>
    </w:p>
    <w:p w14:paraId="24279CB9" w14:textId="77777777" w:rsidR="00BB0CA1" w:rsidRDefault="00BB0CA1" w:rsidP="00BB0CA1">
      <w:pPr>
        <w:pStyle w:val="References"/>
        <w:rPr>
          <w:lang w:val="en-US"/>
        </w:rPr>
      </w:pPr>
      <w:r w:rsidRPr="00DE5451">
        <w:rPr>
          <w:lang w:val="en-US"/>
        </w:rPr>
        <w:t xml:space="preserve">Li, Z., &amp; </w:t>
      </w:r>
      <w:proofErr w:type="spellStart"/>
      <w:r w:rsidRPr="00DE5451">
        <w:rPr>
          <w:lang w:val="en-US"/>
        </w:rPr>
        <w:t>Harfitt</w:t>
      </w:r>
      <w:proofErr w:type="spellEnd"/>
      <w:r w:rsidRPr="00DE5451">
        <w:rPr>
          <w:lang w:val="en-US"/>
        </w:rPr>
        <w:t xml:space="preserve">, G. (2018). Understanding language teachers’ enactment of content </w:t>
      </w:r>
      <w:proofErr w:type="gramStart"/>
      <w:r w:rsidRPr="00DE5451">
        <w:rPr>
          <w:lang w:val="en-US"/>
        </w:rPr>
        <w:t>through the use</w:t>
      </w:r>
      <w:r>
        <w:rPr>
          <w:lang w:val="en-US"/>
        </w:rPr>
        <w:t xml:space="preserve"> </w:t>
      </w:r>
      <w:r w:rsidRPr="00DE5451">
        <w:rPr>
          <w:lang w:val="en-US"/>
        </w:rPr>
        <w:t>of</w:t>
      </w:r>
      <w:proofErr w:type="gramEnd"/>
      <w:r w:rsidRPr="00DE5451">
        <w:rPr>
          <w:lang w:val="en-US"/>
        </w:rPr>
        <w:t xml:space="preserve"> centralized curriculum materials. </w:t>
      </w:r>
      <w:r w:rsidRPr="00DE5451">
        <w:rPr>
          <w:i/>
          <w:iCs/>
          <w:lang w:val="en-US"/>
        </w:rPr>
        <w:t>Asia-Pacific Journal of Teacher Education</w:t>
      </w:r>
      <w:r w:rsidRPr="00DE5451">
        <w:rPr>
          <w:lang w:val="en-US"/>
        </w:rPr>
        <w:t xml:space="preserve">, </w:t>
      </w:r>
      <w:r w:rsidRPr="00DE5451">
        <w:rPr>
          <w:i/>
          <w:iCs/>
          <w:lang w:val="en-US"/>
        </w:rPr>
        <w:t>46</w:t>
      </w:r>
      <w:r w:rsidRPr="00DE5451">
        <w:rPr>
          <w:lang w:val="en-US"/>
        </w:rPr>
        <w:t>(5), 461–477.</w:t>
      </w:r>
    </w:p>
    <w:p w14:paraId="37CFAC96" w14:textId="3F3D882A" w:rsidR="00D90C5A" w:rsidRDefault="00D90C5A" w:rsidP="00BB0CA1">
      <w:pPr>
        <w:pStyle w:val="References"/>
        <w:rPr>
          <w:lang w:val="en-US"/>
        </w:rPr>
      </w:pPr>
      <w:r w:rsidRPr="00D90C5A">
        <w:t>Lithner, J. (2008). A research framework for creative and imitative reasoning. </w:t>
      </w:r>
      <w:r w:rsidRPr="00D90C5A">
        <w:rPr>
          <w:i/>
          <w:iCs/>
        </w:rPr>
        <w:t>Educational Studies in mathematics</w:t>
      </w:r>
      <w:r w:rsidRPr="00D90C5A">
        <w:t>, </w:t>
      </w:r>
      <w:r w:rsidRPr="00D90C5A">
        <w:rPr>
          <w:i/>
          <w:iCs/>
        </w:rPr>
        <w:t>67</w:t>
      </w:r>
      <w:r w:rsidRPr="00D90C5A">
        <w:t>(3), 255-276.</w:t>
      </w:r>
    </w:p>
    <w:p w14:paraId="73753C7E" w14:textId="77777777" w:rsidR="00BE679D" w:rsidRDefault="00BE679D">
      <w:pPr>
        <w:autoSpaceDE/>
        <w:autoSpaceDN/>
        <w:spacing w:line="240" w:lineRule="auto"/>
        <w:ind w:firstLine="0"/>
        <w:jc w:val="left"/>
        <w:rPr>
          <w:sz w:val="24"/>
          <w:lang w:val="en-US"/>
        </w:rPr>
      </w:pPr>
      <w:r>
        <w:rPr>
          <w:lang w:val="en-US"/>
        </w:rPr>
        <w:br w:type="page"/>
      </w:r>
    </w:p>
    <w:p w14:paraId="317A7024" w14:textId="2E50F935" w:rsidR="00F05018" w:rsidRDefault="008C0A35" w:rsidP="008C0A35">
      <w:pPr>
        <w:pStyle w:val="References"/>
        <w:rPr>
          <w:lang w:val="en-US"/>
        </w:rPr>
      </w:pPr>
      <w:r w:rsidRPr="008C0A35">
        <w:rPr>
          <w:lang w:val="en-US"/>
        </w:rPr>
        <w:lastRenderedPageBreak/>
        <w:t xml:space="preserve">Lloyd, G. M. (2006). Using K-12 mathematics curriculum materials in preservice teacher education: Rationale, strategies, and teachers' experiences. In K. Lynch-Davis, &amp; R. L. Rider (Eds.), </w:t>
      </w:r>
      <w:r w:rsidRPr="00F05018">
        <w:rPr>
          <w:i/>
          <w:iCs/>
          <w:lang w:val="en-US"/>
        </w:rPr>
        <w:t xml:space="preserve">The work of mathematics teacher educators: Continuing the conversation </w:t>
      </w:r>
      <w:r w:rsidRPr="008C0A35">
        <w:rPr>
          <w:lang w:val="en-US"/>
        </w:rPr>
        <w:t>(vol. 3, AMTE monograph series, pp. 11-27). San Diego, CA: Association of Mathematics Teacher Educators</w:t>
      </w:r>
      <w:r w:rsidR="00F05018">
        <w:rPr>
          <w:lang w:val="en-US"/>
        </w:rPr>
        <w:t>.</w:t>
      </w:r>
    </w:p>
    <w:p w14:paraId="59EF4C6E" w14:textId="7EF5A9A7" w:rsidR="009665DE" w:rsidRDefault="009665DE" w:rsidP="008C0A35">
      <w:pPr>
        <w:pStyle w:val="References"/>
      </w:pPr>
      <w:r w:rsidRPr="00E3641E">
        <w:rPr>
          <w:lang w:val="en-US"/>
        </w:rPr>
        <w:t xml:space="preserve">Lloyd, G. M., Cai, J., &amp; Tarr, J. E. (2017). </w:t>
      </w:r>
      <w:r w:rsidRPr="00FD548D">
        <w:t>Issues in curriculum studies: Evidence-based insights and future directions. </w:t>
      </w:r>
      <w:r w:rsidRPr="00FD548D">
        <w:rPr>
          <w:i/>
          <w:iCs/>
        </w:rPr>
        <w:t>Compendium for research in mathematics education</w:t>
      </w:r>
      <w:r w:rsidRPr="00FD548D">
        <w:t>, 824-852.</w:t>
      </w:r>
    </w:p>
    <w:p w14:paraId="769C01C9" w14:textId="77777777" w:rsidR="00650B6E" w:rsidRDefault="000A4A2B" w:rsidP="00833A5B">
      <w:pPr>
        <w:pStyle w:val="References"/>
      </w:pPr>
      <w:r w:rsidRPr="00CF0147">
        <w:t>Nicol, C. C., &amp; Crespo, S. M. (2006). Learning to teach with mathematics textbooks: How preservice teachers interpret and use curriculum materials. </w:t>
      </w:r>
      <w:r w:rsidRPr="00CF0147">
        <w:rPr>
          <w:i/>
          <w:iCs/>
        </w:rPr>
        <w:t>Educational studies in mathematics, 62</w:t>
      </w:r>
      <w:r w:rsidRPr="00CF0147">
        <w:t>, 331-355.</w:t>
      </w:r>
    </w:p>
    <w:p w14:paraId="3A1BE828" w14:textId="3D134B5B" w:rsidR="00EB455B" w:rsidRDefault="00EB455B" w:rsidP="00DF5AEC">
      <w:pPr>
        <w:pStyle w:val="References"/>
      </w:pPr>
      <w:r w:rsidRPr="00EB455B">
        <w:t>Remillard, J. T. (2016). How to Partner with Your Curriculum. </w:t>
      </w:r>
      <w:r w:rsidRPr="00EB455B">
        <w:rPr>
          <w:i/>
          <w:iCs/>
        </w:rPr>
        <w:t>Educational leadership</w:t>
      </w:r>
      <w:r w:rsidRPr="00EB455B">
        <w:t>, </w:t>
      </w:r>
      <w:r w:rsidRPr="00EB455B">
        <w:rPr>
          <w:i/>
          <w:iCs/>
        </w:rPr>
        <w:t>74</w:t>
      </w:r>
      <w:r w:rsidRPr="00EB455B">
        <w:t>(2), 34-38.</w:t>
      </w:r>
    </w:p>
    <w:p w14:paraId="198E1621" w14:textId="7DA5A314" w:rsidR="0054407B" w:rsidRPr="0054407B" w:rsidRDefault="0054407B" w:rsidP="0054407B">
      <w:pPr>
        <w:pStyle w:val="References"/>
        <w:rPr>
          <w:lang w:val="en-US"/>
        </w:rPr>
      </w:pPr>
      <w:r w:rsidRPr="0054407B">
        <w:rPr>
          <w:lang w:val="en-US"/>
        </w:rPr>
        <w:t xml:space="preserve">Remillard, J. T., &amp; Bryans, M. B. (2004). Teachers' orientations toward mathematics curriculum materials: Implications for teacher learning. </w:t>
      </w:r>
      <w:r w:rsidRPr="0054407B">
        <w:rPr>
          <w:i/>
          <w:iCs/>
          <w:lang w:val="en-US"/>
        </w:rPr>
        <w:t>Journal for Research in Mathematics Education, 35,</w:t>
      </w:r>
      <w:r w:rsidRPr="0054407B">
        <w:rPr>
          <w:lang w:val="en-US"/>
        </w:rPr>
        <w:t xml:space="preserve"> 352-388.</w:t>
      </w:r>
    </w:p>
    <w:p w14:paraId="333918EA" w14:textId="77777777" w:rsidR="00C5179E" w:rsidRDefault="00D91065" w:rsidP="00240355">
      <w:pPr>
        <w:pStyle w:val="References"/>
      </w:pPr>
      <w:r w:rsidRPr="00D91065">
        <w:t>Remillard, J., &amp; Kim, O. K. (2017). Knowledge of curriculum embedded mathematics: Exploring a critical domain of teaching. </w:t>
      </w:r>
      <w:r w:rsidRPr="00D91065">
        <w:rPr>
          <w:i/>
          <w:iCs/>
        </w:rPr>
        <w:t>Educational Studies in Mathematics</w:t>
      </w:r>
      <w:r w:rsidRPr="00D91065">
        <w:t>, </w:t>
      </w:r>
      <w:r w:rsidRPr="00D91065">
        <w:rPr>
          <w:i/>
          <w:iCs/>
        </w:rPr>
        <w:t>96</w:t>
      </w:r>
      <w:r w:rsidRPr="00D91065">
        <w:t>(1), 65-81.</w:t>
      </w:r>
    </w:p>
    <w:p w14:paraId="1C084DC9" w14:textId="5E81944E" w:rsidR="00D91065" w:rsidRDefault="00C5179E" w:rsidP="00240355">
      <w:pPr>
        <w:pStyle w:val="References"/>
      </w:pPr>
      <w:r w:rsidRPr="0044696F">
        <w:rPr>
          <w:lang w:val="en-US"/>
        </w:rPr>
        <w:t>Remillard, J. T., &amp; Kim, O.</w:t>
      </w:r>
      <w:r w:rsidR="002F445A">
        <w:rPr>
          <w:lang w:val="en-US"/>
        </w:rPr>
        <w:t xml:space="preserve"> </w:t>
      </w:r>
      <w:r w:rsidRPr="0044696F">
        <w:rPr>
          <w:lang w:val="en-US"/>
        </w:rPr>
        <w:t xml:space="preserve">K. (Eds.). (2020). </w:t>
      </w:r>
      <w:r w:rsidRPr="0044696F">
        <w:rPr>
          <w:i/>
          <w:iCs/>
          <w:lang w:val="en-US"/>
        </w:rPr>
        <w:t>Elementary mathematics</w:t>
      </w:r>
      <w:r>
        <w:rPr>
          <w:i/>
          <w:iCs/>
          <w:lang w:val="en-US"/>
        </w:rPr>
        <w:t xml:space="preserve"> </w:t>
      </w:r>
      <w:r w:rsidRPr="0044696F">
        <w:rPr>
          <w:i/>
          <w:iCs/>
          <w:lang w:val="en-US"/>
        </w:rPr>
        <w:t>curriculum materials: Designs for student learning</w:t>
      </w:r>
      <w:r>
        <w:rPr>
          <w:i/>
          <w:iCs/>
          <w:lang w:val="en-US"/>
        </w:rPr>
        <w:t xml:space="preserve"> </w:t>
      </w:r>
      <w:r w:rsidRPr="0044696F">
        <w:rPr>
          <w:i/>
          <w:iCs/>
          <w:lang w:val="en-US"/>
        </w:rPr>
        <w:t>and teacher enactment</w:t>
      </w:r>
      <w:r w:rsidRPr="0044696F">
        <w:rPr>
          <w:lang w:val="en-US"/>
        </w:rPr>
        <w:t>. Springer.</w:t>
      </w:r>
      <w:r w:rsidR="00D91065" w:rsidRPr="00D91065">
        <w:t xml:space="preserve"> </w:t>
      </w:r>
    </w:p>
    <w:p w14:paraId="02DDB791" w14:textId="44556B75" w:rsidR="00240355" w:rsidRDefault="00240355" w:rsidP="00240355">
      <w:pPr>
        <w:pStyle w:val="References"/>
      </w:pPr>
      <w:r w:rsidRPr="00F64AE6">
        <w:t>Reys, B. J., Reys, R. E., &amp; Chavez, O. (2004). Why mathematics textbooks matter. </w:t>
      </w:r>
      <w:r w:rsidRPr="00F64AE6">
        <w:rPr>
          <w:i/>
          <w:iCs/>
        </w:rPr>
        <w:t>Educational leadership</w:t>
      </w:r>
      <w:r w:rsidRPr="00F64AE6">
        <w:t>, </w:t>
      </w:r>
      <w:r w:rsidRPr="00F64AE6">
        <w:rPr>
          <w:i/>
          <w:iCs/>
        </w:rPr>
        <w:t>61</w:t>
      </w:r>
      <w:r w:rsidRPr="00F64AE6">
        <w:t>(5), 61-66.</w:t>
      </w:r>
    </w:p>
    <w:p w14:paraId="061EE759" w14:textId="6E533E56" w:rsidR="000B77AF" w:rsidRDefault="000B77AF" w:rsidP="00240355">
      <w:pPr>
        <w:pStyle w:val="References"/>
      </w:pPr>
      <w:r w:rsidRPr="000B77AF">
        <w:t>Rezat, S. (2024). Research on curriculum resources in mathematics education: A survey of the field. </w:t>
      </w:r>
      <w:r w:rsidRPr="000B77AF">
        <w:rPr>
          <w:i/>
          <w:iCs/>
        </w:rPr>
        <w:t>ZDM–Mathematics Education</w:t>
      </w:r>
      <w:r w:rsidRPr="000B77AF">
        <w:t>, </w:t>
      </w:r>
      <w:r w:rsidRPr="000B77AF">
        <w:rPr>
          <w:i/>
          <w:iCs/>
        </w:rPr>
        <w:t>56</w:t>
      </w:r>
      <w:r w:rsidRPr="000B77AF">
        <w:t>(2), 223-237.</w:t>
      </w:r>
    </w:p>
    <w:p w14:paraId="4BE8BC9F" w14:textId="77777777" w:rsidR="0006270F" w:rsidRPr="00A82924" w:rsidRDefault="0006270F" w:rsidP="0006270F">
      <w:pPr>
        <w:pStyle w:val="References"/>
        <w:rPr>
          <w:lang w:val="en-US"/>
        </w:rPr>
      </w:pPr>
      <w:r w:rsidRPr="006B28E1">
        <w:t>Rezat, S., Fan, L., &amp; Pepin, B. (2021). Mathematics textbooks and curriculum resources as instruments for change. </w:t>
      </w:r>
      <w:r w:rsidRPr="00A82924">
        <w:rPr>
          <w:i/>
          <w:iCs/>
          <w:lang w:val="en-US"/>
        </w:rPr>
        <w:t>ZDM–Mathematics Education, 53</w:t>
      </w:r>
      <w:r w:rsidRPr="00A82924">
        <w:rPr>
          <w:lang w:val="en-US"/>
        </w:rPr>
        <w:t>, 1189-1206.</w:t>
      </w:r>
    </w:p>
    <w:p w14:paraId="3FD9E798" w14:textId="533EF63C" w:rsidR="00C11C66" w:rsidRPr="00A82924" w:rsidRDefault="002A3CE4" w:rsidP="00BF26BC">
      <w:pPr>
        <w:pStyle w:val="References"/>
        <w:rPr>
          <w:lang w:val="en-US"/>
        </w:rPr>
      </w:pPr>
      <w:r w:rsidRPr="00A82924">
        <w:rPr>
          <w:lang w:val="en-US"/>
        </w:rPr>
        <w:t xml:space="preserve">SFS </w:t>
      </w:r>
      <w:r w:rsidR="003F4437" w:rsidRPr="00A82924">
        <w:rPr>
          <w:lang w:val="en-US"/>
        </w:rPr>
        <w:t>1</w:t>
      </w:r>
      <w:r w:rsidRPr="00A82924">
        <w:rPr>
          <w:lang w:val="en-US"/>
        </w:rPr>
        <w:t xml:space="preserve">993:100, </w:t>
      </w:r>
      <w:proofErr w:type="spellStart"/>
      <w:r w:rsidRPr="00A82924">
        <w:rPr>
          <w:lang w:val="en-US"/>
        </w:rPr>
        <w:t>Högskoleförordningen</w:t>
      </w:r>
      <w:proofErr w:type="spellEnd"/>
      <w:r w:rsidRPr="00A82924">
        <w:rPr>
          <w:lang w:val="en-US"/>
        </w:rPr>
        <w:t xml:space="preserve">. </w:t>
      </w:r>
      <w:hyperlink r:id="rId9" w:history="1">
        <w:r w:rsidR="00C05FF9" w:rsidRPr="00A82924">
          <w:rPr>
            <w:rStyle w:val="Hyperlnk"/>
            <w:lang w:val="en-US"/>
          </w:rPr>
          <w:t>https://www.riksdagen.se/sv/dokument-och-lagar/dokument/svenskforfattningssamling/hogskoleforordning-1993100_sfs-1993-100/</w:t>
        </w:r>
      </w:hyperlink>
    </w:p>
    <w:p w14:paraId="38B57874" w14:textId="24DABD81" w:rsidR="009C6956" w:rsidRPr="009F19F4" w:rsidRDefault="009C6956" w:rsidP="00702225">
      <w:pPr>
        <w:pStyle w:val="References"/>
        <w:rPr>
          <w:lang w:val="en-US"/>
        </w:rPr>
      </w:pPr>
      <w:r w:rsidRPr="00BE679D">
        <w:t xml:space="preserve">Tyminski, A. M., Land, T. J., &amp; Drake, C. (2011). </w:t>
      </w:r>
      <w:r w:rsidRPr="00F15287">
        <w:t>Elementary Preservice Teachers' Critiques, Comparisons, and Preferences in Examining Standards-Based Curricular Materials. </w:t>
      </w:r>
      <w:r>
        <w:t xml:space="preserve">In </w:t>
      </w:r>
      <w:r w:rsidRPr="005913B1">
        <w:rPr>
          <w:lang w:val="en-US"/>
        </w:rPr>
        <w:t>Wiest, L. R., &amp; Lamberg, T. (Eds.)</w:t>
      </w:r>
      <w:r>
        <w:rPr>
          <w:i/>
          <w:iCs/>
          <w:lang w:val="en-US"/>
        </w:rPr>
        <w:t>,</w:t>
      </w:r>
      <w:r w:rsidRPr="00AF363A">
        <w:rPr>
          <w:i/>
          <w:iCs/>
          <w:lang w:val="en-US"/>
        </w:rPr>
        <w:t xml:space="preserve"> Proceedings of the 33rd Annual Meeting of the North</w:t>
      </w:r>
      <w:r>
        <w:rPr>
          <w:i/>
          <w:iCs/>
          <w:lang w:val="en-US"/>
        </w:rPr>
        <w:t xml:space="preserve"> </w:t>
      </w:r>
      <w:r w:rsidRPr="00AF363A">
        <w:rPr>
          <w:i/>
          <w:iCs/>
          <w:lang w:val="en-US"/>
        </w:rPr>
        <w:t>American Chapter of the International Group for the Psychology of Mathematics Education.</w:t>
      </w:r>
      <w:r>
        <w:rPr>
          <w:i/>
          <w:iCs/>
          <w:lang w:val="en-US"/>
        </w:rPr>
        <w:t xml:space="preserve"> </w:t>
      </w:r>
      <w:r w:rsidRPr="00AF363A">
        <w:rPr>
          <w:lang w:val="en-US"/>
        </w:rPr>
        <w:t>Reno, NV: University of Nevada, Reno</w:t>
      </w:r>
      <w:r w:rsidRPr="00AF363A">
        <w:t>.</w:t>
      </w:r>
    </w:p>
    <w:p w14:paraId="05D579D8" w14:textId="174E1BD8" w:rsidR="00EE78AE" w:rsidRDefault="00702225" w:rsidP="00F80577">
      <w:pPr>
        <w:pStyle w:val="References"/>
      </w:pPr>
      <w:r w:rsidRPr="00A82924">
        <w:rPr>
          <w:lang w:val="en-US"/>
        </w:rPr>
        <w:t xml:space="preserve">Van Steenbrugge, H., &amp; Ryve, A. (2018). </w:t>
      </w:r>
      <w:r w:rsidRPr="006B28E1">
        <w:t>Developing a reform mathematics curriculum program in Sweden: relating international research and the local context. </w:t>
      </w:r>
      <w:r w:rsidRPr="00702225">
        <w:rPr>
          <w:i/>
          <w:iCs/>
        </w:rPr>
        <w:t>ZDM, 50</w:t>
      </w:r>
      <w:r w:rsidRPr="006B28E1">
        <w:t>(5), 801-812.</w:t>
      </w:r>
    </w:p>
    <w:p w14:paraId="55A1F50B" w14:textId="77777777" w:rsidR="00521073" w:rsidRDefault="00521073">
      <w:pPr>
        <w:autoSpaceDE/>
        <w:autoSpaceDN/>
        <w:spacing w:line="240" w:lineRule="auto"/>
        <w:ind w:firstLine="0"/>
        <w:jc w:val="left"/>
        <w:rPr>
          <w:kern w:val="28"/>
          <w:sz w:val="44"/>
          <w:szCs w:val="32"/>
        </w:rPr>
      </w:pPr>
      <w:r>
        <w:br w:type="page"/>
      </w:r>
    </w:p>
    <w:p w14:paraId="649E0D42" w14:textId="7FD43FB3" w:rsidR="00521073" w:rsidRPr="00F75B71" w:rsidRDefault="00521073" w:rsidP="00D72526">
      <w:pPr>
        <w:pStyle w:val="Rubrik2"/>
      </w:pPr>
      <w:r w:rsidRPr="00F75B71">
        <w:lastRenderedPageBreak/>
        <w:t>Appendix</w:t>
      </w:r>
    </w:p>
    <w:p w14:paraId="1E6F8A86" w14:textId="660FA25F" w:rsidR="00521073" w:rsidRDefault="00521073" w:rsidP="00521073">
      <w:pPr>
        <w:pStyle w:val="Paragraph"/>
      </w:pPr>
      <w:r w:rsidRPr="00F75B71">
        <w:t xml:space="preserve">The </w:t>
      </w:r>
      <w:r>
        <w:t>44</w:t>
      </w:r>
      <w:r w:rsidRPr="00F75B71">
        <w:t xml:space="preserve"> articles presented here constituted the empirical material for this study.</w:t>
      </w:r>
      <w:r>
        <w:t xml:space="preserve"> </w:t>
      </w:r>
    </w:p>
    <w:p w14:paraId="05884DB0" w14:textId="77777777" w:rsidR="007A76EA" w:rsidRPr="007A76EA" w:rsidRDefault="007A76EA" w:rsidP="007A76EA">
      <w:pPr>
        <w:ind w:firstLine="0"/>
        <w:rPr>
          <w:lang w:eastAsia="en-GB"/>
        </w:rPr>
      </w:pPr>
    </w:p>
    <w:p w14:paraId="3821FF96" w14:textId="75C7ED2A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E31238">
        <w:t>Akıncı, M., &amp; Genç, M. (2023). Interpretations of Pre-service Elementary Mathematics Teachers on the Functions of Non-Textual Elements: Case Study on Algebra Learning Area. </w:t>
      </w:r>
      <w:r w:rsidRPr="00E31238">
        <w:rPr>
          <w:i/>
          <w:iCs/>
        </w:rPr>
        <w:t>Sakarya University Journal of Education</w:t>
      </w:r>
      <w:r w:rsidRPr="00E31238">
        <w:t>, </w:t>
      </w:r>
      <w:r w:rsidRPr="00E31238">
        <w:rPr>
          <w:i/>
          <w:iCs/>
        </w:rPr>
        <w:t>13</w:t>
      </w:r>
      <w:r w:rsidRPr="00E31238">
        <w:t>(1), 84-102.</w:t>
      </w:r>
    </w:p>
    <w:p w14:paraId="0B56ED38" w14:textId="31652A44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E45DB0">
        <w:t xml:space="preserve">Amador, J. M. (2019). Preservice Teachers' Use of Curricular Resources for Mathematics Lesson Design. </w:t>
      </w:r>
      <w:r w:rsidRPr="00E45DB0">
        <w:rPr>
          <w:i/>
          <w:iCs/>
        </w:rPr>
        <w:t>Mathematics Teacher Education and Development, 21</w:t>
      </w:r>
      <w:r w:rsidRPr="00E45DB0">
        <w:t>(1), 51-81.</w:t>
      </w:r>
    </w:p>
    <w:p w14:paraId="20D73B03" w14:textId="7C3AEA56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6824BA">
        <w:t>Amador, J. M., &amp; Earnest, D. (2019). Launching forth: preservice teachers translating elementary mathematics curriculum into lessons. </w:t>
      </w:r>
      <w:r w:rsidRPr="006824BA">
        <w:rPr>
          <w:i/>
          <w:iCs/>
        </w:rPr>
        <w:t>Mathematics Education Research Journal, 31</w:t>
      </w:r>
      <w:r w:rsidRPr="006824BA">
        <w:t>(3), 301-323.</w:t>
      </w:r>
    </w:p>
    <w:p w14:paraId="7BFFA85F" w14:textId="42F0DADF" w:rsidR="00521073" w:rsidRDefault="00521073" w:rsidP="00521073">
      <w:pPr>
        <w:pStyle w:val="References"/>
        <w:tabs>
          <w:tab w:val="left" w:pos="567"/>
        </w:tabs>
        <w:ind w:left="1134" w:hanging="1134"/>
        <w:rPr>
          <w:lang w:val="en-US"/>
        </w:rPr>
      </w:pPr>
      <w:r w:rsidRPr="00C63775">
        <w:t>Behm, S. L., &amp; Lloyd, G. M. (2005). The Issue of Flexibility in One Student Teacher's Use of Mandated Curriculum Materials and Other Instructional Resources. In </w:t>
      </w:r>
      <w:r w:rsidRPr="000C108F">
        <w:rPr>
          <w:lang w:val="en-US"/>
        </w:rPr>
        <w:t>Lloyd, G. M., Wilson, M., Wilkins, J. L. M., &amp; Behm, S. L. (Eds.)</w:t>
      </w:r>
      <w:r>
        <w:rPr>
          <w:i/>
          <w:iCs/>
          <w:lang w:val="en-US"/>
        </w:rPr>
        <w:t xml:space="preserve">, </w:t>
      </w:r>
      <w:r w:rsidRPr="00A015F6">
        <w:rPr>
          <w:i/>
          <w:iCs/>
          <w:lang w:val="en-US"/>
        </w:rPr>
        <w:t>Proceedings of the 27th annual meeting of the North American Chapter of</w:t>
      </w:r>
      <w:r>
        <w:rPr>
          <w:i/>
          <w:iCs/>
          <w:lang w:val="en-US"/>
        </w:rPr>
        <w:t xml:space="preserve"> </w:t>
      </w:r>
      <w:r w:rsidRPr="00A015F6">
        <w:rPr>
          <w:i/>
          <w:iCs/>
          <w:lang w:val="en-US"/>
        </w:rPr>
        <w:t>the International Group for the Psychology of Mathematics Education</w:t>
      </w:r>
      <w:r>
        <w:rPr>
          <w:i/>
          <w:iCs/>
          <w:lang w:val="en-US"/>
        </w:rPr>
        <w:t xml:space="preserve"> </w:t>
      </w:r>
      <w:r w:rsidRPr="007B192D">
        <w:rPr>
          <w:lang w:val="en-US"/>
        </w:rPr>
        <w:t>(pp. 430-437)</w:t>
      </w:r>
      <w:r>
        <w:rPr>
          <w:lang w:val="en-US"/>
        </w:rPr>
        <w:t>. Roanoke, Virginia.</w:t>
      </w:r>
    </w:p>
    <w:p w14:paraId="19EB2CE4" w14:textId="7C78DF33" w:rsidR="00521073" w:rsidRPr="00EE5985" w:rsidRDefault="00521073" w:rsidP="00521073">
      <w:pPr>
        <w:pStyle w:val="References"/>
        <w:tabs>
          <w:tab w:val="left" w:pos="567"/>
        </w:tabs>
        <w:ind w:left="1134" w:hanging="1134"/>
      </w:pPr>
      <w:r w:rsidRPr="0070064E">
        <w:rPr>
          <w:lang w:val="en-US"/>
        </w:rPr>
        <w:t xml:space="preserve">Block, S. S., </w:t>
      </w:r>
      <w:proofErr w:type="spellStart"/>
      <w:r w:rsidRPr="0070064E">
        <w:rPr>
          <w:lang w:val="en-US"/>
        </w:rPr>
        <w:t>Quaisley</w:t>
      </w:r>
      <w:proofErr w:type="spellEnd"/>
      <w:r w:rsidRPr="0070064E">
        <w:rPr>
          <w:lang w:val="en-US"/>
        </w:rPr>
        <w:t>, K., &amp; Males, L. M. (2023). First Impressions Matter: An Analysis of Prospective Teachers' Noticing of Curriculum Materials. </w:t>
      </w:r>
      <w:r w:rsidRPr="00336E06">
        <w:rPr>
          <w:i/>
          <w:iCs/>
          <w:lang w:val="en-US"/>
        </w:rPr>
        <w:t>North American Chapter of the International Group for the Psychology of Mathematics Education.</w:t>
      </w:r>
    </w:p>
    <w:p w14:paraId="6E25DB5A" w14:textId="2C1F552D" w:rsidR="00521073" w:rsidRPr="00673630" w:rsidRDefault="00521073" w:rsidP="00521073">
      <w:pPr>
        <w:pStyle w:val="References"/>
        <w:tabs>
          <w:tab w:val="left" w:pos="567"/>
        </w:tabs>
        <w:ind w:left="1134" w:hanging="1134"/>
        <w:rPr>
          <w:lang w:val="en-US"/>
        </w:rPr>
      </w:pPr>
      <w:r w:rsidRPr="00B85848">
        <w:t>Castillo Céspedes, M. J., &amp; Burgos Navarro, M. (2022). Developing Reflective</w:t>
      </w:r>
      <w:r w:rsidRPr="00B769E6">
        <w:rPr>
          <w:lang w:val="en-US"/>
        </w:rPr>
        <w:t xml:space="preserve"> Competence in Prospective Mathematics Teachers by Analyzing Textbooks Lessons. </w:t>
      </w:r>
      <w:r w:rsidRPr="003937C2">
        <w:rPr>
          <w:i/>
          <w:iCs/>
          <w:lang w:val="en-US"/>
        </w:rPr>
        <w:t>EURASIA Journal of Mathematics, Science and Technology Education, 18</w:t>
      </w:r>
      <w:r w:rsidRPr="00263196">
        <w:rPr>
          <w:lang w:val="en-US"/>
        </w:rPr>
        <w:t>(6).</w:t>
      </w:r>
    </w:p>
    <w:p w14:paraId="3D5CF233" w14:textId="295D2271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A814B3">
        <w:t>Castro, A. M. (2006). Preparing elementary preservice teachers to use mathematics curriculum materials. </w:t>
      </w:r>
      <w:r w:rsidRPr="00A814B3">
        <w:rPr>
          <w:i/>
          <w:iCs/>
        </w:rPr>
        <w:t>The Mathematics Educator, 16</w:t>
      </w:r>
      <w:r w:rsidRPr="00A814B3">
        <w:t>(2).</w:t>
      </w:r>
    </w:p>
    <w:p w14:paraId="31C45496" w14:textId="034A989B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E742A9">
        <w:t>Cespedes, M. J. C., &amp; Navarro, M. B. (2023). Competence of Analysis and Reflection on the Management of Textbook Lessons by Pre-Service Teachers. </w:t>
      </w:r>
      <w:r w:rsidRPr="00E742A9">
        <w:rPr>
          <w:i/>
          <w:iCs/>
        </w:rPr>
        <w:t>Acta Scientiae, 25</w:t>
      </w:r>
      <w:r w:rsidRPr="00E742A9">
        <w:t>(3), 53-91.</w:t>
      </w:r>
    </w:p>
    <w:p w14:paraId="53EDD1F6" w14:textId="402ADD92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E37F7F">
        <w:t>Cespedes, M. J. C., Navarro, M. B., &amp; Godino, J. D. (2021). Prospective high school mathematics teachers’ assessment of the epistemic suitability of a proportionality textbook lesson. </w:t>
      </w:r>
      <w:r w:rsidRPr="00E37F7F">
        <w:rPr>
          <w:i/>
          <w:iCs/>
        </w:rPr>
        <w:t>Acta Scientiae, 23</w:t>
      </w:r>
      <w:r w:rsidRPr="00E37F7F">
        <w:t>(4), 169-206.</w:t>
      </w:r>
    </w:p>
    <w:p w14:paraId="659CB18B" w14:textId="626857CE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E672DD">
        <w:t>Chesler, J. (2012). Pre-Service Secondary Mathematics Teachers Making Sense of Definitions of Functions. </w:t>
      </w:r>
      <w:r w:rsidRPr="00E672DD">
        <w:rPr>
          <w:i/>
          <w:iCs/>
        </w:rPr>
        <w:t>Mathematics Teacher Education and Development, 14</w:t>
      </w:r>
      <w:r w:rsidRPr="00E672DD">
        <w:t>(1), 27-40.</w:t>
      </w:r>
    </w:p>
    <w:p w14:paraId="4753FFE8" w14:textId="4BA0A18E" w:rsidR="00521073" w:rsidRDefault="00521073" w:rsidP="00521073">
      <w:pPr>
        <w:pStyle w:val="References"/>
        <w:tabs>
          <w:tab w:val="left" w:pos="567"/>
        </w:tabs>
        <w:ind w:left="1134" w:hanging="1134"/>
      </w:pPr>
      <w:proofErr w:type="spellStart"/>
      <w:r w:rsidRPr="00A9080B">
        <w:t>Cibulskaitė</w:t>
      </w:r>
      <w:proofErr w:type="spellEnd"/>
      <w:r w:rsidRPr="00A9080B">
        <w:t>, N. (2019). Development of primary school students’ mathematics abilities by using of different textbooks. In </w:t>
      </w:r>
      <w:r w:rsidRPr="00D64406">
        <w:rPr>
          <w:i/>
          <w:iCs/>
        </w:rPr>
        <w:t>Proceedings of</w:t>
      </w:r>
      <w:r>
        <w:t xml:space="preserve"> </w:t>
      </w:r>
      <w:r w:rsidRPr="00A9080B">
        <w:rPr>
          <w:i/>
          <w:iCs/>
        </w:rPr>
        <w:t>EDULEARN 19</w:t>
      </w:r>
      <w:r>
        <w:rPr>
          <w:i/>
          <w:iCs/>
        </w:rPr>
        <w:t>,</w:t>
      </w:r>
      <w:r w:rsidRPr="00A9080B">
        <w:rPr>
          <w:i/>
          <w:iCs/>
        </w:rPr>
        <w:t xml:space="preserve"> 11th international conference on Education and New Learning Technologies, </w:t>
      </w:r>
      <w:r w:rsidRPr="00A9080B">
        <w:t>Palma: International association of technology, education and development.</w:t>
      </w:r>
    </w:p>
    <w:p w14:paraId="7C8D3C06" w14:textId="5B024483" w:rsidR="00521073" w:rsidRPr="00F5258A" w:rsidRDefault="00521073" w:rsidP="00521073">
      <w:pPr>
        <w:pStyle w:val="References"/>
        <w:tabs>
          <w:tab w:val="left" w:pos="567"/>
        </w:tabs>
        <w:ind w:left="1134" w:hanging="1134"/>
      </w:pPr>
      <w:r w:rsidRPr="00263196">
        <w:t>Cross, S. B., &amp; Lloyd, G. M. (2011). Preservice Elementary Teachers' Uses of Mathematics Curriculum Materials: The Role of Disequilibrium and Human Resources. </w:t>
      </w:r>
      <w:r w:rsidRPr="00C42A30">
        <w:t xml:space="preserve">In </w:t>
      </w:r>
      <w:r w:rsidRPr="00C42A30">
        <w:rPr>
          <w:lang w:val="en-US"/>
        </w:rPr>
        <w:t>Wiest, L. R., &amp; Lamberg, T. (Eds.)</w:t>
      </w:r>
      <w:r>
        <w:rPr>
          <w:lang w:val="en-US"/>
        </w:rPr>
        <w:t>,</w:t>
      </w:r>
      <w:r w:rsidRPr="00C42A30">
        <w:rPr>
          <w:i/>
          <w:iCs/>
          <w:lang w:val="en-US"/>
        </w:rPr>
        <w:t xml:space="preserve"> Proceedings of the 33rd Annual Meeting of the North</w:t>
      </w:r>
      <w:r>
        <w:rPr>
          <w:i/>
          <w:iCs/>
          <w:lang w:val="en-US"/>
        </w:rPr>
        <w:t xml:space="preserve"> </w:t>
      </w:r>
      <w:r w:rsidRPr="00C42A30">
        <w:rPr>
          <w:i/>
          <w:iCs/>
          <w:lang w:val="en-US"/>
        </w:rPr>
        <w:t>American Chapter of the International Group for the Psychology of Mathematics Education.</w:t>
      </w:r>
      <w:r>
        <w:rPr>
          <w:i/>
          <w:iCs/>
          <w:lang w:val="en-US"/>
        </w:rPr>
        <w:t xml:space="preserve"> </w:t>
      </w:r>
      <w:r w:rsidRPr="00F5258A">
        <w:rPr>
          <w:lang w:val="en-US"/>
        </w:rPr>
        <w:t>Reno, NV: University of Nevada, Reno</w:t>
      </w:r>
      <w:r w:rsidRPr="00F5258A">
        <w:t>.</w:t>
      </w:r>
    </w:p>
    <w:p w14:paraId="51449CBA" w14:textId="54A1C83D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1F7AAA">
        <w:t>Davis, J. D. (2009). Understanding the influence of two mathematics textbooks on prospective secondary teachers’ knowledge. </w:t>
      </w:r>
      <w:r w:rsidRPr="001F7AAA">
        <w:rPr>
          <w:i/>
          <w:iCs/>
        </w:rPr>
        <w:t>Journal of mathematics teacher education, 12</w:t>
      </w:r>
      <w:r w:rsidRPr="001F7AAA">
        <w:t>, 365-389.</w:t>
      </w:r>
    </w:p>
    <w:p w14:paraId="503D70CC" w14:textId="72BBAFD9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A814B3">
        <w:lastRenderedPageBreak/>
        <w:t>Davis, J. D. (2015). Prospective mathematics teachers’ interactions with CAS-based textbook elements. </w:t>
      </w:r>
      <w:r w:rsidRPr="00A814B3">
        <w:rPr>
          <w:i/>
          <w:iCs/>
        </w:rPr>
        <w:t>International Journal for Technology in Mathematics Education, 22</w:t>
      </w:r>
      <w:r w:rsidRPr="00A814B3">
        <w:t>(3), 107-113.</w:t>
      </w:r>
    </w:p>
    <w:p w14:paraId="601D2B28" w14:textId="61D80252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4D6072">
        <w:t>Davis, J. D., &amp; Witt, N. E. (2022). Pre-service Teachers’ Use of Technology as Reorganizer to Promote Differing Levels of Conceptual Understanding. </w:t>
      </w:r>
      <w:r w:rsidRPr="004D6072">
        <w:rPr>
          <w:i/>
          <w:iCs/>
        </w:rPr>
        <w:t>Digital Experiences in Mathematics Education, 8</w:t>
      </w:r>
      <w:r w:rsidRPr="004D6072">
        <w:t>(3), 287-316.</w:t>
      </w:r>
    </w:p>
    <w:p w14:paraId="5A0D90B2" w14:textId="0B4EDE87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75371C">
        <w:t>Dempsey, M., &amp; O’Shea, A. (2020). The role of task classification and design in curriculum making for preservice teachers of mathematics. </w:t>
      </w:r>
      <w:r w:rsidRPr="007B18A2">
        <w:rPr>
          <w:i/>
          <w:iCs/>
        </w:rPr>
        <w:t>The Curriculum Journal, 31</w:t>
      </w:r>
      <w:r w:rsidRPr="0075371C">
        <w:t>(3), 436-453.</w:t>
      </w:r>
    </w:p>
    <w:p w14:paraId="5574DD78" w14:textId="127B382C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0B5966">
        <w:t xml:space="preserve">Earnest, D., &amp; Amador, J. M. (2019). Lesson </w:t>
      </w:r>
      <w:proofErr w:type="spellStart"/>
      <w:r w:rsidRPr="000B5966">
        <w:t>planimation</w:t>
      </w:r>
      <w:proofErr w:type="spellEnd"/>
      <w:r w:rsidRPr="000B5966">
        <w:t>: Prospective elementary teachers’ interactions with mathematics curricula. </w:t>
      </w:r>
      <w:r w:rsidRPr="000B5966">
        <w:rPr>
          <w:i/>
          <w:iCs/>
        </w:rPr>
        <w:t>Journal of Mathematics Teacher Education, 22</w:t>
      </w:r>
      <w:r w:rsidRPr="000B5966">
        <w:t>, 37-68.</w:t>
      </w:r>
    </w:p>
    <w:p w14:paraId="7F613881" w14:textId="0D6AEF9A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7A7340">
        <w:t>Frykholm, J. (2005). Innovative curricula: Catalysts for reform in mathematics teacher education. </w:t>
      </w:r>
      <w:r w:rsidRPr="007A7340">
        <w:rPr>
          <w:i/>
          <w:iCs/>
        </w:rPr>
        <w:t>Action in Teacher Education, 26</w:t>
      </w:r>
      <w:r w:rsidRPr="007A7340">
        <w:t>(4), 20-36.</w:t>
      </w:r>
    </w:p>
    <w:p w14:paraId="4FC1ACFD" w14:textId="03DBDEDE" w:rsidR="00521073" w:rsidRDefault="00521073" w:rsidP="00521073">
      <w:pPr>
        <w:pStyle w:val="References"/>
        <w:tabs>
          <w:tab w:val="left" w:pos="567"/>
        </w:tabs>
        <w:ind w:left="1134" w:hanging="1134"/>
        <w:rPr>
          <w:lang w:val="en-US"/>
        </w:rPr>
      </w:pPr>
      <w:r w:rsidRPr="00066C7B">
        <w:rPr>
          <w:lang w:val="en-US"/>
        </w:rPr>
        <w:t xml:space="preserve">Hjalmarson, M. A., &amp; Suh, J. M. (2008). </w:t>
      </w:r>
      <w:r w:rsidRPr="00137C60">
        <w:rPr>
          <w:lang w:val="en-US"/>
        </w:rPr>
        <w:t xml:space="preserve">Developing mathematical pedagogical knowledge by evaluating instructional materials. In F. Arbaugh &amp; P. M. Taylor (Eds.), </w:t>
      </w:r>
      <w:r w:rsidRPr="00DC47A1">
        <w:rPr>
          <w:i/>
          <w:iCs/>
          <w:lang w:val="en-US"/>
        </w:rPr>
        <w:t>AMTE Monograph 5: Inquiry into mathematics teacher education</w:t>
      </w:r>
      <w:r w:rsidRPr="00137C60">
        <w:rPr>
          <w:lang w:val="en-US"/>
        </w:rPr>
        <w:t xml:space="preserve"> (pp. 97- 107). </w:t>
      </w:r>
      <w:r w:rsidRPr="00DC47A1">
        <w:rPr>
          <w:lang w:val="en-US"/>
        </w:rPr>
        <w:t>San Diego, CA: Association of Mathematics Teacher Educators.</w:t>
      </w:r>
    </w:p>
    <w:p w14:paraId="54165720" w14:textId="67FF5F20" w:rsidR="00521073" w:rsidRDefault="00521073" w:rsidP="00521073">
      <w:pPr>
        <w:pStyle w:val="References"/>
        <w:tabs>
          <w:tab w:val="left" w:pos="567"/>
        </w:tabs>
        <w:ind w:left="1134" w:hanging="1134"/>
        <w:rPr>
          <w:lang w:val="en-US"/>
        </w:rPr>
      </w:pPr>
      <w:r w:rsidRPr="00DA2B48">
        <w:rPr>
          <w:lang w:val="en-US"/>
        </w:rPr>
        <w:t xml:space="preserve">Hodgkinson, T., Land, T. J., Johnson, J., &amp; </w:t>
      </w:r>
      <w:proofErr w:type="spellStart"/>
      <w:r w:rsidRPr="00DA2B48">
        <w:rPr>
          <w:lang w:val="en-US"/>
        </w:rPr>
        <w:t>Beshchorner</w:t>
      </w:r>
      <w:proofErr w:type="spellEnd"/>
      <w:r w:rsidRPr="00DA2B48">
        <w:rPr>
          <w:lang w:val="en-US"/>
        </w:rPr>
        <w:t xml:space="preserve">, B. (2016). Comprehension matters: Factors influencing preservice teachers' reading of standards-based mathematics curriculum. </w:t>
      </w:r>
      <w:r w:rsidRPr="00DA2B48">
        <w:rPr>
          <w:i/>
          <w:iCs/>
          <w:lang w:val="en-US"/>
        </w:rPr>
        <w:t>Curriculum and Teaching Dialogue, 18</w:t>
      </w:r>
      <w:r w:rsidRPr="00DA2B48">
        <w:rPr>
          <w:lang w:val="en-US"/>
        </w:rPr>
        <w:t>(1/2), 57A.</w:t>
      </w:r>
    </w:p>
    <w:p w14:paraId="78195212" w14:textId="2F6FCD69" w:rsidR="00521073" w:rsidRDefault="00521073" w:rsidP="00521073">
      <w:pPr>
        <w:pStyle w:val="References"/>
        <w:tabs>
          <w:tab w:val="left" w:pos="567"/>
        </w:tabs>
        <w:ind w:left="1134" w:hanging="1134"/>
        <w:rPr>
          <w:lang w:val="en-US"/>
        </w:rPr>
      </w:pPr>
      <w:r w:rsidRPr="00562E97">
        <w:rPr>
          <w:lang w:val="en-US"/>
        </w:rPr>
        <w:t xml:space="preserve">Kennedy, D. I. (2008). </w:t>
      </w:r>
      <w:r w:rsidRPr="0049260C">
        <w:rPr>
          <w:i/>
          <w:iCs/>
          <w:lang w:val="en-US"/>
        </w:rPr>
        <w:t xml:space="preserve">The effects of standards-based curriculum modeling on </w:t>
      </w:r>
      <w:proofErr w:type="gramStart"/>
      <w:r w:rsidRPr="0049260C">
        <w:rPr>
          <w:i/>
          <w:iCs/>
          <w:lang w:val="en-US"/>
        </w:rPr>
        <w:t>preservice</w:t>
      </w:r>
      <w:proofErr w:type="gramEnd"/>
      <w:r w:rsidRPr="0049260C">
        <w:rPr>
          <w:i/>
          <w:iCs/>
          <w:lang w:val="en-US"/>
        </w:rPr>
        <w:t xml:space="preserve"> elementary teachers' mathematical content knowledge, beliefs, and attitudes.</w:t>
      </w:r>
      <w:r w:rsidRPr="00562E97">
        <w:rPr>
          <w:lang w:val="en-US"/>
        </w:rPr>
        <w:t xml:space="preserve"> </w:t>
      </w:r>
      <w:r>
        <w:rPr>
          <w:lang w:val="en-US"/>
        </w:rPr>
        <w:t xml:space="preserve">[Unpublished doctoral dissertation]. </w:t>
      </w:r>
      <w:r w:rsidRPr="00562E97">
        <w:rPr>
          <w:lang w:val="en-US"/>
        </w:rPr>
        <w:t>West Virginia University.</w:t>
      </w:r>
    </w:p>
    <w:p w14:paraId="7E6E6882" w14:textId="2F0833AB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066C7B">
        <w:rPr>
          <w:lang w:val="en-US"/>
        </w:rPr>
        <w:t xml:space="preserve">Kuennen, E. W., &amp; Beam, J. E. (2020). </w:t>
      </w:r>
      <w:r w:rsidRPr="00CF0DCF">
        <w:t>Teaching the mathematics that teachers need to know: Classroom ideas for supporting prospective elementary teachers’ development of mathematical knowledge for teaching. </w:t>
      </w:r>
      <w:r w:rsidRPr="00CF0DCF">
        <w:rPr>
          <w:i/>
          <w:iCs/>
        </w:rPr>
        <w:t>The Mathematics Enthusiast, 17</w:t>
      </w:r>
      <w:r w:rsidRPr="00CF0DCF">
        <w:t>(2), 771-805.</w:t>
      </w:r>
    </w:p>
    <w:p w14:paraId="6CAC39B0" w14:textId="79BB0083" w:rsidR="00521073" w:rsidRPr="00DC47A1" w:rsidRDefault="00521073" w:rsidP="00521073">
      <w:pPr>
        <w:pStyle w:val="References"/>
        <w:tabs>
          <w:tab w:val="left" w:pos="567"/>
        </w:tabs>
        <w:ind w:left="1134" w:hanging="1134"/>
        <w:rPr>
          <w:lang w:val="en-US"/>
        </w:rPr>
      </w:pPr>
      <w:r w:rsidRPr="00241468">
        <w:rPr>
          <w:lang w:val="en-US"/>
        </w:rPr>
        <w:t xml:space="preserve">Land, T. J. &amp; Drake, C. (2014). Understanding preservice teachers’ curricular knowledge. In J. Lo, K. R. Leatham &amp; L. R. Van </w:t>
      </w:r>
      <w:proofErr w:type="spellStart"/>
      <w:r w:rsidRPr="00241468">
        <w:rPr>
          <w:lang w:val="en-US"/>
        </w:rPr>
        <w:t>Zoest</w:t>
      </w:r>
      <w:proofErr w:type="spellEnd"/>
      <w:r w:rsidRPr="00241468">
        <w:rPr>
          <w:lang w:val="en-US"/>
        </w:rPr>
        <w:t xml:space="preserve"> (Eds.), </w:t>
      </w:r>
      <w:r w:rsidRPr="00156E50">
        <w:rPr>
          <w:i/>
          <w:iCs/>
          <w:lang w:val="en-US"/>
        </w:rPr>
        <w:t>Research trends in mathematics teacher education</w:t>
      </w:r>
      <w:r w:rsidRPr="00241468">
        <w:rPr>
          <w:lang w:val="en-US"/>
        </w:rPr>
        <w:t xml:space="preserve"> (pp. 3–22). Cham, Switzerland: Springer International Publishing AG.</w:t>
      </w:r>
    </w:p>
    <w:p w14:paraId="262DF586" w14:textId="2BB99939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066C7B">
        <w:rPr>
          <w:lang w:val="en-US"/>
        </w:rPr>
        <w:t xml:space="preserve">Land, T. J., Tyminski, A. M., &amp; Drake, C. (2015). </w:t>
      </w:r>
      <w:r w:rsidRPr="004B4CFE">
        <w:t>Examining pre-service elementary mathematics teachers' reading of educative curriculum materials. </w:t>
      </w:r>
      <w:r w:rsidRPr="004B4CFE">
        <w:rPr>
          <w:i/>
          <w:iCs/>
        </w:rPr>
        <w:t>Teaching and Teacher Education, 51</w:t>
      </w:r>
      <w:r w:rsidRPr="004B4CFE">
        <w:t>, 16-26.</w:t>
      </w:r>
    </w:p>
    <w:p w14:paraId="4C30CE66" w14:textId="626EC9E0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67219D">
        <w:t>Lee, J. E., &amp; Ligocki, D. (2020). Analysis of pre-service teachers' interpretation and utilization of non-textual elements in mathematics curriculum materials. </w:t>
      </w:r>
      <w:r w:rsidRPr="0067219D">
        <w:rPr>
          <w:i/>
          <w:iCs/>
        </w:rPr>
        <w:t>Research in Mathematical Education, 23</w:t>
      </w:r>
      <w:r w:rsidRPr="0067219D">
        <w:t>(4), 181-217.</w:t>
      </w:r>
    </w:p>
    <w:p w14:paraId="076B0C27" w14:textId="476F6594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00065F">
        <w:t xml:space="preserve">Lee, J. E., Lim, W., &amp; Kim, H. J. (2016). Lesson Planning: How Do Pre-service Teachers Benefit from Examining Lesson Plans with Mathematics Teaching Practices as an Analytical Lens? </w:t>
      </w:r>
      <w:r w:rsidRPr="0000065F">
        <w:rPr>
          <w:i/>
          <w:iCs/>
        </w:rPr>
        <w:t>Education of Primary School Mathematics, 19</w:t>
      </w:r>
      <w:r w:rsidRPr="0000065F">
        <w:t>(3), 211-222.</w:t>
      </w:r>
    </w:p>
    <w:p w14:paraId="30BDF9A1" w14:textId="1207DF3D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44213C">
        <w:t>Lim, W., Son, J. W., &amp; Kim, D. J. (2018). Understanding preservice teacher skills to construct lesson plans. </w:t>
      </w:r>
      <w:r w:rsidRPr="0044213C">
        <w:rPr>
          <w:i/>
          <w:iCs/>
        </w:rPr>
        <w:t>International Journal of Science and Mathematics Education, 16</w:t>
      </w:r>
      <w:r w:rsidRPr="0044213C">
        <w:t>, 519-538.</w:t>
      </w:r>
    </w:p>
    <w:p w14:paraId="031E5794" w14:textId="5CD3575F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FF2CA1">
        <w:lastRenderedPageBreak/>
        <w:t>Lloyd, G. (2008). Curriculum use while learning to teach: One student teacher's appropriation of mathematics curriculum materials. </w:t>
      </w:r>
      <w:r w:rsidRPr="00FF2CA1">
        <w:rPr>
          <w:i/>
          <w:iCs/>
        </w:rPr>
        <w:t>Journal for Research in Mathematics Education, 39</w:t>
      </w:r>
      <w:r w:rsidRPr="00FF2CA1">
        <w:t>(1), 63-94.</w:t>
      </w:r>
    </w:p>
    <w:p w14:paraId="3E12842F" w14:textId="5CF93982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C43541">
        <w:t>Lloyd, G. M. (2009). School mathematics curriculum materials for teachers’ learning: Future elementary teachers’ interactions with curriculum materials in a mathematics course in the United States. </w:t>
      </w:r>
      <w:r w:rsidRPr="00C43541">
        <w:rPr>
          <w:i/>
          <w:iCs/>
        </w:rPr>
        <w:t>ZDM, 41</w:t>
      </w:r>
      <w:r w:rsidRPr="00C43541">
        <w:t>, 763-775.</w:t>
      </w:r>
    </w:p>
    <w:p w14:paraId="6765DA7D" w14:textId="38083AE0" w:rsidR="00521073" w:rsidRPr="00137C60" w:rsidRDefault="00521073" w:rsidP="00521073">
      <w:pPr>
        <w:pStyle w:val="References"/>
        <w:tabs>
          <w:tab w:val="left" w:pos="567"/>
        </w:tabs>
        <w:ind w:left="1134" w:hanging="1134"/>
        <w:rPr>
          <w:lang w:val="en-US"/>
        </w:rPr>
      </w:pPr>
      <w:r w:rsidRPr="000C0F1B">
        <w:rPr>
          <w:lang w:val="en-US"/>
        </w:rPr>
        <w:t xml:space="preserve">Lloyd, G. M., &amp; Behm, S. L. (2005). </w:t>
      </w:r>
      <w:proofErr w:type="gramStart"/>
      <w:r w:rsidRPr="000C0F1B">
        <w:rPr>
          <w:lang w:val="en-US"/>
        </w:rPr>
        <w:t>Preservice</w:t>
      </w:r>
      <w:proofErr w:type="gramEnd"/>
      <w:r w:rsidRPr="000C0F1B">
        <w:rPr>
          <w:lang w:val="en-US"/>
        </w:rPr>
        <w:t xml:space="preserve"> elementary teachers' analysis of mathematics instructional materials. </w:t>
      </w:r>
      <w:r w:rsidRPr="00137C60">
        <w:rPr>
          <w:i/>
          <w:iCs/>
          <w:lang w:val="en-US"/>
        </w:rPr>
        <w:t>Action in Teacher Education, 26</w:t>
      </w:r>
      <w:r w:rsidRPr="00137C60">
        <w:rPr>
          <w:lang w:val="en-US"/>
        </w:rPr>
        <w:t>(4), 48-62.</w:t>
      </w:r>
    </w:p>
    <w:p w14:paraId="497BCEF7" w14:textId="11FDE9A9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963DF9">
        <w:t>Lloyd, G. M., &amp; Frykholm, J. A. (2000). How innovative middle school mathematics can change prospective elementary teachers' conceptions. </w:t>
      </w:r>
      <w:r w:rsidRPr="00963DF9">
        <w:rPr>
          <w:i/>
          <w:iCs/>
        </w:rPr>
        <w:t>Education, 120</w:t>
      </w:r>
      <w:r w:rsidRPr="00963DF9">
        <w:t>(3).</w:t>
      </w:r>
    </w:p>
    <w:p w14:paraId="2DBFC69A" w14:textId="60517AAD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066C7B">
        <w:rPr>
          <w:lang w:val="en-US"/>
        </w:rPr>
        <w:t xml:space="preserve">Lutz, P. M., &amp; Berglund, J. (2007). </w:t>
      </w:r>
      <w:r w:rsidRPr="00D44410">
        <w:t>Supporting Teacher Learning: Using NSF–Funded Middle School Materials in a University Mathematics Content Course. </w:t>
      </w:r>
      <w:r w:rsidRPr="00D44410">
        <w:rPr>
          <w:i/>
          <w:iCs/>
        </w:rPr>
        <w:t>Teaching Children Mathematics, 13</w:t>
      </w:r>
      <w:r w:rsidRPr="00D44410">
        <w:t>(6), 342-347.</w:t>
      </w:r>
    </w:p>
    <w:p w14:paraId="3132D8DD" w14:textId="45513FE3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734B37">
        <w:t>Males, L. M., Earnest, D., Dietiker, L., &amp; Amador, J. M. (2015). Examining K-12 Prospective Teachers' Curricular Noticing. </w:t>
      </w:r>
      <w:r w:rsidRPr="00734B37">
        <w:rPr>
          <w:i/>
          <w:iCs/>
        </w:rPr>
        <w:t>North American Chapter of the International Group for the Psychology of Mathematics Education</w:t>
      </w:r>
      <w:r w:rsidRPr="00734B37">
        <w:t>.</w:t>
      </w:r>
      <w:r w:rsidRPr="002C28DC">
        <w:rPr>
          <w:lang w:val="en-US"/>
        </w:rPr>
        <w:t xml:space="preserve"> </w:t>
      </w:r>
    </w:p>
    <w:p w14:paraId="06B664BD" w14:textId="40FB2862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391503">
        <w:rPr>
          <w:lang w:val="sv-SE"/>
        </w:rPr>
        <w:t>Males, L.</w:t>
      </w:r>
      <w:r>
        <w:rPr>
          <w:lang w:val="sv-SE"/>
        </w:rPr>
        <w:t xml:space="preserve"> </w:t>
      </w:r>
      <w:r w:rsidRPr="00391503">
        <w:rPr>
          <w:lang w:val="sv-SE"/>
        </w:rPr>
        <w:t xml:space="preserve">M., &amp; </w:t>
      </w:r>
      <w:proofErr w:type="spellStart"/>
      <w:r w:rsidRPr="00391503">
        <w:rPr>
          <w:lang w:val="sv-SE"/>
        </w:rPr>
        <w:t>Setniker</w:t>
      </w:r>
      <w:proofErr w:type="spellEnd"/>
      <w:r w:rsidRPr="00391503">
        <w:rPr>
          <w:lang w:val="sv-SE"/>
        </w:rPr>
        <w:t xml:space="preserve">, A. (2019). </w:t>
      </w:r>
      <w:r w:rsidRPr="001B0A80">
        <w:t>Planning with curriculum materials: Interactions between prospective secondary mathematics teachers’ attention, interpretations and responses. </w:t>
      </w:r>
      <w:r w:rsidRPr="001B0A80">
        <w:rPr>
          <w:i/>
          <w:iCs/>
        </w:rPr>
        <w:t>International Journal of Educational Research, 93</w:t>
      </w:r>
      <w:r w:rsidRPr="001B0A80">
        <w:t>, 153-167.</w:t>
      </w:r>
    </w:p>
    <w:p w14:paraId="1E4360F5" w14:textId="50684CE1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066C7B">
        <w:rPr>
          <w:lang w:val="en-US"/>
        </w:rPr>
        <w:t xml:space="preserve">Nagra, K. A., Eng, S., &amp; </w:t>
      </w:r>
      <w:proofErr w:type="spellStart"/>
      <w:r w:rsidRPr="00066C7B">
        <w:rPr>
          <w:lang w:val="en-US"/>
        </w:rPr>
        <w:t>Karrass</w:t>
      </w:r>
      <w:proofErr w:type="spellEnd"/>
      <w:r w:rsidRPr="00066C7B">
        <w:rPr>
          <w:lang w:val="en-US"/>
        </w:rPr>
        <w:t xml:space="preserve">, M. (2013). </w:t>
      </w:r>
      <w:r w:rsidRPr="003C7463">
        <w:t>The use of ubiquitous learning methods for mathematics courses in borough of Manhattan Community College: A case study. </w:t>
      </w:r>
      <w:r w:rsidRPr="003C7463">
        <w:rPr>
          <w:i/>
          <w:iCs/>
        </w:rPr>
        <w:t>Ubiquitous Learning, 5</w:t>
      </w:r>
      <w:r w:rsidRPr="003C7463">
        <w:t>(4), 41.</w:t>
      </w:r>
    </w:p>
    <w:p w14:paraId="19EB569F" w14:textId="380A2E7A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CF0147">
        <w:t>Nicol, C. C., &amp; Crespo, S. M. (2006). Learning to teach with mathematics textbooks: How preservice teachers interpret and use curriculum materials. </w:t>
      </w:r>
      <w:r w:rsidRPr="00CF0147">
        <w:rPr>
          <w:i/>
          <w:iCs/>
        </w:rPr>
        <w:t>Educational studies in mathematics, 62</w:t>
      </w:r>
      <w:r w:rsidRPr="00CF0147">
        <w:t>, 331-355.</w:t>
      </w:r>
    </w:p>
    <w:p w14:paraId="7466CD67" w14:textId="42231B46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3F58F1">
        <w:t xml:space="preserve">Sánchez, V., &amp; </w:t>
      </w:r>
      <w:proofErr w:type="spellStart"/>
      <w:r w:rsidRPr="003F58F1">
        <w:t>Llinares</w:t>
      </w:r>
      <w:proofErr w:type="spellEnd"/>
      <w:r w:rsidRPr="003F58F1">
        <w:t>, S. (2003). Four student teachers' pedagogical reasoning on functions. </w:t>
      </w:r>
      <w:r w:rsidRPr="003F58F1">
        <w:rPr>
          <w:i/>
          <w:iCs/>
        </w:rPr>
        <w:t>Journal of mathematics teacher education, 6</w:t>
      </w:r>
      <w:r w:rsidRPr="003F58F1">
        <w:t>, 5-25.</w:t>
      </w:r>
    </w:p>
    <w:p w14:paraId="26E2D8BD" w14:textId="378481C5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89339E">
        <w:t xml:space="preserve">Selmer, S. (2019). Characterizing areas prospective teachers’ focus on when planning for mathematics instruction. </w:t>
      </w:r>
      <w:r w:rsidRPr="0089339E">
        <w:rPr>
          <w:i/>
          <w:iCs/>
        </w:rPr>
        <w:t>The International Journal of Science, Mathematics and Technology Learning, 26</w:t>
      </w:r>
      <w:r w:rsidRPr="0089339E">
        <w:t>(2), 15.</w:t>
      </w:r>
    </w:p>
    <w:p w14:paraId="67A188EC" w14:textId="21790832" w:rsidR="00521073" w:rsidRPr="00F75B71" w:rsidRDefault="00521073" w:rsidP="00521073">
      <w:pPr>
        <w:pStyle w:val="References"/>
        <w:tabs>
          <w:tab w:val="left" w:pos="567"/>
        </w:tabs>
        <w:ind w:left="1134" w:hanging="1134"/>
      </w:pPr>
      <w:r w:rsidRPr="00564420">
        <w:t>Spielman, L. J., &amp; Lloyd, G. M. (2004). The impact of enacted mathematics curriculum models on prospective elementary teachers' course perceptions and beliefs. </w:t>
      </w:r>
      <w:r w:rsidRPr="00564420">
        <w:rPr>
          <w:i/>
          <w:iCs/>
        </w:rPr>
        <w:t>School Science and Mathematics, 104</w:t>
      </w:r>
      <w:r w:rsidRPr="00564420">
        <w:t>(1), 32-44.</w:t>
      </w:r>
    </w:p>
    <w:p w14:paraId="3B0EC3C4" w14:textId="18B71FEF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B0273D">
        <w:t>Takahashi, A. (2011). The Japanese approach to developing expertise in using the textbook to teach mathematics. </w:t>
      </w:r>
      <w:r w:rsidRPr="00B0273D">
        <w:rPr>
          <w:i/>
          <w:iCs/>
        </w:rPr>
        <w:t>Expertise in mathematics instruction: An international perspective</w:t>
      </w:r>
      <w:r w:rsidRPr="00B0273D">
        <w:t>, 197-219.</w:t>
      </w:r>
    </w:p>
    <w:p w14:paraId="4078FD9C" w14:textId="5C5ADA18" w:rsidR="00521073" w:rsidRPr="00AF363A" w:rsidRDefault="00521073" w:rsidP="00521073">
      <w:pPr>
        <w:pStyle w:val="References"/>
        <w:tabs>
          <w:tab w:val="left" w:pos="567"/>
        </w:tabs>
        <w:ind w:left="1134" w:hanging="1134"/>
      </w:pPr>
      <w:r w:rsidRPr="00066C7B">
        <w:rPr>
          <w:lang w:val="en-US"/>
        </w:rPr>
        <w:t xml:space="preserve">Tyminski, A., Drake, C., &amp; Land, T. (2013). </w:t>
      </w:r>
      <w:r w:rsidRPr="00B04139">
        <w:t>Developing addition strategies: Preservice teachers' learning from standards-based curriculum materials. </w:t>
      </w:r>
      <w:r w:rsidRPr="00B04139">
        <w:rPr>
          <w:i/>
          <w:iCs/>
        </w:rPr>
        <w:t>Mathematics Teacher Educator</w:t>
      </w:r>
      <w:r w:rsidRPr="00B04139">
        <w:t>, </w:t>
      </w:r>
      <w:r w:rsidRPr="00B04139">
        <w:rPr>
          <w:i/>
          <w:iCs/>
        </w:rPr>
        <w:t>2</w:t>
      </w:r>
      <w:r w:rsidRPr="00B04139">
        <w:t>(1), 6-26.</w:t>
      </w:r>
      <w:r>
        <w:t xml:space="preserve"> </w:t>
      </w:r>
    </w:p>
    <w:p w14:paraId="7CA6277B" w14:textId="58EF0606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066C7B">
        <w:rPr>
          <w:lang w:val="en-US"/>
        </w:rPr>
        <w:t xml:space="preserve">Tyminski, A. M., Land, T. J., &amp; Drake, C. (2011). </w:t>
      </w:r>
      <w:r w:rsidRPr="00F15287">
        <w:t>Elementary Preservice Teachers' Critiques, Comparisons, and Preferences in Examining Standards-Based Curricular Materials. </w:t>
      </w:r>
      <w:r>
        <w:t xml:space="preserve">In </w:t>
      </w:r>
      <w:r w:rsidRPr="005913B1">
        <w:rPr>
          <w:lang w:val="en-US"/>
        </w:rPr>
        <w:t>Wiest, L. R., &amp; Lamberg, T. (Eds.)</w:t>
      </w:r>
      <w:r>
        <w:rPr>
          <w:i/>
          <w:iCs/>
          <w:lang w:val="en-US"/>
        </w:rPr>
        <w:t>,</w:t>
      </w:r>
      <w:r w:rsidRPr="00AF363A">
        <w:rPr>
          <w:i/>
          <w:iCs/>
          <w:lang w:val="en-US"/>
        </w:rPr>
        <w:t xml:space="preserve"> Proceedings of the 33rd Annual Meeting of the North</w:t>
      </w:r>
      <w:r>
        <w:rPr>
          <w:i/>
          <w:iCs/>
          <w:lang w:val="en-US"/>
        </w:rPr>
        <w:t xml:space="preserve"> </w:t>
      </w:r>
      <w:r w:rsidRPr="00AF363A">
        <w:rPr>
          <w:i/>
          <w:iCs/>
          <w:lang w:val="en-US"/>
        </w:rPr>
        <w:t>American Chapter of the International Group for the Psychology of Mathematics Education.</w:t>
      </w:r>
      <w:r>
        <w:rPr>
          <w:i/>
          <w:iCs/>
          <w:lang w:val="en-US"/>
        </w:rPr>
        <w:t xml:space="preserve"> </w:t>
      </w:r>
      <w:r w:rsidRPr="00AF363A">
        <w:rPr>
          <w:lang w:val="en-US"/>
        </w:rPr>
        <w:t>Reno, NV: University of Nevada, Reno</w:t>
      </w:r>
      <w:r w:rsidRPr="00AF363A">
        <w:t>.</w:t>
      </w:r>
    </w:p>
    <w:p w14:paraId="0D458369" w14:textId="390DC274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D82122">
        <w:lastRenderedPageBreak/>
        <w:t>Yazici, N. (2021). Investigation of use cases of mathematics textbooks in the teaching process from a developmental perspective. </w:t>
      </w:r>
      <w:r w:rsidRPr="00D82122">
        <w:rPr>
          <w:i/>
          <w:iCs/>
        </w:rPr>
        <w:t>Problems of Education in the 21st Century, 79</w:t>
      </w:r>
      <w:r w:rsidRPr="00D82122">
        <w:t>(6), 880-893.</w:t>
      </w:r>
    </w:p>
    <w:p w14:paraId="3ECF1203" w14:textId="23A81B02" w:rsidR="00521073" w:rsidRDefault="00521073" w:rsidP="00521073">
      <w:pPr>
        <w:pStyle w:val="References"/>
        <w:tabs>
          <w:tab w:val="left" w:pos="567"/>
        </w:tabs>
        <w:ind w:left="1134" w:hanging="1134"/>
      </w:pPr>
      <w:r w:rsidRPr="002120FF">
        <w:t xml:space="preserve">Ünal, H. (2006). Preservice secondary mathematics teachers’ comparative analyses of Turkish and American high school geometry textbook. </w:t>
      </w:r>
      <w:proofErr w:type="spellStart"/>
      <w:r w:rsidRPr="002120FF">
        <w:rPr>
          <w:i/>
          <w:iCs/>
        </w:rPr>
        <w:t>Kastamonu</w:t>
      </w:r>
      <w:proofErr w:type="spellEnd"/>
      <w:r w:rsidRPr="002120FF">
        <w:rPr>
          <w:i/>
          <w:iCs/>
        </w:rPr>
        <w:t xml:space="preserve"> Education Journal, 14</w:t>
      </w:r>
      <w:r w:rsidRPr="002120FF">
        <w:t>(2), 509-516.</w:t>
      </w:r>
    </w:p>
    <w:p w14:paraId="2A6B8441" w14:textId="77777777" w:rsidR="00C44A89" w:rsidRPr="00EE78AE" w:rsidRDefault="00C44A89" w:rsidP="00F80577">
      <w:pPr>
        <w:pStyle w:val="References"/>
      </w:pPr>
    </w:p>
    <w:sectPr w:rsidR="00C44A89" w:rsidRPr="00EE78AE" w:rsidSect="000761F4">
      <w:headerReference w:type="default" r:id="rId10"/>
      <w:footerReference w:type="even" r:id="rId11"/>
      <w:footerReference w:type="default" r:id="rId12"/>
      <w:pgSz w:w="11906" w:h="16838" w:code="9"/>
      <w:pgMar w:top="1701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DBB9" w14:textId="77777777" w:rsidR="00690862" w:rsidRDefault="00690862">
      <w:pPr>
        <w:spacing w:line="240" w:lineRule="auto"/>
      </w:pPr>
      <w:r>
        <w:separator/>
      </w:r>
    </w:p>
  </w:endnote>
  <w:endnote w:type="continuationSeparator" w:id="0">
    <w:p w14:paraId="7D443961" w14:textId="77777777" w:rsidR="00690862" w:rsidRDefault="006908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116C" w14:textId="77777777" w:rsidR="0075497C" w:rsidRDefault="0075497C" w:rsidP="00465CF1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93848F4" w14:textId="77777777" w:rsidR="0075497C" w:rsidRDefault="0075497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251D" w14:textId="77777777" w:rsidR="0075497C" w:rsidRDefault="0075497C" w:rsidP="00465CF1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D2199">
      <w:rPr>
        <w:rStyle w:val="Sidnummer"/>
        <w:noProof/>
      </w:rPr>
      <w:t>1</w:t>
    </w:r>
    <w:r>
      <w:rPr>
        <w:rStyle w:val="Sidnummer"/>
      </w:rPr>
      <w:fldChar w:fldCharType="end"/>
    </w:r>
  </w:p>
  <w:p w14:paraId="21937EF6" w14:textId="77777777" w:rsidR="0075497C" w:rsidRDefault="007549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FA011" w14:textId="77777777" w:rsidR="00690862" w:rsidRDefault="00690862">
      <w:pPr>
        <w:spacing w:line="240" w:lineRule="auto"/>
      </w:pPr>
      <w:r>
        <w:separator/>
      </w:r>
    </w:p>
  </w:footnote>
  <w:footnote w:type="continuationSeparator" w:id="0">
    <w:p w14:paraId="661DED9D" w14:textId="77777777" w:rsidR="00690862" w:rsidRDefault="006908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864A" w14:textId="77777777" w:rsidR="00CE6A6A" w:rsidRDefault="00CE6A6A">
    <w:pPr>
      <w:framePr w:wrap="auto" w:vAnchor="text" w:hAnchor="margin" w:xAlign="right" w:y="1"/>
    </w:pPr>
  </w:p>
  <w:p w14:paraId="4AC39D26" w14:textId="77777777" w:rsidR="00CE6A6A" w:rsidRDefault="00CE6A6A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2DE97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01B86"/>
    <w:multiLevelType w:val="hybridMultilevel"/>
    <w:tmpl w:val="19A677B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966B2"/>
    <w:multiLevelType w:val="hybridMultilevel"/>
    <w:tmpl w:val="CD5848F6"/>
    <w:lvl w:ilvl="0" w:tplc="72B65280">
      <w:start w:val="5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0902096"/>
    <w:multiLevelType w:val="hybridMultilevel"/>
    <w:tmpl w:val="D7BCFC76"/>
    <w:lvl w:ilvl="0" w:tplc="041D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7CB79BD"/>
    <w:multiLevelType w:val="hybridMultilevel"/>
    <w:tmpl w:val="0564502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A14DCE"/>
    <w:multiLevelType w:val="hybridMultilevel"/>
    <w:tmpl w:val="4B22CDF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A72C1E"/>
    <w:multiLevelType w:val="hybridMultilevel"/>
    <w:tmpl w:val="94D2B2B6"/>
    <w:lvl w:ilvl="0" w:tplc="D49E32BA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CF85202"/>
    <w:multiLevelType w:val="hybridMultilevel"/>
    <w:tmpl w:val="D8C0EF12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E05D60"/>
    <w:multiLevelType w:val="hybridMultilevel"/>
    <w:tmpl w:val="086A478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F223FA"/>
    <w:multiLevelType w:val="hybridMultilevel"/>
    <w:tmpl w:val="34DC2C3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841281"/>
    <w:multiLevelType w:val="hybridMultilevel"/>
    <w:tmpl w:val="F216E096"/>
    <w:lvl w:ilvl="0" w:tplc="F01292B0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5" w:hanging="360"/>
      </w:pPr>
    </w:lvl>
    <w:lvl w:ilvl="2" w:tplc="041D001B" w:tentative="1">
      <w:start w:val="1"/>
      <w:numFmt w:val="lowerRoman"/>
      <w:lvlText w:val="%3."/>
      <w:lvlJc w:val="right"/>
      <w:pPr>
        <w:ind w:left="2225" w:hanging="180"/>
      </w:pPr>
    </w:lvl>
    <w:lvl w:ilvl="3" w:tplc="041D000F" w:tentative="1">
      <w:start w:val="1"/>
      <w:numFmt w:val="decimal"/>
      <w:lvlText w:val="%4."/>
      <w:lvlJc w:val="left"/>
      <w:pPr>
        <w:ind w:left="2945" w:hanging="360"/>
      </w:pPr>
    </w:lvl>
    <w:lvl w:ilvl="4" w:tplc="041D0019" w:tentative="1">
      <w:start w:val="1"/>
      <w:numFmt w:val="lowerLetter"/>
      <w:lvlText w:val="%5."/>
      <w:lvlJc w:val="left"/>
      <w:pPr>
        <w:ind w:left="3665" w:hanging="360"/>
      </w:pPr>
    </w:lvl>
    <w:lvl w:ilvl="5" w:tplc="041D001B" w:tentative="1">
      <w:start w:val="1"/>
      <w:numFmt w:val="lowerRoman"/>
      <w:lvlText w:val="%6."/>
      <w:lvlJc w:val="right"/>
      <w:pPr>
        <w:ind w:left="4385" w:hanging="180"/>
      </w:pPr>
    </w:lvl>
    <w:lvl w:ilvl="6" w:tplc="041D000F" w:tentative="1">
      <w:start w:val="1"/>
      <w:numFmt w:val="decimal"/>
      <w:lvlText w:val="%7."/>
      <w:lvlJc w:val="left"/>
      <w:pPr>
        <w:ind w:left="5105" w:hanging="360"/>
      </w:pPr>
    </w:lvl>
    <w:lvl w:ilvl="7" w:tplc="041D0019" w:tentative="1">
      <w:start w:val="1"/>
      <w:numFmt w:val="lowerLetter"/>
      <w:lvlText w:val="%8."/>
      <w:lvlJc w:val="left"/>
      <w:pPr>
        <w:ind w:left="5825" w:hanging="360"/>
      </w:pPr>
    </w:lvl>
    <w:lvl w:ilvl="8" w:tplc="041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A067349"/>
    <w:multiLevelType w:val="hybridMultilevel"/>
    <w:tmpl w:val="FEFCBEB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DF4BFD"/>
    <w:multiLevelType w:val="hybridMultilevel"/>
    <w:tmpl w:val="1B9CA62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F521AE"/>
    <w:multiLevelType w:val="hybridMultilevel"/>
    <w:tmpl w:val="3078BA7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AA166C"/>
    <w:multiLevelType w:val="hybridMultilevel"/>
    <w:tmpl w:val="ED08ECA8"/>
    <w:lvl w:ilvl="0" w:tplc="35C42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D6E5F"/>
    <w:multiLevelType w:val="hybridMultilevel"/>
    <w:tmpl w:val="B032F1A0"/>
    <w:lvl w:ilvl="0" w:tplc="9BF450A8">
      <w:start w:val="3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7FBC10B7"/>
    <w:multiLevelType w:val="hybridMultilevel"/>
    <w:tmpl w:val="6EBEEEE0"/>
    <w:lvl w:ilvl="0" w:tplc="AD90EE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1501581">
    <w:abstractNumId w:val="0"/>
  </w:num>
  <w:num w:numId="2" w16cid:durableId="1351953159">
    <w:abstractNumId w:val="10"/>
  </w:num>
  <w:num w:numId="3" w16cid:durableId="721053789">
    <w:abstractNumId w:val="1"/>
  </w:num>
  <w:num w:numId="4" w16cid:durableId="1531915317">
    <w:abstractNumId w:val="13"/>
  </w:num>
  <w:num w:numId="5" w16cid:durableId="1391729661">
    <w:abstractNumId w:val="7"/>
  </w:num>
  <w:num w:numId="6" w16cid:durableId="356272112">
    <w:abstractNumId w:val="11"/>
  </w:num>
  <w:num w:numId="7" w16cid:durableId="732700767">
    <w:abstractNumId w:val="4"/>
  </w:num>
  <w:num w:numId="8" w16cid:durableId="2028676404">
    <w:abstractNumId w:val="8"/>
  </w:num>
  <w:num w:numId="9" w16cid:durableId="319235541">
    <w:abstractNumId w:val="5"/>
  </w:num>
  <w:num w:numId="10" w16cid:durableId="1645740285">
    <w:abstractNumId w:val="12"/>
  </w:num>
  <w:num w:numId="11" w16cid:durableId="2028211050">
    <w:abstractNumId w:val="9"/>
  </w:num>
  <w:num w:numId="12" w16cid:durableId="1585412927">
    <w:abstractNumId w:val="3"/>
  </w:num>
  <w:num w:numId="13" w16cid:durableId="1344167854">
    <w:abstractNumId w:val="6"/>
  </w:num>
  <w:num w:numId="14" w16cid:durableId="707491973">
    <w:abstractNumId w:val="15"/>
  </w:num>
  <w:num w:numId="15" w16cid:durableId="317081340">
    <w:abstractNumId w:val="2"/>
  </w:num>
  <w:num w:numId="16" w16cid:durableId="1219513335">
    <w:abstractNumId w:val="14"/>
  </w:num>
  <w:num w:numId="17" w16cid:durableId="6255026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57"/>
    <w:rsid w:val="000008C0"/>
    <w:rsid w:val="00000F13"/>
    <w:rsid w:val="00002135"/>
    <w:rsid w:val="00002402"/>
    <w:rsid w:val="00002B28"/>
    <w:rsid w:val="00002FD0"/>
    <w:rsid w:val="00003E96"/>
    <w:rsid w:val="000047AE"/>
    <w:rsid w:val="00004EDC"/>
    <w:rsid w:val="00004FCD"/>
    <w:rsid w:val="00006825"/>
    <w:rsid w:val="0001161A"/>
    <w:rsid w:val="00011659"/>
    <w:rsid w:val="00011B7A"/>
    <w:rsid w:val="00012583"/>
    <w:rsid w:val="0001283A"/>
    <w:rsid w:val="0001359D"/>
    <w:rsid w:val="00015198"/>
    <w:rsid w:val="0001541A"/>
    <w:rsid w:val="000155B1"/>
    <w:rsid w:val="000155BE"/>
    <w:rsid w:val="000164A4"/>
    <w:rsid w:val="000171BE"/>
    <w:rsid w:val="000174E3"/>
    <w:rsid w:val="00020BD5"/>
    <w:rsid w:val="00022868"/>
    <w:rsid w:val="00022970"/>
    <w:rsid w:val="00022B6A"/>
    <w:rsid w:val="00023B6F"/>
    <w:rsid w:val="000246C5"/>
    <w:rsid w:val="00025BA5"/>
    <w:rsid w:val="00025F14"/>
    <w:rsid w:val="000266ED"/>
    <w:rsid w:val="00026848"/>
    <w:rsid w:val="00026D17"/>
    <w:rsid w:val="00026D1E"/>
    <w:rsid w:val="00027996"/>
    <w:rsid w:val="00030DC5"/>
    <w:rsid w:val="000313D7"/>
    <w:rsid w:val="00031EAB"/>
    <w:rsid w:val="00032FD0"/>
    <w:rsid w:val="0003362E"/>
    <w:rsid w:val="00033896"/>
    <w:rsid w:val="000347BB"/>
    <w:rsid w:val="000360E8"/>
    <w:rsid w:val="00036E48"/>
    <w:rsid w:val="00037938"/>
    <w:rsid w:val="00037B72"/>
    <w:rsid w:val="00040352"/>
    <w:rsid w:val="0004096E"/>
    <w:rsid w:val="00042458"/>
    <w:rsid w:val="00042495"/>
    <w:rsid w:val="00042CF0"/>
    <w:rsid w:val="00043466"/>
    <w:rsid w:val="00044DA5"/>
    <w:rsid w:val="00045469"/>
    <w:rsid w:val="00045D5E"/>
    <w:rsid w:val="00045E26"/>
    <w:rsid w:val="00045F67"/>
    <w:rsid w:val="00046779"/>
    <w:rsid w:val="00047FDC"/>
    <w:rsid w:val="00050BA1"/>
    <w:rsid w:val="00051337"/>
    <w:rsid w:val="00051385"/>
    <w:rsid w:val="0005218F"/>
    <w:rsid w:val="000532A8"/>
    <w:rsid w:val="00053461"/>
    <w:rsid w:val="000535D0"/>
    <w:rsid w:val="00053601"/>
    <w:rsid w:val="000539EC"/>
    <w:rsid w:val="00054979"/>
    <w:rsid w:val="00056546"/>
    <w:rsid w:val="00056FBB"/>
    <w:rsid w:val="00057329"/>
    <w:rsid w:val="00060ABE"/>
    <w:rsid w:val="00060B70"/>
    <w:rsid w:val="0006226B"/>
    <w:rsid w:val="00062497"/>
    <w:rsid w:val="0006270F"/>
    <w:rsid w:val="00062824"/>
    <w:rsid w:val="00062C9B"/>
    <w:rsid w:val="00062F41"/>
    <w:rsid w:val="00064024"/>
    <w:rsid w:val="0006468C"/>
    <w:rsid w:val="000647BC"/>
    <w:rsid w:val="00064A57"/>
    <w:rsid w:val="00064E23"/>
    <w:rsid w:val="00065F52"/>
    <w:rsid w:val="00066580"/>
    <w:rsid w:val="0006692A"/>
    <w:rsid w:val="00066C6B"/>
    <w:rsid w:val="00066C7B"/>
    <w:rsid w:val="00070794"/>
    <w:rsid w:val="000717EC"/>
    <w:rsid w:val="00071A81"/>
    <w:rsid w:val="00071E09"/>
    <w:rsid w:val="00072033"/>
    <w:rsid w:val="000742C0"/>
    <w:rsid w:val="0007448F"/>
    <w:rsid w:val="00074B6A"/>
    <w:rsid w:val="00074FC8"/>
    <w:rsid w:val="000761F4"/>
    <w:rsid w:val="000765C6"/>
    <w:rsid w:val="000766B6"/>
    <w:rsid w:val="000768F6"/>
    <w:rsid w:val="00076DCF"/>
    <w:rsid w:val="0008186D"/>
    <w:rsid w:val="00081CEC"/>
    <w:rsid w:val="00082162"/>
    <w:rsid w:val="00083BEB"/>
    <w:rsid w:val="00084739"/>
    <w:rsid w:val="00085C95"/>
    <w:rsid w:val="000861CF"/>
    <w:rsid w:val="00086276"/>
    <w:rsid w:val="00086EA7"/>
    <w:rsid w:val="000906BA"/>
    <w:rsid w:val="00090AF1"/>
    <w:rsid w:val="000911FA"/>
    <w:rsid w:val="00091EED"/>
    <w:rsid w:val="00092531"/>
    <w:rsid w:val="00092E99"/>
    <w:rsid w:val="00093149"/>
    <w:rsid w:val="00093700"/>
    <w:rsid w:val="00093799"/>
    <w:rsid w:val="0009460A"/>
    <w:rsid w:val="0009483E"/>
    <w:rsid w:val="000948FB"/>
    <w:rsid w:val="00095B3F"/>
    <w:rsid w:val="000968A6"/>
    <w:rsid w:val="00097089"/>
    <w:rsid w:val="00097653"/>
    <w:rsid w:val="00097996"/>
    <w:rsid w:val="000A0E5E"/>
    <w:rsid w:val="000A1FAF"/>
    <w:rsid w:val="000A341E"/>
    <w:rsid w:val="000A4A2B"/>
    <w:rsid w:val="000A53A6"/>
    <w:rsid w:val="000A5510"/>
    <w:rsid w:val="000A62CC"/>
    <w:rsid w:val="000A66D1"/>
    <w:rsid w:val="000A6D9F"/>
    <w:rsid w:val="000A7348"/>
    <w:rsid w:val="000A749B"/>
    <w:rsid w:val="000B0BA3"/>
    <w:rsid w:val="000B0CA5"/>
    <w:rsid w:val="000B294B"/>
    <w:rsid w:val="000B3233"/>
    <w:rsid w:val="000B33AB"/>
    <w:rsid w:val="000B38CA"/>
    <w:rsid w:val="000B3A35"/>
    <w:rsid w:val="000B5107"/>
    <w:rsid w:val="000B6916"/>
    <w:rsid w:val="000B6E5D"/>
    <w:rsid w:val="000B77AF"/>
    <w:rsid w:val="000C0C39"/>
    <w:rsid w:val="000C152C"/>
    <w:rsid w:val="000C155C"/>
    <w:rsid w:val="000C169C"/>
    <w:rsid w:val="000C3A30"/>
    <w:rsid w:val="000C3FE8"/>
    <w:rsid w:val="000C4B60"/>
    <w:rsid w:val="000C4C41"/>
    <w:rsid w:val="000C4DF8"/>
    <w:rsid w:val="000C6241"/>
    <w:rsid w:val="000C733C"/>
    <w:rsid w:val="000C7691"/>
    <w:rsid w:val="000D1F17"/>
    <w:rsid w:val="000D2258"/>
    <w:rsid w:val="000D2D98"/>
    <w:rsid w:val="000D63AB"/>
    <w:rsid w:val="000D6540"/>
    <w:rsid w:val="000D672E"/>
    <w:rsid w:val="000D6E8E"/>
    <w:rsid w:val="000D6F5C"/>
    <w:rsid w:val="000D7A3F"/>
    <w:rsid w:val="000E061C"/>
    <w:rsid w:val="000E156E"/>
    <w:rsid w:val="000E16EA"/>
    <w:rsid w:val="000E25E3"/>
    <w:rsid w:val="000E2879"/>
    <w:rsid w:val="000E2F89"/>
    <w:rsid w:val="000E373F"/>
    <w:rsid w:val="000E3AE8"/>
    <w:rsid w:val="000E566A"/>
    <w:rsid w:val="000E5C44"/>
    <w:rsid w:val="000F12EF"/>
    <w:rsid w:val="000F1860"/>
    <w:rsid w:val="000F18A5"/>
    <w:rsid w:val="000F1C55"/>
    <w:rsid w:val="000F21D5"/>
    <w:rsid w:val="000F36C2"/>
    <w:rsid w:val="000F39A2"/>
    <w:rsid w:val="000F4001"/>
    <w:rsid w:val="000F49CF"/>
    <w:rsid w:val="000F4CE4"/>
    <w:rsid w:val="000F4DA5"/>
    <w:rsid w:val="000F5C41"/>
    <w:rsid w:val="000F6125"/>
    <w:rsid w:val="000F61A0"/>
    <w:rsid w:val="000F7629"/>
    <w:rsid w:val="000F78E4"/>
    <w:rsid w:val="000F7BC9"/>
    <w:rsid w:val="001005AC"/>
    <w:rsid w:val="00100728"/>
    <w:rsid w:val="00100780"/>
    <w:rsid w:val="00101D02"/>
    <w:rsid w:val="00103DE6"/>
    <w:rsid w:val="00104261"/>
    <w:rsid w:val="00104DCC"/>
    <w:rsid w:val="001054A4"/>
    <w:rsid w:val="001064BC"/>
    <w:rsid w:val="00106C64"/>
    <w:rsid w:val="00110503"/>
    <w:rsid w:val="00110D23"/>
    <w:rsid w:val="00111351"/>
    <w:rsid w:val="001113F7"/>
    <w:rsid w:val="00112512"/>
    <w:rsid w:val="0011304A"/>
    <w:rsid w:val="00113C81"/>
    <w:rsid w:val="0011442A"/>
    <w:rsid w:val="00117643"/>
    <w:rsid w:val="00117A04"/>
    <w:rsid w:val="00120236"/>
    <w:rsid w:val="00121820"/>
    <w:rsid w:val="001222BC"/>
    <w:rsid w:val="0012312F"/>
    <w:rsid w:val="0012542B"/>
    <w:rsid w:val="00125FCA"/>
    <w:rsid w:val="001260EA"/>
    <w:rsid w:val="001273AD"/>
    <w:rsid w:val="001320AA"/>
    <w:rsid w:val="00133F5F"/>
    <w:rsid w:val="0013437E"/>
    <w:rsid w:val="001353F5"/>
    <w:rsid w:val="00135C4B"/>
    <w:rsid w:val="00135F34"/>
    <w:rsid w:val="00136A63"/>
    <w:rsid w:val="00136F2F"/>
    <w:rsid w:val="0013770B"/>
    <w:rsid w:val="00137E02"/>
    <w:rsid w:val="00137E62"/>
    <w:rsid w:val="00140F75"/>
    <w:rsid w:val="00141749"/>
    <w:rsid w:val="00141C40"/>
    <w:rsid w:val="00142075"/>
    <w:rsid w:val="001421F5"/>
    <w:rsid w:val="00142642"/>
    <w:rsid w:val="00143678"/>
    <w:rsid w:val="00144DE5"/>
    <w:rsid w:val="00145069"/>
    <w:rsid w:val="001450C6"/>
    <w:rsid w:val="0014528B"/>
    <w:rsid w:val="00145369"/>
    <w:rsid w:val="0014536D"/>
    <w:rsid w:val="00145969"/>
    <w:rsid w:val="00145B1F"/>
    <w:rsid w:val="00145D7F"/>
    <w:rsid w:val="001463B5"/>
    <w:rsid w:val="00147D5D"/>
    <w:rsid w:val="001506E4"/>
    <w:rsid w:val="00150EED"/>
    <w:rsid w:val="00151964"/>
    <w:rsid w:val="00152E2E"/>
    <w:rsid w:val="00152F8B"/>
    <w:rsid w:val="00154680"/>
    <w:rsid w:val="00155767"/>
    <w:rsid w:val="00157176"/>
    <w:rsid w:val="00162DF9"/>
    <w:rsid w:val="001635AA"/>
    <w:rsid w:val="001637BF"/>
    <w:rsid w:val="00164391"/>
    <w:rsid w:val="00164A56"/>
    <w:rsid w:val="00164D48"/>
    <w:rsid w:val="00164DC0"/>
    <w:rsid w:val="001651DC"/>
    <w:rsid w:val="00165D41"/>
    <w:rsid w:val="0016628A"/>
    <w:rsid w:val="00166AF4"/>
    <w:rsid w:val="00167173"/>
    <w:rsid w:val="001706A6"/>
    <w:rsid w:val="00171769"/>
    <w:rsid w:val="00171F72"/>
    <w:rsid w:val="00171F9A"/>
    <w:rsid w:val="0017579B"/>
    <w:rsid w:val="00175F4A"/>
    <w:rsid w:val="0018081A"/>
    <w:rsid w:val="0018102F"/>
    <w:rsid w:val="00181F03"/>
    <w:rsid w:val="00182129"/>
    <w:rsid w:val="00182D42"/>
    <w:rsid w:val="0018439E"/>
    <w:rsid w:val="00184C20"/>
    <w:rsid w:val="0018541C"/>
    <w:rsid w:val="00187540"/>
    <w:rsid w:val="00187BC6"/>
    <w:rsid w:val="00187FE2"/>
    <w:rsid w:val="001900E6"/>
    <w:rsid w:val="00191CAB"/>
    <w:rsid w:val="00193813"/>
    <w:rsid w:val="001939C5"/>
    <w:rsid w:val="00193AB1"/>
    <w:rsid w:val="001946ED"/>
    <w:rsid w:val="00194B91"/>
    <w:rsid w:val="00195146"/>
    <w:rsid w:val="00196E90"/>
    <w:rsid w:val="00197D5B"/>
    <w:rsid w:val="001A0187"/>
    <w:rsid w:val="001A0AA3"/>
    <w:rsid w:val="001A0C01"/>
    <w:rsid w:val="001A1E57"/>
    <w:rsid w:val="001A36CA"/>
    <w:rsid w:val="001A4E32"/>
    <w:rsid w:val="001A4F12"/>
    <w:rsid w:val="001A5055"/>
    <w:rsid w:val="001A5306"/>
    <w:rsid w:val="001A59F9"/>
    <w:rsid w:val="001A6CB2"/>
    <w:rsid w:val="001A7705"/>
    <w:rsid w:val="001A7DBD"/>
    <w:rsid w:val="001B0BF2"/>
    <w:rsid w:val="001B1DFD"/>
    <w:rsid w:val="001B2562"/>
    <w:rsid w:val="001B2A99"/>
    <w:rsid w:val="001B2C5C"/>
    <w:rsid w:val="001B403E"/>
    <w:rsid w:val="001B4598"/>
    <w:rsid w:val="001B5167"/>
    <w:rsid w:val="001B5F92"/>
    <w:rsid w:val="001B65CB"/>
    <w:rsid w:val="001C01B2"/>
    <w:rsid w:val="001C1CCC"/>
    <w:rsid w:val="001C2AFF"/>
    <w:rsid w:val="001C2D1E"/>
    <w:rsid w:val="001C43DF"/>
    <w:rsid w:val="001C6B66"/>
    <w:rsid w:val="001C7141"/>
    <w:rsid w:val="001C7D40"/>
    <w:rsid w:val="001D09B9"/>
    <w:rsid w:val="001D1A05"/>
    <w:rsid w:val="001D2F9A"/>
    <w:rsid w:val="001D34A8"/>
    <w:rsid w:val="001D3E0A"/>
    <w:rsid w:val="001D55FC"/>
    <w:rsid w:val="001D659B"/>
    <w:rsid w:val="001D6837"/>
    <w:rsid w:val="001E00B3"/>
    <w:rsid w:val="001E11E0"/>
    <w:rsid w:val="001E1CB4"/>
    <w:rsid w:val="001E451B"/>
    <w:rsid w:val="001E4BF1"/>
    <w:rsid w:val="001E4BF8"/>
    <w:rsid w:val="001E5340"/>
    <w:rsid w:val="001E64A9"/>
    <w:rsid w:val="001E70D9"/>
    <w:rsid w:val="001E7244"/>
    <w:rsid w:val="001E753C"/>
    <w:rsid w:val="001E7667"/>
    <w:rsid w:val="001E7CBF"/>
    <w:rsid w:val="001F04FA"/>
    <w:rsid w:val="001F0D5E"/>
    <w:rsid w:val="001F116D"/>
    <w:rsid w:val="001F1695"/>
    <w:rsid w:val="001F2510"/>
    <w:rsid w:val="001F3A81"/>
    <w:rsid w:val="001F4390"/>
    <w:rsid w:val="001F48CD"/>
    <w:rsid w:val="001F499B"/>
    <w:rsid w:val="001F6053"/>
    <w:rsid w:val="001F6324"/>
    <w:rsid w:val="001F6898"/>
    <w:rsid w:val="001F6A82"/>
    <w:rsid w:val="001F6ACE"/>
    <w:rsid w:val="001F7073"/>
    <w:rsid w:val="002007B2"/>
    <w:rsid w:val="00201204"/>
    <w:rsid w:val="00201734"/>
    <w:rsid w:val="002025C8"/>
    <w:rsid w:val="0020317D"/>
    <w:rsid w:val="0020333E"/>
    <w:rsid w:val="00204B3E"/>
    <w:rsid w:val="002052B6"/>
    <w:rsid w:val="00206036"/>
    <w:rsid w:val="002062FF"/>
    <w:rsid w:val="00206F7F"/>
    <w:rsid w:val="002070AE"/>
    <w:rsid w:val="002072D2"/>
    <w:rsid w:val="00207A7F"/>
    <w:rsid w:val="00210C3B"/>
    <w:rsid w:val="00210C84"/>
    <w:rsid w:val="00213291"/>
    <w:rsid w:val="002135B0"/>
    <w:rsid w:val="00213994"/>
    <w:rsid w:val="002146F8"/>
    <w:rsid w:val="00214C32"/>
    <w:rsid w:val="00216289"/>
    <w:rsid w:val="0021665A"/>
    <w:rsid w:val="00216749"/>
    <w:rsid w:val="00217AEB"/>
    <w:rsid w:val="002204DD"/>
    <w:rsid w:val="00220C0C"/>
    <w:rsid w:val="002218F0"/>
    <w:rsid w:val="00222DD5"/>
    <w:rsid w:val="00222FC5"/>
    <w:rsid w:val="0022472A"/>
    <w:rsid w:val="00224DD4"/>
    <w:rsid w:val="00225021"/>
    <w:rsid w:val="0022537D"/>
    <w:rsid w:val="002256BE"/>
    <w:rsid w:val="00225AA6"/>
    <w:rsid w:val="00225F15"/>
    <w:rsid w:val="00225F2C"/>
    <w:rsid w:val="00227B1A"/>
    <w:rsid w:val="002301A7"/>
    <w:rsid w:val="0023031A"/>
    <w:rsid w:val="00230D67"/>
    <w:rsid w:val="00230FDB"/>
    <w:rsid w:val="0023161D"/>
    <w:rsid w:val="00233ED3"/>
    <w:rsid w:val="00235BA2"/>
    <w:rsid w:val="002367EC"/>
    <w:rsid w:val="002402E3"/>
    <w:rsid w:val="00240355"/>
    <w:rsid w:val="0024098D"/>
    <w:rsid w:val="00240A51"/>
    <w:rsid w:val="00240BEF"/>
    <w:rsid w:val="00242413"/>
    <w:rsid w:val="0024344D"/>
    <w:rsid w:val="00244A95"/>
    <w:rsid w:val="00245FF5"/>
    <w:rsid w:val="0025081B"/>
    <w:rsid w:val="00251579"/>
    <w:rsid w:val="00252C18"/>
    <w:rsid w:val="00252FDD"/>
    <w:rsid w:val="0025333A"/>
    <w:rsid w:val="002537F0"/>
    <w:rsid w:val="0025465C"/>
    <w:rsid w:val="00255F36"/>
    <w:rsid w:val="0025622C"/>
    <w:rsid w:val="00257964"/>
    <w:rsid w:val="00257A71"/>
    <w:rsid w:val="00257E82"/>
    <w:rsid w:val="00260D4B"/>
    <w:rsid w:val="002614DB"/>
    <w:rsid w:val="00263274"/>
    <w:rsid w:val="002632AD"/>
    <w:rsid w:val="00263870"/>
    <w:rsid w:val="00264CDC"/>
    <w:rsid w:val="00264DA4"/>
    <w:rsid w:val="00265583"/>
    <w:rsid w:val="00265619"/>
    <w:rsid w:val="00266451"/>
    <w:rsid w:val="00266B50"/>
    <w:rsid w:val="00266F38"/>
    <w:rsid w:val="00266FF6"/>
    <w:rsid w:val="00267C4F"/>
    <w:rsid w:val="00270548"/>
    <w:rsid w:val="00271AF6"/>
    <w:rsid w:val="0027319D"/>
    <w:rsid w:val="002740D3"/>
    <w:rsid w:val="002741AB"/>
    <w:rsid w:val="00275DEF"/>
    <w:rsid w:val="00275DFC"/>
    <w:rsid w:val="00276564"/>
    <w:rsid w:val="0027695E"/>
    <w:rsid w:val="002769FA"/>
    <w:rsid w:val="00276B31"/>
    <w:rsid w:val="002776DB"/>
    <w:rsid w:val="00280095"/>
    <w:rsid w:val="002803F8"/>
    <w:rsid w:val="00280583"/>
    <w:rsid w:val="002805E2"/>
    <w:rsid w:val="00280684"/>
    <w:rsid w:val="002807CA"/>
    <w:rsid w:val="00280966"/>
    <w:rsid w:val="002824CB"/>
    <w:rsid w:val="00282DDC"/>
    <w:rsid w:val="00282E47"/>
    <w:rsid w:val="00284167"/>
    <w:rsid w:val="002849B8"/>
    <w:rsid w:val="002855F1"/>
    <w:rsid w:val="00291494"/>
    <w:rsid w:val="002916D8"/>
    <w:rsid w:val="002919EF"/>
    <w:rsid w:val="00291D2B"/>
    <w:rsid w:val="0029339D"/>
    <w:rsid w:val="00293CB4"/>
    <w:rsid w:val="00293EBD"/>
    <w:rsid w:val="002950C1"/>
    <w:rsid w:val="0029537C"/>
    <w:rsid w:val="00295448"/>
    <w:rsid w:val="00296249"/>
    <w:rsid w:val="002964EA"/>
    <w:rsid w:val="00297285"/>
    <w:rsid w:val="002A25A3"/>
    <w:rsid w:val="002A3451"/>
    <w:rsid w:val="002A38E1"/>
    <w:rsid w:val="002A3CE4"/>
    <w:rsid w:val="002A42D5"/>
    <w:rsid w:val="002A43DB"/>
    <w:rsid w:val="002A45B9"/>
    <w:rsid w:val="002A573A"/>
    <w:rsid w:val="002A72B9"/>
    <w:rsid w:val="002A7850"/>
    <w:rsid w:val="002B0D96"/>
    <w:rsid w:val="002B1075"/>
    <w:rsid w:val="002B12DA"/>
    <w:rsid w:val="002B258A"/>
    <w:rsid w:val="002B2786"/>
    <w:rsid w:val="002B4AA4"/>
    <w:rsid w:val="002B4AA6"/>
    <w:rsid w:val="002B4E37"/>
    <w:rsid w:val="002B5F3C"/>
    <w:rsid w:val="002B6301"/>
    <w:rsid w:val="002B6B11"/>
    <w:rsid w:val="002B6E5E"/>
    <w:rsid w:val="002B7E7C"/>
    <w:rsid w:val="002C20FC"/>
    <w:rsid w:val="002C5145"/>
    <w:rsid w:val="002C65E6"/>
    <w:rsid w:val="002C6934"/>
    <w:rsid w:val="002C6F46"/>
    <w:rsid w:val="002C7714"/>
    <w:rsid w:val="002D050C"/>
    <w:rsid w:val="002D069A"/>
    <w:rsid w:val="002D089C"/>
    <w:rsid w:val="002D1436"/>
    <w:rsid w:val="002D1787"/>
    <w:rsid w:val="002D2312"/>
    <w:rsid w:val="002D47BA"/>
    <w:rsid w:val="002D4EA6"/>
    <w:rsid w:val="002D595B"/>
    <w:rsid w:val="002D6805"/>
    <w:rsid w:val="002D6A30"/>
    <w:rsid w:val="002D6B46"/>
    <w:rsid w:val="002D70F9"/>
    <w:rsid w:val="002D7AB5"/>
    <w:rsid w:val="002E09AC"/>
    <w:rsid w:val="002E22C5"/>
    <w:rsid w:val="002E302E"/>
    <w:rsid w:val="002E3E24"/>
    <w:rsid w:val="002E48BD"/>
    <w:rsid w:val="002E50CC"/>
    <w:rsid w:val="002E520A"/>
    <w:rsid w:val="002E529E"/>
    <w:rsid w:val="002E54C4"/>
    <w:rsid w:val="002E5E58"/>
    <w:rsid w:val="002E7398"/>
    <w:rsid w:val="002E7684"/>
    <w:rsid w:val="002E7BB6"/>
    <w:rsid w:val="002F292C"/>
    <w:rsid w:val="002F37B8"/>
    <w:rsid w:val="002F445A"/>
    <w:rsid w:val="002F5FE4"/>
    <w:rsid w:val="002F79BE"/>
    <w:rsid w:val="00300306"/>
    <w:rsid w:val="00300FFC"/>
    <w:rsid w:val="003016DC"/>
    <w:rsid w:val="00301863"/>
    <w:rsid w:val="003026C6"/>
    <w:rsid w:val="003028A5"/>
    <w:rsid w:val="00305715"/>
    <w:rsid w:val="00305770"/>
    <w:rsid w:val="00306441"/>
    <w:rsid w:val="00306C43"/>
    <w:rsid w:val="003076B2"/>
    <w:rsid w:val="00307CC5"/>
    <w:rsid w:val="0031027D"/>
    <w:rsid w:val="003115C7"/>
    <w:rsid w:val="003133CB"/>
    <w:rsid w:val="00314AA4"/>
    <w:rsid w:val="00314D75"/>
    <w:rsid w:val="00315B9F"/>
    <w:rsid w:val="00315DDF"/>
    <w:rsid w:val="003163F4"/>
    <w:rsid w:val="003166C1"/>
    <w:rsid w:val="003214F1"/>
    <w:rsid w:val="0032166D"/>
    <w:rsid w:val="00321B89"/>
    <w:rsid w:val="00321BC2"/>
    <w:rsid w:val="00322018"/>
    <w:rsid w:val="00322DE4"/>
    <w:rsid w:val="00323436"/>
    <w:rsid w:val="00323A95"/>
    <w:rsid w:val="00324EF9"/>
    <w:rsid w:val="00324F42"/>
    <w:rsid w:val="0032503F"/>
    <w:rsid w:val="003261B5"/>
    <w:rsid w:val="003262C9"/>
    <w:rsid w:val="00326443"/>
    <w:rsid w:val="003271B9"/>
    <w:rsid w:val="003304E9"/>
    <w:rsid w:val="0033082E"/>
    <w:rsid w:val="003311AB"/>
    <w:rsid w:val="0033149C"/>
    <w:rsid w:val="00332C00"/>
    <w:rsid w:val="00334229"/>
    <w:rsid w:val="00334273"/>
    <w:rsid w:val="003351F4"/>
    <w:rsid w:val="003366B0"/>
    <w:rsid w:val="00336BF1"/>
    <w:rsid w:val="0033717C"/>
    <w:rsid w:val="00337F0F"/>
    <w:rsid w:val="0034077F"/>
    <w:rsid w:val="00340B19"/>
    <w:rsid w:val="00340CA3"/>
    <w:rsid w:val="003413B8"/>
    <w:rsid w:val="00341459"/>
    <w:rsid w:val="00341D6E"/>
    <w:rsid w:val="00343126"/>
    <w:rsid w:val="00343FAD"/>
    <w:rsid w:val="00346200"/>
    <w:rsid w:val="003462B2"/>
    <w:rsid w:val="00347AC3"/>
    <w:rsid w:val="00350B9D"/>
    <w:rsid w:val="0035158B"/>
    <w:rsid w:val="0035167E"/>
    <w:rsid w:val="0035424B"/>
    <w:rsid w:val="0035688A"/>
    <w:rsid w:val="003574D1"/>
    <w:rsid w:val="00357D60"/>
    <w:rsid w:val="0036053C"/>
    <w:rsid w:val="003609B9"/>
    <w:rsid w:val="00360AAD"/>
    <w:rsid w:val="00362B44"/>
    <w:rsid w:val="00362BE3"/>
    <w:rsid w:val="00363AF6"/>
    <w:rsid w:val="00363B18"/>
    <w:rsid w:val="003664E0"/>
    <w:rsid w:val="00366D54"/>
    <w:rsid w:val="00367A3A"/>
    <w:rsid w:val="0037047A"/>
    <w:rsid w:val="00370A07"/>
    <w:rsid w:val="00370A23"/>
    <w:rsid w:val="00371031"/>
    <w:rsid w:val="003727E8"/>
    <w:rsid w:val="00372D31"/>
    <w:rsid w:val="00373269"/>
    <w:rsid w:val="0037334C"/>
    <w:rsid w:val="00373A12"/>
    <w:rsid w:val="003747FA"/>
    <w:rsid w:val="00375273"/>
    <w:rsid w:val="00376A91"/>
    <w:rsid w:val="00377691"/>
    <w:rsid w:val="00377E22"/>
    <w:rsid w:val="00380893"/>
    <w:rsid w:val="00381B77"/>
    <w:rsid w:val="003822BC"/>
    <w:rsid w:val="00384A8F"/>
    <w:rsid w:val="003852C4"/>
    <w:rsid w:val="003853A8"/>
    <w:rsid w:val="00386510"/>
    <w:rsid w:val="00386AA9"/>
    <w:rsid w:val="003871EF"/>
    <w:rsid w:val="00387619"/>
    <w:rsid w:val="00387BE7"/>
    <w:rsid w:val="00390A69"/>
    <w:rsid w:val="003911CA"/>
    <w:rsid w:val="003920CF"/>
    <w:rsid w:val="003921A9"/>
    <w:rsid w:val="00392461"/>
    <w:rsid w:val="003938C1"/>
    <w:rsid w:val="00394A7E"/>
    <w:rsid w:val="00394AF6"/>
    <w:rsid w:val="003973D9"/>
    <w:rsid w:val="003A0611"/>
    <w:rsid w:val="003A0BFC"/>
    <w:rsid w:val="003A0C21"/>
    <w:rsid w:val="003A1660"/>
    <w:rsid w:val="003A2241"/>
    <w:rsid w:val="003A2BBE"/>
    <w:rsid w:val="003A3E84"/>
    <w:rsid w:val="003A4A7B"/>
    <w:rsid w:val="003A4F5C"/>
    <w:rsid w:val="003A5CAB"/>
    <w:rsid w:val="003A7A9D"/>
    <w:rsid w:val="003A7BB9"/>
    <w:rsid w:val="003B0516"/>
    <w:rsid w:val="003B0777"/>
    <w:rsid w:val="003B0D43"/>
    <w:rsid w:val="003B157C"/>
    <w:rsid w:val="003B1D30"/>
    <w:rsid w:val="003B2647"/>
    <w:rsid w:val="003B2823"/>
    <w:rsid w:val="003B297D"/>
    <w:rsid w:val="003B2EC8"/>
    <w:rsid w:val="003B3DEF"/>
    <w:rsid w:val="003B4A02"/>
    <w:rsid w:val="003B5200"/>
    <w:rsid w:val="003B5B21"/>
    <w:rsid w:val="003B618F"/>
    <w:rsid w:val="003B65A5"/>
    <w:rsid w:val="003B66F2"/>
    <w:rsid w:val="003B6C26"/>
    <w:rsid w:val="003B7112"/>
    <w:rsid w:val="003B72B5"/>
    <w:rsid w:val="003C0EB5"/>
    <w:rsid w:val="003C1876"/>
    <w:rsid w:val="003C2F25"/>
    <w:rsid w:val="003C4558"/>
    <w:rsid w:val="003C4B40"/>
    <w:rsid w:val="003C4F04"/>
    <w:rsid w:val="003C5855"/>
    <w:rsid w:val="003D0604"/>
    <w:rsid w:val="003D0D02"/>
    <w:rsid w:val="003D242E"/>
    <w:rsid w:val="003D2D6E"/>
    <w:rsid w:val="003D42C3"/>
    <w:rsid w:val="003D4619"/>
    <w:rsid w:val="003D5516"/>
    <w:rsid w:val="003D6672"/>
    <w:rsid w:val="003D6C40"/>
    <w:rsid w:val="003D6EE6"/>
    <w:rsid w:val="003D7606"/>
    <w:rsid w:val="003E0BB7"/>
    <w:rsid w:val="003E22C2"/>
    <w:rsid w:val="003E3089"/>
    <w:rsid w:val="003E313C"/>
    <w:rsid w:val="003E3BA2"/>
    <w:rsid w:val="003E4C60"/>
    <w:rsid w:val="003E4E76"/>
    <w:rsid w:val="003E50E0"/>
    <w:rsid w:val="003E6F13"/>
    <w:rsid w:val="003E7AC1"/>
    <w:rsid w:val="003E7EC5"/>
    <w:rsid w:val="003F1940"/>
    <w:rsid w:val="003F2BA8"/>
    <w:rsid w:val="003F4437"/>
    <w:rsid w:val="003F4488"/>
    <w:rsid w:val="003F54DA"/>
    <w:rsid w:val="003F5521"/>
    <w:rsid w:val="003F5E97"/>
    <w:rsid w:val="003F6669"/>
    <w:rsid w:val="00400264"/>
    <w:rsid w:val="00400445"/>
    <w:rsid w:val="0040084E"/>
    <w:rsid w:val="00400900"/>
    <w:rsid w:val="0040145F"/>
    <w:rsid w:val="00401662"/>
    <w:rsid w:val="00401957"/>
    <w:rsid w:val="004029D7"/>
    <w:rsid w:val="00404F63"/>
    <w:rsid w:val="00405147"/>
    <w:rsid w:val="00405876"/>
    <w:rsid w:val="00405E22"/>
    <w:rsid w:val="00407B47"/>
    <w:rsid w:val="00410012"/>
    <w:rsid w:val="00410B8F"/>
    <w:rsid w:val="00410DAC"/>
    <w:rsid w:val="00412773"/>
    <w:rsid w:val="004129A3"/>
    <w:rsid w:val="004135D6"/>
    <w:rsid w:val="004135EC"/>
    <w:rsid w:val="0041439A"/>
    <w:rsid w:val="00414954"/>
    <w:rsid w:val="00415D1A"/>
    <w:rsid w:val="00416184"/>
    <w:rsid w:val="00416584"/>
    <w:rsid w:val="004169AC"/>
    <w:rsid w:val="004169B8"/>
    <w:rsid w:val="00420002"/>
    <w:rsid w:val="004214CA"/>
    <w:rsid w:val="00421DE8"/>
    <w:rsid w:val="00421DF5"/>
    <w:rsid w:val="00422E10"/>
    <w:rsid w:val="00423ABD"/>
    <w:rsid w:val="00424BA9"/>
    <w:rsid w:val="0042513C"/>
    <w:rsid w:val="0042524B"/>
    <w:rsid w:val="004259B6"/>
    <w:rsid w:val="00425F98"/>
    <w:rsid w:val="00426C00"/>
    <w:rsid w:val="00426CBF"/>
    <w:rsid w:val="004310A9"/>
    <w:rsid w:val="004342FF"/>
    <w:rsid w:val="00434656"/>
    <w:rsid w:val="00436E18"/>
    <w:rsid w:val="00441544"/>
    <w:rsid w:val="004419BB"/>
    <w:rsid w:val="0044646C"/>
    <w:rsid w:val="00446646"/>
    <w:rsid w:val="00446CDD"/>
    <w:rsid w:val="004473DE"/>
    <w:rsid w:val="0044769A"/>
    <w:rsid w:val="00451801"/>
    <w:rsid w:val="00452D3F"/>
    <w:rsid w:val="00453241"/>
    <w:rsid w:val="004538C3"/>
    <w:rsid w:val="004538DB"/>
    <w:rsid w:val="00454461"/>
    <w:rsid w:val="00457CC7"/>
    <w:rsid w:val="00460502"/>
    <w:rsid w:val="00460722"/>
    <w:rsid w:val="00461150"/>
    <w:rsid w:val="00461D61"/>
    <w:rsid w:val="00462F49"/>
    <w:rsid w:val="00462F7F"/>
    <w:rsid w:val="0046314C"/>
    <w:rsid w:val="0046403F"/>
    <w:rsid w:val="00464053"/>
    <w:rsid w:val="00464A9C"/>
    <w:rsid w:val="00464CCB"/>
    <w:rsid w:val="00464E07"/>
    <w:rsid w:val="00465A59"/>
    <w:rsid w:val="00465AEC"/>
    <w:rsid w:val="004668B2"/>
    <w:rsid w:val="00466A1C"/>
    <w:rsid w:val="004677A0"/>
    <w:rsid w:val="004677B2"/>
    <w:rsid w:val="004710C1"/>
    <w:rsid w:val="00471550"/>
    <w:rsid w:val="0047392A"/>
    <w:rsid w:val="00473D8C"/>
    <w:rsid w:val="00473E03"/>
    <w:rsid w:val="00474B96"/>
    <w:rsid w:val="0047571B"/>
    <w:rsid w:val="0047598F"/>
    <w:rsid w:val="0047778A"/>
    <w:rsid w:val="00477FA2"/>
    <w:rsid w:val="004814DF"/>
    <w:rsid w:val="00482C90"/>
    <w:rsid w:val="00483177"/>
    <w:rsid w:val="00483CA2"/>
    <w:rsid w:val="004871DD"/>
    <w:rsid w:val="00487B3D"/>
    <w:rsid w:val="0049032B"/>
    <w:rsid w:val="004904E7"/>
    <w:rsid w:val="004908B2"/>
    <w:rsid w:val="00490B10"/>
    <w:rsid w:val="004916A4"/>
    <w:rsid w:val="0049252C"/>
    <w:rsid w:val="00492933"/>
    <w:rsid w:val="00493167"/>
    <w:rsid w:val="00493C66"/>
    <w:rsid w:val="00493CEF"/>
    <w:rsid w:val="00496148"/>
    <w:rsid w:val="004967A4"/>
    <w:rsid w:val="004A0839"/>
    <w:rsid w:val="004A1674"/>
    <w:rsid w:val="004A1D0E"/>
    <w:rsid w:val="004A2299"/>
    <w:rsid w:val="004A26E0"/>
    <w:rsid w:val="004A2A32"/>
    <w:rsid w:val="004A3120"/>
    <w:rsid w:val="004A3721"/>
    <w:rsid w:val="004A3A2A"/>
    <w:rsid w:val="004A3F80"/>
    <w:rsid w:val="004A40BD"/>
    <w:rsid w:val="004A4F4C"/>
    <w:rsid w:val="004A53E4"/>
    <w:rsid w:val="004A59D9"/>
    <w:rsid w:val="004A5D9A"/>
    <w:rsid w:val="004A5DC5"/>
    <w:rsid w:val="004A702B"/>
    <w:rsid w:val="004A77D5"/>
    <w:rsid w:val="004B06D5"/>
    <w:rsid w:val="004B078D"/>
    <w:rsid w:val="004B12A6"/>
    <w:rsid w:val="004B1BBB"/>
    <w:rsid w:val="004B2535"/>
    <w:rsid w:val="004B3435"/>
    <w:rsid w:val="004B3C9E"/>
    <w:rsid w:val="004B457B"/>
    <w:rsid w:val="004B4C69"/>
    <w:rsid w:val="004B4F9D"/>
    <w:rsid w:val="004B5BBC"/>
    <w:rsid w:val="004B6002"/>
    <w:rsid w:val="004C096D"/>
    <w:rsid w:val="004C0EAF"/>
    <w:rsid w:val="004C11E4"/>
    <w:rsid w:val="004C1322"/>
    <w:rsid w:val="004C1428"/>
    <w:rsid w:val="004C16D6"/>
    <w:rsid w:val="004C183B"/>
    <w:rsid w:val="004C258A"/>
    <w:rsid w:val="004C27D4"/>
    <w:rsid w:val="004C394E"/>
    <w:rsid w:val="004C3C24"/>
    <w:rsid w:val="004C496F"/>
    <w:rsid w:val="004C4D26"/>
    <w:rsid w:val="004C4D6E"/>
    <w:rsid w:val="004C65EE"/>
    <w:rsid w:val="004C6653"/>
    <w:rsid w:val="004C689E"/>
    <w:rsid w:val="004C78DF"/>
    <w:rsid w:val="004C7ED8"/>
    <w:rsid w:val="004C7FD4"/>
    <w:rsid w:val="004D057D"/>
    <w:rsid w:val="004D30D5"/>
    <w:rsid w:val="004D3AE3"/>
    <w:rsid w:val="004D3D5C"/>
    <w:rsid w:val="004D4478"/>
    <w:rsid w:val="004D4ADA"/>
    <w:rsid w:val="004D5459"/>
    <w:rsid w:val="004E104A"/>
    <w:rsid w:val="004E2340"/>
    <w:rsid w:val="004E4CDA"/>
    <w:rsid w:val="004E53F5"/>
    <w:rsid w:val="004E6BFD"/>
    <w:rsid w:val="004F1695"/>
    <w:rsid w:val="004F20FA"/>
    <w:rsid w:val="004F244F"/>
    <w:rsid w:val="004F48DE"/>
    <w:rsid w:val="004F547D"/>
    <w:rsid w:val="004F564E"/>
    <w:rsid w:val="004F6246"/>
    <w:rsid w:val="004F662C"/>
    <w:rsid w:val="004F7F30"/>
    <w:rsid w:val="00500CE0"/>
    <w:rsid w:val="00500E7A"/>
    <w:rsid w:val="00500ED1"/>
    <w:rsid w:val="00503138"/>
    <w:rsid w:val="005050A1"/>
    <w:rsid w:val="005066D3"/>
    <w:rsid w:val="00507AF2"/>
    <w:rsid w:val="00510232"/>
    <w:rsid w:val="00510955"/>
    <w:rsid w:val="005109E7"/>
    <w:rsid w:val="00512300"/>
    <w:rsid w:val="00512848"/>
    <w:rsid w:val="00513712"/>
    <w:rsid w:val="00513AFE"/>
    <w:rsid w:val="00514104"/>
    <w:rsid w:val="00514BEB"/>
    <w:rsid w:val="00514E82"/>
    <w:rsid w:val="0051785D"/>
    <w:rsid w:val="00520835"/>
    <w:rsid w:val="00521073"/>
    <w:rsid w:val="0052344B"/>
    <w:rsid w:val="005243D5"/>
    <w:rsid w:val="005249DA"/>
    <w:rsid w:val="00524B38"/>
    <w:rsid w:val="00524B8F"/>
    <w:rsid w:val="00524CA8"/>
    <w:rsid w:val="00525306"/>
    <w:rsid w:val="00526BB1"/>
    <w:rsid w:val="0052718A"/>
    <w:rsid w:val="005320AA"/>
    <w:rsid w:val="00533391"/>
    <w:rsid w:val="00535046"/>
    <w:rsid w:val="00535E1A"/>
    <w:rsid w:val="00536CA7"/>
    <w:rsid w:val="00536FFD"/>
    <w:rsid w:val="00537005"/>
    <w:rsid w:val="0053772F"/>
    <w:rsid w:val="005420FB"/>
    <w:rsid w:val="0054407B"/>
    <w:rsid w:val="0054421E"/>
    <w:rsid w:val="00546942"/>
    <w:rsid w:val="00546DBD"/>
    <w:rsid w:val="005472DB"/>
    <w:rsid w:val="00550414"/>
    <w:rsid w:val="0055044D"/>
    <w:rsid w:val="00553F4B"/>
    <w:rsid w:val="00554502"/>
    <w:rsid w:val="00555679"/>
    <w:rsid w:val="005558B9"/>
    <w:rsid w:val="00556458"/>
    <w:rsid w:val="005575F8"/>
    <w:rsid w:val="0056098C"/>
    <w:rsid w:val="00561C09"/>
    <w:rsid w:val="00561CF6"/>
    <w:rsid w:val="005639A7"/>
    <w:rsid w:val="005645C0"/>
    <w:rsid w:val="0056484A"/>
    <w:rsid w:val="005653A3"/>
    <w:rsid w:val="0056781A"/>
    <w:rsid w:val="00567E52"/>
    <w:rsid w:val="00567FB4"/>
    <w:rsid w:val="005710F8"/>
    <w:rsid w:val="0057160B"/>
    <w:rsid w:val="0057197E"/>
    <w:rsid w:val="00572A8A"/>
    <w:rsid w:val="0057363F"/>
    <w:rsid w:val="00573879"/>
    <w:rsid w:val="00576421"/>
    <w:rsid w:val="005770A6"/>
    <w:rsid w:val="00577800"/>
    <w:rsid w:val="00577BB6"/>
    <w:rsid w:val="00577F9D"/>
    <w:rsid w:val="00577FE0"/>
    <w:rsid w:val="005816FB"/>
    <w:rsid w:val="00582EE3"/>
    <w:rsid w:val="00583282"/>
    <w:rsid w:val="00583838"/>
    <w:rsid w:val="00584B2E"/>
    <w:rsid w:val="00584F03"/>
    <w:rsid w:val="005856FB"/>
    <w:rsid w:val="0058678D"/>
    <w:rsid w:val="00587074"/>
    <w:rsid w:val="00587C60"/>
    <w:rsid w:val="00587DF6"/>
    <w:rsid w:val="00590702"/>
    <w:rsid w:val="00590A4F"/>
    <w:rsid w:val="00591951"/>
    <w:rsid w:val="00592574"/>
    <w:rsid w:val="00593ABF"/>
    <w:rsid w:val="00593CA3"/>
    <w:rsid w:val="00593CC0"/>
    <w:rsid w:val="0059480B"/>
    <w:rsid w:val="0059652F"/>
    <w:rsid w:val="005965B1"/>
    <w:rsid w:val="00596839"/>
    <w:rsid w:val="0059728F"/>
    <w:rsid w:val="005972A2"/>
    <w:rsid w:val="00597385"/>
    <w:rsid w:val="00597E16"/>
    <w:rsid w:val="005A1E8A"/>
    <w:rsid w:val="005A24DE"/>
    <w:rsid w:val="005A25B1"/>
    <w:rsid w:val="005A363B"/>
    <w:rsid w:val="005A3758"/>
    <w:rsid w:val="005A3C13"/>
    <w:rsid w:val="005A445D"/>
    <w:rsid w:val="005A494D"/>
    <w:rsid w:val="005A52F2"/>
    <w:rsid w:val="005A56EE"/>
    <w:rsid w:val="005A6E16"/>
    <w:rsid w:val="005B0BA0"/>
    <w:rsid w:val="005B1F48"/>
    <w:rsid w:val="005B39D4"/>
    <w:rsid w:val="005B441D"/>
    <w:rsid w:val="005B73EF"/>
    <w:rsid w:val="005B7E56"/>
    <w:rsid w:val="005C039D"/>
    <w:rsid w:val="005C1301"/>
    <w:rsid w:val="005C16A5"/>
    <w:rsid w:val="005C2AE4"/>
    <w:rsid w:val="005C2B09"/>
    <w:rsid w:val="005C2C0D"/>
    <w:rsid w:val="005C2F3E"/>
    <w:rsid w:val="005C352A"/>
    <w:rsid w:val="005C392F"/>
    <w:rsid w:val="005C3FB6"/>
    <w:rsid w:val="005C49D0"/>
    <w:rsid w:val="005C5759"/>
    <w:rsid w:val="005C5A84"/>
    <w:rsid w:val="005C5DE8"/>
    <w:rsid w:val="005D0F68"/>
    <w:rsid w:val="005D13BE"/>
    <w:rsid w:val="005D15E9"/>
    <w:rsid w:val="005D2439"/>
    <w:rsid w:val="005D2843"/>
    <w:rsid w:val="005D2F69"/>
    <w:rsid w:val="005D3225"/>
    <w:rsid w:val="005D4FB1"/>
    <w:rsid w:val="005D5267"/>
    <w:rsid w:val="005D5764"/>
    <w:rsid w:val="005D647A"/>
    <w:rsid w:val="005D6E45"/>
    <w:rsid w:val="005E026D"/>
    <w:rsid w:val="005E02C5"/>
    <w:rsid w:val="005E0831"/>
    <w:rsid w:val="005E0AF3"/>
    <w:rsid w:val="005E1EBA"/>
    <w:rsid w:val="005E31D7"/>
    <w:rsid w:val="005E3667"/>
    <w:rsid w:val="005E3911"/>
    <w:rsid w:val="005E433E"/>
    <w:rsid w:val="005E470B"/>
    <w:rsid w:val="005E4FE0"/>
    <w:rsid w:val="005E5380"/>
    <w:rsid w:val="005E654C"/>
    <w:rsid w:val="005E675E"/>
    <w:rsid w:val="005E6985"/>
    <w:rsid w:val="005E7A5F"/>
    <w:rsid w:val="005F0342"/>
    <w:rsid w:val="005F050F"/>
    <w:rsid w:val="005F10DA"/>
    <w:rsid w:val="005F1CF1"/>
    <w:rsid w:val="005F4796"/>
    <w:rsid w:val="005F57DB"/>
    <w:rsid w:val="005F5863"/>
    <w:rsid w:val="005F5ACB"/>
    <w:rsid w:val="005F6952"/>
    <w:rsid w:val="005F7194"/>
    <w:rsid w:val="005F763C"/>
    <w:rsid w:val="005F7BA2"/>
    <w:rsid w:val="00603F37"/>
    <w:rsid w:val="00604040"/>
    <w:rsid w:val="00604596"/>
    <w:rsid w:val="0060510E"/>
    <w:rsid w:val="00605F1D"/>
    <w:rsid w:val="006062EA"/>
    <w:rsid w:val="00606B4B"/>
    <w:rsid w:val="00607345"/>
    <w:rsid w:val="00607A8F"/>
    <w:rsid w:val="00612470"/>
    <w:rsid w:val="00613A28"/>
    <w:rsid w:val="00613B18"/>
    <w:rsid w:val="00613D12"/>
    <w:rsid w:val="006206FF"/>
    <w:rsid w:val="00622E43"/>
    <w:rsid w:val="00622E8A"/>
    <w:rsid w:val="00622F30"/>
    <w:rsid w:val="00623544"/>
    <w:rsid w:val="00624576"/>
    <w:rsid w:val="006248EE"/>
    <w:rsid w:val="00624F35"/>
    <w:rsid w:val="0062510F"/>
    <w:rsid w:val="00625A77"/>
    <w:rsid w:val="0062646F"/>
    <w:rsid w:val="0062754C"/>
    <w:rsid w:val="00627ECD"/>
    <w:rsid w:val="006300E9"/>
    <w:rsid w:val="0063033C"/>
    <w:rsid w:val="00632541"/>
    <w:rsid w:val="0063320C"/>
    <w:rsid w:val="006340F6"/>
    <w:rsid w:val="0063440B"/>
    <w:rsid w:val="0063461A"/>
    <w:rsid w:val="00634644"/>
    <w:rsid w:val="006354AC"/>
    <w:rsid w:val="00635B61"/>
    <w:rsid w:val="00636209"/>
    <w:rsid w:val="00636F50"/>
    <w:rsid w:val="00637262"/>
    <w:rsid w:val="00640139"/>
    <w:rsid w:val="00640590"/>
    <w:rsid w:val="006412CE"/>
    <w:rsid w:val="006416E9"/>
    <w:rsid w:val="006418BF"/>
    <w:rsid w:val="006423B3"/>
    <w:rsid w:val="00642F6C"/>
    <w:rsid w:val="00643D71"/>
    <w:rsid w:val="00644A68"/>
    <w:rsid w:val="00644DBB"/>
    <w:rsid w:val="006451D6"/>
    <w:rsid w:val="00645B2F"/>
    <w:rsid w:val="006461EF"/>
    <w:rsid w:val="00646388"/>
    <w:rsid w:val="006469E2"/>
    <w:rsid w:val="00647534"/>
    <w:rsid w:val="006477AA"/>
    <w:rsid w:val="006501C7"/>
    <w:rsid w:val="00650B6E"/>
    <w:rsid w:val="00650CEE"/>
    <w:rsid w:val="00650E97"/>
    <w:rsid w:val="00651639"/>
    <w:rsid w:val="00651F82"/>
    <w:rsid w:val="00652603"/>
    <w:rsid w:val="006529DF"/>
    <w:rsid w:val="00654DAF"/>
    <w:rsid w:val="00655FC4"/>
    <w:rsid w:val="00657D92"/>
    <w:rsid w:val="00662E92"/>
    <w:rsid w:val="0066435C"/>
    <w:rsid w:val="0066494A"/>
    <w:rsid w:val="00666F41"/>
    <w:rsid w:val="006673B5"/>
    <w:rsid w:val="00667633"/>
    <w:rsid w:val="006705B5"/>
    <w:rsid w:val="00672077"/>
    <w:rsid w:val="006726A5"/>
    <w:rsid w:val="00672A57"/>
    <w:rsid w:val="00674A8C"/>
    <w:rsid w:val="00675D7D"/>
    <w:rsid w:val="00677140"/>
    <w:rsid w:val="006776EA"/>
    <w:rsid w:val="00677BB7"/>
    <w:rsid w:val="00677F32"/>
    <w:rsid w:val="0068009A"/>
    <w:rsid w:val="00680286"/>
    <w:rsid w:val="006825E0"/>
    <w:rsid w:val="00682861"/>
    <w:rsid w:val="00685875"/>
    <w:rsid w:val="0068705F"/>
    <w:rsid w:val="00690213"/>
    <w:rsid w:val="00690862"/>
    <w:rsid w:val="00691261"/>
    <w:rsid w:val="006918D1"/>
    <w:rsid w:val="00691C59"/>
    <w:rsid w:val="00692B2B"/>
    <w:rsid w:val="00693859"/>
    <w:rsid w:val="00694FBE"/>
    <w:rsid w:val="0069751D"/>
    <w:rsid w:val="006978FD"/>
    <w:rsid w:val="006A0DB7"/>
    <w:rsid w:val="006A195A"/>
    <w:rsid w:val="006A20C0"/>
    <w:rsid w:val="006A30F9"/>
    <w:rsid w:val="006A55CF"/>
    <w:rsid w:val="006A5D2A"/>
    <w:rsid w:val="006A6D9E"/>
    <w:rsid w:val="006A7389"/>
    <w:rsid w:val="006A7752"/>
    <w:rsid w:val="006B0B54"/>
    <w:rsid w:val="006B18BF"/>
    <w:rsid w:val="006B1BC8"/>
    <w:rsid w:val="006B4824"/>
    <w:rsid w:val="006B50E0"/>
    <w:rsid w:val="006B5842"/>
    <w:rsid w:val="006B67EC"/>
    <w:rsid w:val="006B6D9A"/>
    <w:rsid w:val="006B7C1E"/>
    <w:rsid w:val="006C23C0"/>
    <w:rsid w:val="006C37F8"/>
    <w:rsid w:val="006C3AB7"/>
    <w:rsid w:val="006C3F95"/>
    <w:rsid w:val="006C4213"/>
    <w:rsid w:val="006C5667"/>
    <w:rsid w:val="006C68B0"/>
    <w:rsid w:val="006C7614"/>
    <w:rsid w:val="006C78A1"/>
    <w:rsid w:val="006D08A3"/>
    <w:rsid w:val="006D12C6"/>
    <w:rsid w:val="006D22CE"/>
    <w:rsid w:val="006D22E0"/>
    <w:rsid w:val="006D2347"/>
    <w:rsid w:val="006D247E"/>
    <w:rsid w:val="006D3E6F"/>
    <w:rsid w:val="006D496E"/>
    <w:rsid w:val="006D4AC6"/>
    <w:rsid w:val="006D65B9"/>
    <w:rsid w:val="006D7C88"/>
    <w:rsid w:val="006E2364"/>
    <w:rsid w:val="006E2C31"/>
    <w:rsid w:val="006E3052"/>
    <w:rsid w:val="006E58CB"/>
    <w:rsid w:val="006E5C3E"/>
    <w:rsid w:val="006E7A65"/>
    <w:rsid w:val="006F0060"/>
    <w:rsid w:val="006F0505"/>
    <w:rsid w:val="006F1DB0"/>
    <w:rsid w:val="006F1ED9"/>
    <w:rsid w:val="006F2FDF"/>
    <w:rsid w:val="006F3D9A"/>
    <w:rsid w:val="006F46BD"/>
    <w:rsid w:val="006F5C5F"/>
    <w:rsid w:val="006F6076"/>
    <w:rsid w:val="006F713E"/>
    <w:rsid w:val="006F7762"/>
    <w:rsid w:val="006F796D"/>
    <w:rsid w:val="00700D50"/>
    <w:rsid w:val="00700EEC"/>
    <w:rsid w:val="00701577"/>
    <w:rsid w:val="00701D9B"/>
    <w:rsid w:val="00701DBF"/>
    <w:rsid w:val="0070218A"/>
    <w:rsid w:val="00702225"/>
    <w:rsid w:val="00702781"/>
    <w:rsid w:val="00702ECC"/>
    <w:rsid w:val="00703455"/>
    <w:rsid w:val="007057F5"/>
    <w:rsid w:val="00705F90"/>
    <w:rsid w:val="00706894"/>
    <w:rsid w:val="00707542"/>
    <w:rsid w:val="0071031C"/>
    <w:rsid w:val="00711598"/>
    <w:rsid w:val="00711EF0"/>
    <w:rsid w:val="007129A2"/>
    <w:rsid w:val="00712C73"/>
    <w:rsid w:val="00713A5A"/>
    <w:rsid w:val="0071423B"/>
    <w:rsid w:val="00714F94"/>
    <w:rsid w:val="007152B8"/>
    <w:rsid w:val="00715684"/>
    <w:rsid w:val="00716177"/>
    <w:rsid w:val="00716C62"/>
    <w:rsid w:val="007173F6"/>
    <w:rsid w:val="007174FD"/>
    <w:rsid w:val="00717520"/>
    <w:rsid w:val="007200C1"/>
    <w:rsid w:val="007203F9"/>
    <w:rsid w:val="00720CD9"/>
    <w:rsid w:val="0072239F"/>
    <w:rsid w:val="007229DD"/>
    <w:rsid w:val="00723484"/>
    <w:rsid w:val="00724A95"/>
    <w:rsid w:val="0072530E"/>
    <w:rsid w:val="0072647C"/>
    <w:rsid w:val="007278C6"/>
    <w:rsid w:val="00727B6D"/>
    <w:rsid w:val="00727ED2"/>
    <w:rsid w:val="00730CE8"/>
    <w:rsid w:val="007319BB"/>
    <w:rsid w:val="00731EEE"/>
    <w:rsid w:val="007323DA"/>
    <w:rsid w:val="00733E0C"/>
    <w:rsid w:val="0073402F"/>
    <w:rsid w:val="00734FC8"/>
    <w:rsid w:val="00736640"/>
    <w:rsid w:val="00736870"/>
    <w:rsid w:val="00736B7D"/>
    <w:rsid w:val="00737055"/>
    <w:rsid w:val="007378A3"/>
    <w:rsid w:val="00737C28"/>
    <w:rsid w:val="0074181D"/>
    <w:rsid w:val="00743292"/>
    <w:rsid w:val="0074337F"/>
    <w:rsid w:val="00744809"/>
    <w:rsid w:val="00744817"/>
    <w:rsid w:val="00745068"/>
    <w:rsid w:val="00745830"/>
    <w:rsid w:val="007463C5"/>
    <w:rsid w:val="00750320"/>
    <w:rsid w:val="00751541"/>
    <w:rsid w:val="00751E0C"/>
    <w:rsid w:val="0075265D"/>
    <w:rsid w:val="0075281C"/>
    <w:rsid w:val="007537E8"/>
    <w:rsid w:val="00753A33"/>
    <w:rsid w:val="007543E6"/>
    <w:rsid w:val="0075473A"/>
    <w:rsid w:val="0075497C"/>
    <w:rsid w:val="00754C0E"/>
    <w:rsid w:val="00754D3F"/>
    <w:rsid w:val="007563A6"/>
    <w:rsid w:val="0075681C"/>
    <w:rsid w:val="007568CF"/>
    <w:rsid w:val="00757967"/>
    <w:rsid w:val="00757BAA"/>
    <w:rsid w:val="00760051"/>
    <w:rsid w:val="00760063"/>
    <w:rsid w:val="00762492"/>
    <w:rsid w:val="00762E0A"/>
    <w:rsid w:val="00763290"/>
    <w:rsid w:val="00763677"/>
    <w:rsid w:val="007637C8"/>
    <w:rsid w:val="007640AE"/>
    <w:rsid w:val="00765826"/>
    <w:rsid w:val="007658DF"/>
    <w:rsid w:val="007670C2"/>
    <w:rsid w:val="00767117"/>
    <w:rsid w:val="00767238"/>
    <w:rsid w:val="00771746"/>
    <w:rsid w:val="00772BA1"/>
    <w:rsid w:val="0077382D"/>
    <w:rsid w:val="00773B4C"/>
    <w:rsid w:val="00773DA2"/>
    <w:rsid w:val="00775BC5"/>
    <w:rsid w:val="00777745"/>
    <w:rsid w:val="007779A6"/>
    <w:rsid w:val="00777BCE"/>
    <w:rsid w:val="007805F0"/>
    <w:rsid w:val="00781964"/>
    <w:rsid w:val="0078250D"/>
    <w:rsid w:val="00782ABA"/>
    <w:rsid w:val="007845F1"/>
    <w:rsid w:val="00784F54"/>
    <w:rsid w:val="00785CCD"/>
    <w:rsid w:val="00787A04"/>
    <w:rsid w:val="0079313D"/>
    <w:rsid w:val="00793251"/>
    <w:rsid w:val="0079374A"/>
    <w:rsid w:val="00793DF0"/>
    <w:rsid w:val="007967F0"/>
    <w:rsid w:val="00796BF0"/>
    <w:rsid w:val="00796C15"/>
    <w:rsid w:val="007A0167"/>
    <w:rsid w:val="007A0852"/>
    <w:rsid w:val="007A179D"/>
    <w:rsid w:val="007A289D"/>
    <w:rsid w:val="007A2E0F"/>
    <w:rsid w:val="007A40D0"/>
    <w:rsid w:val="007A45ED"/>
    <w:rsid w:val="007A46ED"/>
    <w:rsid w:val="007A4B49"/>
    <w:rsid w:val="007A607E"/>
    <w:rsid w:val="007A611E"/>
    <w:rsid w:val="007A6AA7"/>
    <w:rsid w:val="007A76EA"/>
    <w:rsid w:val="007B0DE7"/>
    <w:rsid w:val="007B0FE0"/>
    <w:rsid w:val="007B1A07"/>
    <w:rsid w:val="007B2293"/>
    <w:rsid w:val="007B3EC3"/>
    <w:rsid w:val="007B539B"/>
    <w:rsid w:val="007B5743"/>
    <w:rsid w:val="007B61F3"/>
    <w:rsid w:val="007B6D2D"/>
    <w:rsid w:val="007C0570"/>
    <w:rsid w:val="007C0F35"/>
    <w:rsid w:val="007C18C5"/>
    <w:rsid w:val="007C37C3"/>
    <w:rsid w:val="007C4ACD"/>
    <w:rsid w:val="007C5165"/>
    <w:rsid w:val="007C559C"/>
    <w:rsid w:val="007C621C"/>
    <w:rsid w:val="007D0106"/>
    <w:rsid w:val="007D122E"/>
    <w:rsid w:val="007D214F"/>
    <w:rsid w:val="007D2E07"/>
    <w:rsid w:val="007D2E35"/>
    <w:rsid w:val="007D3001"/>
    <w:rsid w:val="007D381E"/>
    <w:rsid w:val="007D4069"/>
    <w:rsid w:val="007D4D89"/>
    <w:rsid w:val="007D520D"/>
    <w:rsid w:val="007D5A32"/>
    <w:rsid w:val="007D5B49"/>
    <w:rsid w:val="007D6A96"/>
    <w:rsid w:val="007D742A"/>
    <w:rsid w:val="007E04C4"/>
    <w:rsid w:val="007E0733"/>
    <w:rsid w:val="007E07B4"/>
    <w:rsid w:val="007E0F41"/>
    <w:rsid w:val="007E15DD"/>
    <w:rsid w:val="007E1E81"/>
    <w:rsid w:val="007E1FFB"/>
    <w:rsid w:val="007E2C5D"/>
    <w:rsid w:val="007E2CB5"/>
    <w:rsid w:val="007E37AF"/>
    <w:rsid w:val="007E4EA5"/>
    <w:rsid w:val="007E5294"/>
    <w:rsid w:val="007E5C49"/>
    <w:rsid w:val="007E5F7E"/>
    <w:rsid w:val="007E674D"/>
    <w:rsid w:val="007E6E95"/>
    <w:rsid w:val="007E75C3"/>
    <w:rsid w:val="007F0398"/>
    <w:rsid w:val="007F0839"/>
    <w:rsid w:val="007F0B45"/>
    <w:rsid w:val="007F15A3"/>
    <w:rsid w:val="007F15C5"/>
    <w:rsid w:val="007F17B9"/>
    <w:rsid w:val="007F18BF"/>
    <w:rsid w:val="007F1C1A"/>
    <w:rsid w:val="007F2E50"/>
    <w:rsid w:val="007F3283"/>
    <w:rsid w:val="007F4652"/>
    <w:rsid w:val="007F5044"/>
    <w:rsid w:val="007F5968"/>
    <w:rsid w:val="007F74A3"/>
    <w:rsid w:val="0080265C"/>
    <w:rsid w:val="00803B7C"/>
    <w:rsid w:val="00804888"/>
    <w:rsid w:val="00805FEC"/>
    <w:rsid w:val="00806ED1"/>
    <w:rsid w:val="00807DA4"/>
    <w:rsid w:val="0081028D"/>
    <w:rsid w:val="00810950"/>
    <w:rsid w:val="008114DA"/>
    <w:rsid w:val="00811EA8"/>
    <w:rsid w:val="00812F38"/>
    <w:rsid w:val="00813831"/>
    <w:rsid w:val="00813CBC"/>
    <w:rsid w:val="008144F2"/>
    <w:rsid w:val="00814531"/>
    <w:rsid w:val="00814A1A"/>
    <w:rsid w:val="00814B39"/>
    <w:rsid w:val="00814BE2"/>
    <w:rsid w:val="00815AB0"/>
    <w:rsid w:val="00815B96"/>
    <w:rsid w:val="00816470"/>
    <w:rsid w:val="00817CE4"/>
    <w:rsid w:val="0082018B"/>
    <w:rsid w:val="00820269"/>
    <w:rsid w:val="00820578"/>
    <w:rsid w:val="008221B9"/>
    <w:rsid w:val="00825588"/>
    <w:rsid w:val="00826CE5"/>
    <w:rsid w:val="00826F2A"/>
    <w:rsid w:val="00827F70"/>
    <w:rsid w:val="00830905"/>
    <w:rsid w:val="00830AE6"/>
    <w:rsid w:val="00830E92"/>
    <w:rsid w:val="00831450"/>
    <w:rsid w:val="008320D2"/>
    <w:rsid w:val="00833A5B"/>
    <w:rsid w:val="008342FF"/>
    <w:rsid w:val="0083506F"/>
    <w:rsid w:val="00835B76"/>
    <w:rsid w:val="00835CDE"/>
    <w:rsid w:val="008365BA"/>
    <w:rsid w:val="008376B4"/>
    <w:rsid w:val="008418C1"/>
    <w:rsid w:val="008422A8"/>
    <w:rsid w:val="00842BE9"/>
    <w:rsid w:val="00842F58"/>
    <w:rsid w:val="00843099"/>
    <w:rsid w:val="00843558"/>
    <w:rsid w:val="00843578"/>
    <w:rsid w:val="00843AB9"/>
    <w:rsid w:val="008442D6"/>
    <w:rsid w:val="00846311"/>
    <w:rsid w:val="0085154A"/>
    <w:rsid w:val="008518CC"/>
    <w:rsid w:val="00852D24"/>
    <w:rsid w:val="00852F3B"/>
    <w:rsid w:val="0085332D"/>
    <w:rsid w:val="008537C7"/>
    <w:rsid w:val="008544C0"/>
    <w:rsid w:val="008546B6"/>
    <w:rsid w:val="00854E91"/>
    <w:rsid w:val="008560B2"/>
    <w:rsid w:val="00857554"/>
    <w:rsid w:val="008579D3"/>
    <w:rsid w:val="0086226A"/>
    <w:rsid w:val="00862855"/>
    <w:rsid w:val="008654DF"/>
    <w:rsid w:val="00866A2C"/>
    <w:rsid w:val="00867039"/>
    <w:rsid w:val="00867D6A"/>
    <w:rsid w:val="008700E2"/>
    <w:rsid w:val="00870514"/>
    <w:rsid w:val="00871349"/>
    <w:rsid w:val="00871C35"/>
    <w:rsid w:val="00872183"/>
    <w:rsid w:val="00872869"/>
    <w:rsid w:val="00872C18"/>
    <w:rsid w:val="00873E0D"/>
    <w:rsid w:val="00875ADE"/>
    <w:rsid w:val="00877DB9"/>
    <w:rsid w:val="00880505"/>
    <w:rsid w:val="00880FCE"/>
    <w:rsid w:val="0088221D"/>
    <w:rsid w:val="00882583"/>
    <w:rsid w:val="008826B2"/>
    <w:rsid w:val="00883F37"/>
    <w:rsid w:val="00884DBF"/>
    <w:rsid w:val="008856DC"/>
    <w:rsid w:val="00885E89"/>
    <w:rsid w:val="00886155"/>
    <w:rsid w:val="008873A6"/>
    <w:rsid w:val="00890174"/>
    <w:rsid w:val="00891494"/>
    <w:rsid w:val="0089200C"/>
    <w:rsid w:val="00893BE9"/>
    <w:rsid w:val="00894D83"/>
    <w:rsid w:val="00895430"/>
    <w:rsid w:val="008969B2"/>
    <w:rsid w:val="0089705A"/>
    <w:rsid w:val="0089740B"/>
    <w:rsid w:val="00897533"/>
    <w:rsid w:val="008A0744"/>
    <w:rsid w:val="008A08F8"/>
    <w:rsid w:val="008A137D"/>
    <w:rsid w:val="008A1D5B"/>
    <w:rsid w:val="008A33E8"/>
    <w:rsid w:val="008A4191"/>
    <w:rsid w:val="008A48F7"/>
    <w:rsid w:val="008A61E7"/>
    <w:rsid w:val="008A793D"/>
    <w:rsid w:val="008B01E7"/>
    <w:rsid w:val="008B1AF6"/>
    <w:rsid w:val="008B317F"/>
    <w:rsid w:val="008B465C"/>
    <w:rsid w:val="008B5C41"/>
    <w:rsid w:val="008C0075"/>
    <w:rsid w:val="008C0101"/>
    <w:rsid w:val="008C04FF"/>
    <w:rsid w:val="008C0A35"/>
    <w:rsid w:val="008C0E56"/>
    <w:rsid w:val="008C34EF"/>
    <w:rsid w:val="008C4C60"/>
    <w:rsid w:val="008C5893"/>
    <w:rsid w:val="008C6450"/>
    <w:rsid w:val="008C6D2C"/>
    <w:rsid w:val="008D037E"/>
    <w:rsid w:val="008D1881"/>
    <w:rsid w:val="008D1E0D"/>
    <w:rsid w:val="008D3113"/>
    <w:rsid w:val="008D3DFD"/>
    <w:rsid w:val="008D4BE8"/>
    <w:rsid w:val="008D7C1F"/>
    <w:rsid w:val="008E0405"/>
    <w:rsid w:val="008E0C15"/>
    <w:rsid w:val="008E0C6F"/>
    <w:rsid w:val="008E175A"/>
    <w:rsid w:val="008E1B0F"/>
    <w:rsid w:val="008E310F"/>
    <w:rsid w:val="008E3CD0"/>
    <w:rsid w:val="008E3F68"/>
    <w:rsid w:val="008E6407"/>
    <w:rsid w:val="008E6FED"/>
    <w:rsid w:val="008F01AB"/>
    <w:rsid w:val="008F1EF8"/>
    <w:rsid w:val="008F27E4"/>
    <w:rsid w:val="008F2858"/>
    <w:rsid w:val="008F2BC5"/>
    <w:rsid w:val="008F2FC3"/>
    <w:rsid w:val="008F37FA"/>
    <w:rsid w:val="008F4B87"/>
    <w:rsid w:val="008F5492"/>
    <w:rsid w:val="008F58C9"/>
    <w:rsid w:val="008F5F45"/>
    <w:rsid w:val="008F6F85"/>
    <w:rsid w:val="008F6FB5"/>
    <w:rsid w:val="008F7557"/>
    <w:rsid w:val="0090029C"/>
    <w:rsid w:val="009021E3"/>
    <w:rsid w:val="009022B5"/>
    <w:rsid w:val="00902387"/>
    <w:rsid w:val="009024E6"/>
    <w:rsid w:val="0090289F"/>
    <w:rsid w:val="0090380C"/>
    <w:rsid w:val="00904418"/>
    <w:rsid w:val="0090539A"/>
    <w:rsid w:val="00906B29"/>
    <w:rsid w:val="00906F87"/>
    <w:rsid w:val="0090705D"/>
    <w:rsid w:val="009111C1"/>
    <w:rsid w:val="0091299D"/>
    <w:rsid w:val="00913055"/>
    <w:rsid w:val="009140FC"/>
    <w:rsid w:val="009147F1"/>
    <w:rsid w:val="0091579A"/>
    <w:rsid w:val="0091621E"/>
    <w:rsid w:val="00916424"/>
    <w:rsid w:val="00916E6F"/>
    <w:rsid w:val="00917233"/>
    <w:rsid w:val="00917639"/>
    <w:rsid w:val="009204B8"/>
    <w:rsid w:val="00920A9F"/>
    <w:rsid w:val="00920CF7"/>
    <w:rsid w:val="009210E7"/>
    <w:rsid w:val="00921102"/>
    <w:rsid w:val="009214FF"/>
    <w:rsid w:val="00921528"/>
    <w:rsid w:val="00921AF3"/>
    <w:rsid w:val="00921C16"/>
    <w:rsid w:val="00924808"/>
    <w:rsid w:val="00925FC7"/>
    <w:rsid w:val="009262D8"/>
    <w:rsid w:val="0092666D"/>
    <w:rsid w:val="0092799C"/>
    <w:rsid w:val="00931EAA"/>
    <w:rsid w:val="00933A03"/>
    <w:rsid w:val="00934A1F"/>
    <w:rsid w:val="00937512"/>
    <w:rsid w:val="009401EA"/>
    <w:rsid w:val="0094095F"/>
    <w:rsid w:val="00941937"/>
    <w:rsid w:val="00942C8F"/>
    <w:rsid w:val="0094321F"/>
    <w:rsid w:val="00944260"/>
    <w:rsid w:val="00951F5B"/>
    <w:rsid w:val="00953613"/>
    <w:rsid w:val="00954FFD"/>
    <w:rsid w:val="00955089"/>
    <w:rsid w:val="00955A48"/>
    <w:rsid w:val="00955F4E"/>
    <w:rsid w:val="009576C1"/>
    <w:rsid w:val="0096006B"/>
    <w:rsid w:val="00960258"/>
    <w:rsid w:val="009604D5"/>
    <w:rsid w:val="009604EF"/>
    <w:rsid w:val="00960F9C"/>
    <w:rsid w:val="00961382"/>
    <w:rsid w:val="00961E1E"/>
    <w:rsid w:val="00962538"/>
    <w:rsid w:val="00962C49"/>
    <w:rsid w:val="009636D3"/>
    <w:rsid w:val="009643E7"/>
    <w:rsid w:val="00965A9D"/>
    <w:rsid w:val="009665DE"/>
    <w:rsid w:val="00970898"/>
    <w:rsid w:val="009708BC"/>
    <w:rsid w:val="00970D24"/>
    <w:rsid w:val="00970FE5"/>
    <w:rsid w:val="00971F14"/>
    <w:rsid w:val="00971FFE"/>
    <w:rsid w:val="009735DF"/>
    <w:rsid w:val="00974208"/>
    <w:rsid w:val="009756A5"/>
    <w:rsid w:val="0097629B"/>
    <w:rsid w:val="009762A6"/>
    <w:rsid w:val="00976A43"/>
    <w:rsid w:val="00977041"/>
    <w:rsid w:val="00977F1C"/>
    <w:rsid w:val="0098081C"/>
    <w:rsid w:val="00980B87"/>
    <w:rsid w:val="0098106B"/>
    <w:rsid w:val="0098167E"/>
    <w:rsid w:val="009822CB"/>
    <w:rsid w:val="00982C89"/>
    <w:rsid w:val="0098346C"/>
    <w:rsid w:val="009837CF"/>
    <w:rsid w:val="00983958"/>
    <w:rsid w:val="0098550E"/>
    <w:rsid w:val="00985AA0"/>
    <w:rsid w:val="00985F1B"/>
    <w:rsid w:val="00986CF1"/>
    <w:rsid w:val="0099076D"/>
    <w:rsid w:val="009910DF"/>
    <w:rsid w:val="009911B7"/>
    <w:rsid w:val="00991539"/>
    <w:rsid w:val="0099480A"/>
    <w:rsid w:val="009948AE"/>
    <w:rsid w:val="00995486"/>
    <w:rsid w:val="00995B97"/>
    <w:rsid w:val="009968A7"/>
    <w:rsid w:val="009971B9"/>
    <w:rsid w:val="009A00D0"/>
    <w:rsid w:val="009A0236"/>
    <w:rsid w:val="009A0CA7"/>
    <w:rsid w:val="009A34B4"/>
    <w:rsid w:val="009A3CA0"/>
    <w:rsid w:val="009A7CEF"/>
    <w:rsid w:val="009B0615"/>
    <w:rsid w:val="009B0B30"/>
    <w:rsid w:val="009B1B2A"/>
    <w:rsid w:val="009B3AB5"/>
    <w:rsid w:val="009B46AA"/>
    <w:rsid w:val="009B4DA5"/>
    <w:rsid w:val="009B7918"/>
    <w:rsid w:val="009B7BF2"/>
    <w:rsid w:val="009C0340"/>
    <w:rsid w:val="009C06BB"/>
    <w:rsid w:val="009C103B"/>
    <w:rsid w:val="009C1CC1"/>
    <w:rsid w:val="009C3B46"/>
    <w:rsid w:val="009C4826"/>
    <w:rsid w:val="009C497E"/>
    <w:rsid w:val="009C5640"/>
    <w:rsid w:val="009C5C92"/>
    <w:rsid w:val="009C5E0A"/>
    <w:rsid w:val="009C63BD"/>
    <w:rsid w:val="009C6956"/>
    <w:rsid w:val="009C696E"/>
    <w:rsid w:val="009C6E08"/>
    <w:rsid w:val="009C6FC1"/>
    <w:rsid w:val="009C7684"/>
    <w:rsid w:val="009C7CA1"/>
    <w:rsid w:val="009D12C9"/>
    <w:rsid w:val="009D19DE"/>
    <w:rsid w:val="009D31C9"/>
    <w:rsid w:val="009D3556"/>
    <w:rsid w:val="009D39BA"/>
    <w:rsid w:val="009D4913"/>
    <w:rsid w:val="009D6020"/>
    <w:rsid w:val="009D6AD6"/>
    <w:rsid w:val="009D746E"/>
    <w:rsid w:val="009D79C0"/>
    <w:rsid w:val="009E01A5"/>
    <w:rsid w:val="009E0F3C"/>
    <w:rsid w:val="009E18E8"/>
    <w:rsid w:val="009E20E3"/>
    <w:rsid w:val="009E3149"/>
    <w:rsid w:val="009E3807"/>
    <w:rsid w:val="009E3BA8"/>
    <w:rsid w:val="009E4486"/>
    <w:rsid w:val="009E5693"/>
    <w:rsid w:val="009E605B"/>
    <w:rsid w:val="009E63E2"/>
    <w:rsid w:val="009E649B"/>
    <w:rsid w:val="009E795C"/>
    <w:rsid w:val="009F0222"/>
    <w:rsid w:val="009F06A5"/>
    <w:rsid w:val="009F0B36"/>
    <w:rsid w:val="009F19F4"/>
    <w:rsid w:val="009F25AE"/>
    <w:rsid w:val="009F2C20"/>
    <w:rsid w:val="009F3B4B"/>
    <w:rsid w:val="009F4AAD"/>
    <w:rsid w:val="009F4CDB"/>
    <w:rsid w:val="009F4D98"/>
    <w:rsid w:val="009F55E0"/>
    <w:rsid w:val="009F63E2"/>
    <w:rsid w:val="009F777F"/>
    <w:rsid w:val="00A0086D"/>
    <w:rsid w:val="00A0090A"/>
    <w:rsid w:val="00A016C0"/>
    <w:rsid w:val="00A01B64"/>
    <w:rsid w:val="00A01EDC"/>
    <w:rsid w:val="00A02D1D"/>
    <w:rsid w:val="00A03FE7"/>
    <w:rsid w:val="00A0406A"/>
    <w:rsid w:val="00A041E5"/>
    <w:rsid w:val="00A04C47"/>
    <w:rsid w:val="00A05595"/>
    <w:rsid w:val="00A06511"/>
    <w:rsid w:val="00A07A10"/>
    <w:rsid w:val="00A10029"/>
    <w:rsid w:val="00A11AFD"/>
    <w:rsid w:val="00A12C67"/>
    <w:rsid w:val="00A141BE"/>
    <w:rsid w:val="00A146E7"/>
    <w:rsid w:val="00A146FF"/>
    <w:rsid w:val="00A1782A"/>
    <w:rsid w:val="00A20110"/>
    <w:rsid w:val="00A224ED"/>
    <w:rsid w:val="00A24F18"/>
    <w:rsid w:val="00A257F1"/>
    <w:rsid w:val="00A259BF"/>
    <w:rsid w:val="00A2654B"/>
    <w:rsid w:val="00A27C41"/>
    <w:rsid w:val="00A27FAA"/>
    <w:rsid w:val="00A31102"/>
    <w:rsid w:val="00A341D5"/>
    <w:rsid w:val="00A343C3"/>
    <w:rsid w:val="00A34435"/>
    <w:rsid w:val="00A36943"/>
    <w:rsid w:val="00A36CC3"/>
    <w:rsid w:val="00A40022"/>
    <w:rsid w:val="00A405E1"/>
    <w:rsid w:val="00A4064A"/>
    <w:rsid w:val="00A408CA"/>
    <w:rsid w:val="00A40E5F"/>
    <w:rsid w:val="00A4390E"/>
    <w:rsid w:val="00A43F12"/>
    <w:rsid w:val="00A43FBC"/>
    <w:rsid w:val="00A44905"/>
    <w:rsid w:val="00A44CB7"/>
    <w:rsid w:val="00A45260"/>
    <w:rsid w:val="00A4747A"/>
    <w:rsid w:val="00A4753C"/>
    <w:rsid w:val="00A4761C"/>
    <w:rsid w:val="00A4797D"/>
    <w:rsid w:val="00A5196D"/>
    <w:rsid w:val="00A53C42"/>
    <w:rsid w:val="00A54B00"/>
    <w:rsid w:val="00A54B55"/>
    <w:rsid w:val="00A54CA4"/>
    <w:rsid w:val="00A561A9"/>
    <w:rsid w:val="00A57462"/>
    <w:rsid w:val="00A57949"/>
    <w:rsid w:val="00A60298"/>
    <w:rsid w:val="00A61270"/>
    <w:rsid w:val="00A62C8B"/>
    <w:rsid w:val="00A638D7"/>
    <w:rsid w:val="00A63FEC"/>
    <w:rsid w:val="00A66EE6"/>
    <w:rsid w:val="00A6703F"/>
    <w:rsid w:val="00A67DEF"/>
    <w:rsid w:val="00A70145"/>
    <w:rsid w:val="00A70319"/>
    <w:rsid w:val="00A70A45"/>
    <w:rsid w:val="00A71F92"/>
    <w:rsid w:val="00A73865"/>
    <w:rsid w:val="00A73EAB"/>
    <w:rsid w:val="00A744BB"/>
    <w:rsid w:val="00A74B5B"/>
    <w:rsid w:val="00A74CED"/>
    <w:rsid w:val="00A754F3"/>
    <w:rsid w:val="00A756A1"/>
    <w:rsid w:val="00A7617D"/>
    <w:rsid w:val="00A77791"/>
    <w:rsid w:val="00A77A1C"/>
    <w:rsid w:val="00A80DA7"/>
    <w:rsid w:val="00A812AD"/>
    <w:rsid w:val="00A8156F"/>
    <w:rsid w:val="00A82496"/>
    <w:rsid w:val="00A827D7"/>
    <w:rsid w:val="00A82924"/>
    <w:rsid w:val="00A82BEB"/>
    <w:rsid w:val="00A83B9E"/>
    <w:rsid w:val="00A840B7"/>
    <w:rsid w:val="00A84280"/>
    <w:rsid w:val="00A84294"/>
    <w:rsid w:val="00A84801"/>
    <w:rsid w:val="00A84EDA"/>
    <w:rsid w:val="00A8515E"/>
    <w:rsid w:val="00A86183"/>
    <w:rsid w:val="00A864C6"/>
    <w:rsid w:val="00A86915"/>
    <w:rsid w:val="00A87661"/>
    <w:rsid w:val="00A87B5B"/>
    <w:rsid w:val="00A91A6D"/>
    <w:rsid w:val="00A92094"/>
    <w:rsid w:val="00A92692"/>
    <w:rsid w:val="00A92862"/>
    <w:rsid w:val="00A92885"/>
    <w:rsid w:val="00A93858"/>
    <w:rsid w:val="00A93955"/>
    <w:rsid w:val="00A9423D"/>
    <w:rsid w:val="00A94353"/>
    <w:rsid w:val="00A9445F"/>
    <w:rsid w:val="00A944DA"/>
    <w:rsid w:val="00A947BD"/>
    <w:rsid w:val="00A94AA4"/>
    <w:rsid w:val="00A9536F"/>
    <w:rsid w:val="00A95783"/>
    <w:rsid w:val="00A973EC"/>
    <w:rsid w:val="00A97BD1"/>
    <w:rsid w:val="00AA200D"/>
    <w:rsid w:val="00AA2D03"/>
    <w:rsid w:val="00AA3A21"/>
    <w:rsid w:val="00AA3A5C"/>
    <w:rsid w:val="00AA429B"/>
    <w:rsid w:val="00AA470C"/>
    <w:rsid w:val="00AA48F1"/>
    <w:rsid w:val="00AA578D"/>
    <w:rsid w:val="00AA70DA"/>
    <w:rsid w:val="00AA73E0"/>
    <w:rsid w:val="00AA74EA"/>
    <w:rsid w:val="00AB057E"/>
    <w:rsid w:val="00AB1D10"/>
    <w:rsid w:val="00AB1E63"/>
    <w:rsid w:val="00AB2710"/>
    <w:rsid w:val="00AB4186"/>
    <w:rsid w:val="00AB5243"/>
    <w:rsid w:val="00AB5690"/>
    <w:rsid w:val="00AB67C3"/>
    <w:rsid w:val="00AC1752"/>
    <w:rsid w:val="00AC1902"/>
    <w:rsid w:val="00AC1C16"/>
    <w:rsid w:val="00AC21CC"/>
    <w:rsid w:val="00AC3455"/>
    <w:rsid w:val="00AC365C"/>
    <w:rsid w:val="00AC390B"/>
    <w:rsid w:val="00AC476C"/>
    <w:rsid w:val="00AC477F"/>
    <w:rsid w:val="00AC5549"/>
    <w:rsid w:val="00AC5ABD"/>
    <w:rsid w:val="00AC6F37"/>
    <w:rsid w:val="00AC6FBF"/>
    <w:rsid w:val="00AC730D"/>
    <w:rsid w:val="00AD1224"/>
    <w:rsid w:val="00AD213F"/>
    <w:rsid w:val="00AD2511"/>
    <w:rsid w:val="00AD2FE1"/>
    <w:rsid w:val="00AD340A"/>
    <w:rsid w:val="00AD3515"/>
    <w:rsid w:val="00AD415A"/>
    <w:rsid w:val="00AD43EB"/>
    <w:rsid w:val="00AD5E6A"/>
    <w:rsid w:val="00AD6034"/>
    <w:rsid w:val="00AD695A"/>
    <w:rsid w:val="00AD6A79"/>
    <w:rsid w:val="00AD70B6"/>
    <w:rsid w:val="00AE1954"/>
    <w:rsid w:val="00AE2194"/>
    <w:rsid w:val="00AE3EE0"/>
    <w:rsid w:val="00AE4E7A"/>
    <w:rsid w:val="00AE502E"/>
    <w:rsid w:val="00AE5919"/>
    <w:rsid w:val="00AE6464"/>
    <w:rsid w:val="00AE6998"/>
    <w:rsid w:val="00AE76CE"/>
    <w:rsid w:val="00AE79BC"/>
    <w:rsid w:val="00AE7E1E"/>
    <w:rsid w:val="00AF197C"/>
    <w:rsid w:val="00AF1B18"/>
    <w:rsid w:val="00AF22F4"/>
    <w:rsid w:val="00AF4077"/>
    <w:rsid w:val="00AF4644"/>
    <w:rsid w:val="00AF5576"/>
    <w:rsid w:val="00AF5F0A"/>
    <w:rsid w:val="00AF6484"/>
    <w:rsid w:val="00AF7315"/>
    <w:rsid w:val="00B025AF"/>
    <w:rsid w:val="00B066BB"/>
    <w:rsid w:val="00B06A46"/>
    <w:rsid w:val="00B0773D"/>
    <w:rsid w:val="00B07C7C"/>
    <w:rsid w:val="00B10EC5"/>
    <w:rsid w:val="00B1126A"/>
    <w:rsid w:val="00B1158E"/>
    <w:rsid w:val="00B11A36"/>
    <w:rsid w:val="00B11E36"/>
    <w:rsid w:val="00B13A2C"/>
    <w:rsid w:val="00B13C57"/>
    <w:rsid w:val="00B14862"/>
    <w:rsid w:val="00B1494A"/>
    <w:rsid w:val="00B165D3"/>
    <w:rsid w:val="00B174A0"/>
    <w:rsid w:val="00B175D3"/>
    <w:rsid w:val="00B20652"/>
    <w:rsid w:val="00B20FF8"/>
    <w:rsid w:val="00B226C2"/>
    <w:rsid w:val="00B22CD8"/>
    <w:rsid w:val="00B22F2B"/>
    <w:rsid w:val="00B24317"/>
    <w:rsid w:val="00B25660"/>
    <w:rsid w:val="00B257F4"/>
    <w:rsid w:val="00B30C36"/>
    <w:rsid w:val="00B335AF"/>
    <w:rsid w:val="00B33E27"/>
    <w:rsid w:val="00B344C3"/>
    <w:rsid w:val="00B34943"/>
    <w:rsid w:val="00B34BDC"/>
    <w:rsid w:val="00B34D78"/>
    <w:rsid w:val="00B34F0E"/>
    <w:rsid w:val="00B3582C"/>
    <w:rsid w:val="00B35F81"/>
    <w:rsid w:val="00B37D13"/>
    <w:rsid w:val="00B37E7A"/>
    <w:rsid w:val="00B37E87"/>
    <w:rsid w:val="00B403B9"/>
    <w:rsid w:val="00B4107D"/>
    <w:rsid w:val="00B41217"/>
    <w:rsid w:val="00B41A92"/>
    <w:rsid w:val="00B432F2"/>
    <w:rsid w:val="00B4506D"/>
    <w:rsid w:val="00B460EB"/>
    <w:rsid w:val="00B46268"/>
    <w:rsid w:val="00B47C09"/>
    <w:rsid w:val="00B51117"/>
    <w:rsid w:val="00B522C9"/>
    <w:rsid w:val="00B5398D"/>
    <w:rsid w:val="00B549DB"/>
    <w:rsid w:val="00B55C85"/>
    <w:rsid w:val="00B55E8E"/>
    <w:rsid w:val="00B56534"/>
    <w:rsid w:val="00B56CA2"/>
    <w:rsid w:val="00B5741D"/>
    <w:rsid w:val="00B57D19"/>
    <w:rsid w:val="00B6022A"/>
    <w:rsid w:val="00B60EAA"/>
    <w:rsid w:val="00B61A86"/>
    <w:rsid w:val="00B6292D"/>
    <w:rsid w:val="00B63687"/>
    <w:rsid w:val="00B638C6"/>
    <w:rsid w:val="00B6395D"/>
    <w:rsid w:val="00B642F3"/>
    <w:rsid w:val="00B644B4"/>
    <w:rsid w:val="00B64CBF"/>
    <w:rsid w:val="00B66958"/>
    <w:rsid w:val="00B70015"/>
    <w:rsid w:val="00B70292"/>
    <w:rsid w:val="00B70F1E"/>
    <w:rsid w:val="00B7161F"/>
    <w:rsid w:val="00B74976"/>
    <w:rsid w:val="00B74B70"/>
    <w:rsid w:val="00B81450"/>
    <w:rsid w:val="00B81C57"/>
    <w:rsid w:val="00B81F6B"/>
    <w:rsid w:val="00B82E6C"/>
    <w:rsid w:val="00B85756"/>
    <w:rsid w:val="00B86218"/>
    <w:rsid w:val="00B87F3F"/>
    <w:rsid w:val="00B903AE"/>
    <w:rsid w:val="00B9050D"/>
    <w:rsid w:val="00B92F52"/>
    <w:rsid w:val="00B957C3"/>
    <w:rsid w:val="00B96427"/>
    <w:rsid w:val="00B96C54"/>
    <w:rsid w:val="00B97719"/>
    <w:rsid w:val="00BA07C7"/>
    <w:rsid w:val="00BA0D6B"/>
    <w:rsid w:val="00BA19D0"/>
    <w:rsid w:val="00BA2306"/>
    <w:rsid w:val="00BA2B11"/>
    <w:rsid w:val="00BA2C64"/>
    <w:rsid w:val="00BA4394"/>
    <w:rsid w:val="00BA56F8"/>
    <w:rsid w:val="00BA6150"/>
    <w:rsid w:val="00BA6284"/>
    <w:rsid w:val="00BA6EC9"/>
    <w:rsid w:val="00BA771A"/>
    <w:rsid w:val="00BA7D92"/>
    <w:rsid w:val="00BB0272"/>
    <w:rsid w:val="00BB0CA1"/>
    <w:rsid w:val="00BB1046"/>
    <w:rsid w:val="00BB18B8"/>
    <w:rsid w:val="00BB4932"/>
    <w:rsid w:val="00BB50BB"/>
    <w:rsid w:val="00BB578E"/>
    <w:rsid w:val="00BB59E0"/>
    <w:rsid w:val="00BB6352"/>
    <w:rsid w:val="00BB7234"/>
    <w:rsid w:val="00BC0167"/>
    <w:rsid w:val="00BC0407"/>
    <w:rsid w:val="00BC16DF"/>
    <w:rsid w:val="00BC20FC"/>
    <w:rsid w:val="00BC5600"/>
    <w:rsid w:val="00BC6667"/>
    <w:rsid w:val="00BC680F"/>
    <w:rsid w:val="00BC799F"/>
    <w:rsid w:val="00BD00D9"/>
    <w:rsid w:val="00BD04E0"/>
    <w:rsid w:val="00BD071C"/>
    <w:rsid w:val="00BD0BF9"/>
    <w:rsid w:val="00BD1932"/>
    <w:rsid w:val="00BD206E"/>
    <w:rsid w:val="00BD2D45"/>
    <w:rsid w:val="00BD3F0B"/>
    <w:rsid w:val="00BD4A46"/>
    <w:rsid w:val="00BD51EF"/>
    <w:rsid w:val="00BD52B3"/>
    <w:rsid w:val="00BE0F3F"/>
    <w:rsid w:val="00BE117C"/>
    <w:rsid w:val="00BE1DE8"/>
    <w:rsid w:val="00BE21D5"/>
    <w:rsid w:val="00BE2FF9"/>
    <w:rsid w:val="00BE306F"/>
    <w:rsid w:val="00BE3B64"/>
    <w:rsid w:val="00BE4000"/>
    <w:rsid w:val="00BE43E5"/>
    <w:rsid w:val="00BE4DA0"/>
    <w:rsid w:val="00BE65C7"/>
    <w:rsid w:val="00BE679D"/>
    <w:rsid w:val="00BF0406"/>
    <w:rsid w:val="00BF0AA0"/>
    <w:rsid w:val="00BF0C18"/>
    <w:rsid w:val="00BF1E19"/>
    <w:rsid w:val="00BF26BC"/>
    <w:rsid w:val="00BF2A3C"/>
    <w:rsid w:val="00BF3423"/>
    <w:rsid w:val="00BF5AC5"/>
    <w:rsid w:val="00BF7237"/>
    <w:rsid w:val="00BF7B56"/>
    <w:rsid w:val="00BF7FE6"/>
    <w:rsid w:val="00C007C9"/>
    <w:rsid w:val="00C00912"/>
    <w:rsid w:val="00C00BFB"/>
    <w:rsid w:val="00C00FE5"/>
    <w:rsid w:val="00C020E9"/>
    <w:rsid w:val="00C02981"/>
    <w:rsid w:val="00C03DB8"/>
    <w:rsid w:val="00C04BA9"/>
    <w:rsid w:val="00C05FF9"/>
    <w:rsid w:val="00C075A1"/>
    <w:rsid w:val="00C07664"/>
    <w:rsid w:val="00C10228"/>
    <w:rsid w:val="00C10547"/>
    <w:rsid w:val="00C10829"/>
    <w:rsid w:val="00C10F19"/>
    <w:rsid w:val="00C11B90"/>
    <w:rsid w:val="00C11C66"/>
    <w:rsid w:val="00C12B21"/>
    <w:rsid w:val="00C153C2"/>
    <w:rsid w:val="00C175A3"/>
    <w:rsid w:val="00C17D05"/>
    <w:rsid w:val="00C218B2"/>
    <w:rsid w:val="00C21D05"/>
    <w:rsid w:val="00C233E8"/>
    <w:rsid w:val="00C23ED3"/>
    <w:rsid w:val="00C2439E"/>
    <w:rsid w:val="00C24DD2"/>
    <w:rsid w:val="00C24E57"/>
    <w:rsid w:val="00C25070"/>
    <w:rsid w:val="00C25261"/>
    <w:rsid w:val="00C26BE7"/>
    <w:rsid w:val="00C27206"/>
    <w:rsid w:val="00C274A1"/>
    <w:rsid w:val="00C30088"/>
    <w:rsid w:val="00C30216"/>
    <w:rsid w:val="00C315C4"/>
    <w:rsid w:val="00C32CD1"/>
    <w:rsid w:val="00C32D6E"/>
    <w:rsid w:val="00C32DFF"/>
    <w:rsid w:val="00C344A6"/>
    <w:rsid w:val="00C35607"/>
    <w:rsid w:val="00C35A19"/>
    <w:rsid w:val="00C35BF6"/>
    <w:rsid w:val="00C37FA0"/>
    <w:rsid w:val="00C40120"/>
    <w:rsid w:val="00C40E1B"/>
    <w:rsid w:val="00C415BF"/>
    <w:rsid w:val="00C41727"/>
    <w:rsid w:val="00C418A6"/>
    <w:rsid w:val="00C4197B"/>
    <w:rsid w:val="00C42F6A"/>
    <w:rsid w:val="00C4460C"/>
    <w:rsid w:val="00C44A67"/>
    <w:rsid w:val="00C44A85"/>
    <w:rsid w:val="00C44A89"/>
    <w:rsid w:val="00C4543F"/>
    <w:rsid w:val="00C4618B"/>
    <w:rsid w:val="00C47A96"/>
    <w:rsid w:val="00C50FBD"/>
    <w:rsid w:val="00C5179E"/>
    <w:rsid w:val="00C5187F"/>
    <w:rsid w:val="00C51964"/>
    <w:rsid w:val="00C52EF2"/>
    <w:rsid w:val="00C53211"/>
    <w:rsid w:val="00C5338C"/>
    <w:rsid w:val="00C53992"/>
    <w:rsid w:val="00C54979"/>
    <w:rsid w:val="00C559CA"/>
    <w:rsid w:val="00C56564"/>
    <w:rsid w:val="00C568A9"/>
    <w:rsid w:val="00C56B1B"/>
    <w:rsid w:val="00C57586"/>
    <w:rsid w:val="00C5796E"/>
    <w:rsid w:val="00C60EC6"/>
    <w:rsid w:val="00C61310"/>
    <w:rsid w:val="00C63734"/>
    <w:rsid w:val="00C639B1"/>
    <w:rsid w:val="00C64226"/>
    <w:rsid w:val="00C6535E"/>
    <w:rsid w:val="00C65692"/>
    <w:rsid w:val="00C65E2C"/>
    <w:rsid w:val="00C6607A"/>
    <w:rsid w:val="00C66259"/>
    <w:rsid w:val="00C666AB"/>
    <w:rsid w:val="00C66FEC"/>
    <w:rsid w:val="00C6772C"/>
    <w:rsid w:val="00C67967"/>
    <w:rsid w:val="00C711C2"/>
    <w:rsid w:val="00C71685"/>
    <w:rsid w:val="00C727C3"/>
    <w:rsid w:val="00C730FF"/>
    <w:rsid w:val="00C757D2"/>
    <w:rsid w:val="00C75A25"/>
    <w:rsid w:val="00C764B5"/>
    <w:rsid w:val="00C769EE"/>
    <w:rsid w:val="00C76B0C"/>
    <w:rsid w:val="00C76D52"/>
    <w:rsid w:val="00C80FEA"/>
    <w:rsid w:val="00C82628"/>
    <w:rsid w:val="00C83265"/>
    <w:rsid w:val="00C83838"/>
    <w:rsid w:val="00C83F67"/>
    <w:rsid w:val="00C8679E"/>
    <w:rsid w:val="00C86802"/>
    <w:rsid w:val="00C87956"/>
    <w:rsid w:val="00C87EF5"/>
    <w:rsid w:val="00C90DA2"/>
    <w:rsid w:val="00C9185F"/>
    <w:rsid w:val="00C921C4"/>
    <w:rsid w:val="00C9321F"/>
    <w:rsid w:val="00C93578"/>
    <w:rsid w:val="00C93679"/>
    <w:rsid w:val="00C9418A"/>
    <w:rsid w:val="00C94286"/>
    <w:rsid w:val="00C94305"/>
    <w:rsid w:val="00C945A2"/>
    <w:rsid w:val="00C95963"/>
    <w:rsid w:val="00C95CBE"/>
    <w:rsid w:val="00C96630"/>
    <w:rsid w:val="00C96DF4"/>
    <w:rsid w:val="00C97CE6"/>
    <w:rsid w:val="00CA130F"/>
    <w:rsid w:val="00CA1D9C"/>
    <w:rsid w:val="00CA2D01"/>
    <w:rsid w:val="00CA4B5E"/>
    <w:rsid w:val="00CA6C4A"/>
    <w:rsid w:val="00CA7441"/>
    <w:rsid w:val="00CA7FE0"/>
    <w:rsid w:val="00CB0767"/>
    <w:rsid w:val="00CB1166"/>
    <w:rsid w:val="00CB135E"/>
    <w:rsid w:val="00CB19FC"/>
    <w:rsid w:val="00CB22AA"/>
    <w:rsid w:val="00CB30FF"/>
    <w:rsid w:val="00CB3F92"/>
    <w:rsid w:val="00CB430F"/>
    <w:rsid w:val="00CB5443"/>
    <w:rsid w:val="00CB597D"/>
    <w:rsid w:val="00CB72AF"/>
    <w:rsid w:val="00CB7FB5"/>
    <w:rsid w:val="00CC0DE5"/>
    <w:rsid w:val="00CC1C8C"/>
    <w:rsid w:val="00CC2746"/>
    <w:rsid w:val="00CC2A59"/>
    <w:rsid w:val="00CC39A8"/>
    <w:rsid w:val="00CC4514"/>
    <w:rsid w:val="00CC4970"/>
    <w:rsid w:val="00CC79A5"/>
    <w:rsid w:val="00CC7DA7"/>
    <w:rsid w:val="00CD277A"/>
    <w:rsid w:val="00CD4137"/>
    <w:rsid w:val="00CD4F84"/>
    <w:rsid w:val="00CD59FA"/>
    <w:rsid w:val="00CD6216"/>
    <w:rsid w:val="00CD6A46"/>
    <w:rsid w:val="00CD6E60"/>
    <w:rsid w:val="00CE0404"/>
    <w:rsid w:val="00CE141B"/>
    <w:rsid w:val="00CE1723"/>
    <w:rsid w:val="00CE37B8"/>
    <w:rsid w:val="00CE397E"/>
    <w:rsid w:val="00CE3992"/>
    <w:rsid w:val="00CE5052"/>
    <w:rsid w:val="00CE5C30"/>
    <w:rsid w:val="00CE65C4"/>
    <w:rsid w:val="00CE6A6A"/>
    <w:rsid w:val="00CE6D00"/>
    <w:rsid w:val="00CF06FF"/>
    <w:rsid w:val="00CF0895"/>
    <w:rsid w:val="00CF104F"/>
    <w:rsid w:val="00CF1354"/>
    <w:rsid w:val="00CF1A51"/>
    <w:rsid w:val="00CF1C0F"/>
    <w:rsid w:val="00CF20BB"/>
    <w:rsid w:val="00CF217F"/>
    <w:rsid w:val="00CF3275"/>
    <w:rsid w:val="00CF59AA"/>
    <w:rsid w:val="00CF7037"/>
    <w:rsid w:val="00CF72E7"/>
    <w:rsid w:val="00CF73D3"/>
    <w:rsid w:val="00CF7BA4"/>
    <w:rsid w:val="00D0052B"/>
    <w:rsid w:val="00D0149F"/>
    <w:rsid w:val="00D0221C"/>
    <w:rsid w:val="00D0262A"/>
    <w:rsid w:val="00D02681"/>
    <w:rsid w:val="00D02696"/>
    <w:rsid w:val="00D0440B"/>
    <w:rsid w:val="00D05020"/>
    <w:rsid w:val="00D053B5"/>
    <w:rsid w:val="00D06887"/>
    <w:rsid w:val="00D07657"/>
    <w:rsid w:val="00D1020D"/>
    <w:rsid w:val="00D10255"/>
    <w:rsid w:val="00D104D5"/>
    <w:rsid w:val="00D10916"/>
    <w:rsid w:val="00D11D6F"/>
    <w:rsid w:val="00D12A16"/>
    <w:rsid w:val="00D12C88"/>
    <w:rsid w:val="00D12F0F"/>
    <w:rsid w:val="00D13A38"/>
    <w:rsid w:val="00D13C06"/>
    <w:rsid w:val="00D1593A"/>
    <w:rsid w:val="00D15E42"/>
    <w:rsid w:val="00D16D6B"/>
    <w:rsid w:val="00D205F0"/>
    <w:rsid w:val="00D207D9"/>
    <w:rsid w:val="00D216B5"/>
    <w:rsid w:val="00D2347D"/>
    <w:rsid w:val="00D2362C"/>
    <w:rsid w:val="00D25447"/>
    <w:rsid w:val="00D2636B"/>
    <w:rsid w:val="00D26767"/>
    <w:rsid w:val="00D27965"/>
    <w:rsid w:val="00D30785"/>
    <w:rsid w:val="00D31735"/>
    <w:rsid w:val="00D31C74"/>
    <w:rsid w:val="00D32C05"/>
    <w:rsid w:val="00D337A1"/>
    <w:rsid w:val="00D3427B"/>
    <w:rsid w:val="00D350F2"/>
    <w:rsid w:val="00D35927"/>
    <w:rsid w:val="00D35F9B"/>
    <w:rsid w:val="00D37525"/>
    <w:rsid w:val="00D4114C"/>
    <w:rsid w:val="00D41F9A"/>
    <w:rsid w:val="00D43F80"/>
    <w:rsid w:val="00D44DA2"/>
    <w:rsid w:val="00D45FA9"/>
    <w:rsid w:val="00D46DD0"/>
    <w:rsid w:val="00D47BA5"/>
    <w:rsid w:val="00D503F0"/>
    <w:rsid w:val="00D50CF8"/>
    <w:rsid w:val="00D50E49"/>
    <w:rsid w:val="00D510CA"/>
    <w:rsid w:val="00D51335"/>
    <w:rsid w:val="00D519D9"/>
    <w:rsid w:val="00D51A32"/>
    <w:rsid w:val="00D51ADF"/>
    <w:rsid w:val="00D53C64"/>
    <w:rsid w:val="00D554A2"/>
    <w:rsid w:val="00D57276"/>
    <w:rsid w:val="00D572A9"/>
    <w:rsid w:val="00D577E4"/>
    <w:rsid w:val="00D5791E"/>
    <w:rsid w:val="00D57A41"/>
    <w:rsid w:val="00D60071"/>
    <w:rsid w:val="00D611AB"/>
    <w:rsid w:val="00D617A6"/>
    <w:rsid w:val="00D627D7"/>
    <w:rsid w:val="00D62BBF"/>
    <w:rsid w:val="00D63912"/>
    <w:rsid w:val="00D63FDE"/>
    <w:rsid w:val="00D64202"/>
    <w:rsid w:val="00D64E4A"/>
    <w:rsid w:val="00D658F2"/>
    <w:rsid w:val="00D669C5"/>
    <w:rsid w:val="00D66B18"/>
    <w:rsid w:val="00D66F27"/>
    <w:rsid w:val="00D71263"/>
    <w:rsid w:val="00D72526"/>
    <w:rsid w:val="00D7298F"/>
    <w:rsid w:val="00D730D8"/>
    <w:rsid w:val="00D73221"/>
    <w:rsid w:val="00D734C2"/>
    <w:rsid w:val="00D73C49"/>
    <w:rsid w:val="00D73EF2"/>
    <w:rsid w:val="00D74532"/>
    <w:rsid w:val="00D74A40"/>
    <w:rsid w:val="00D74EF2"/>
    <w:rsid w:val="00D75B4F"/>
    <w:rsid w:val="00D760B6"/>
    <w:rsid w:val="00D76DE6"/>
    <w:rsid w:val="00D76FDE"/>
    <w:rsid w:val="00D773AE"/>
    <w:rsid w:val="00D8009E"/>
    <w:rsid w:val="00D80CA6"/>
    <w:rsid w:val="00D8103E"/>
    <w:rsid w:val="00D81087"/>
    <w:rsid w:val="00D81F12"/>
    <w:rsid w:val="00D81FAE"/>
    <w:rsid w:val="00D827A1"/>
    <w:rsid w:val="00D829B9"/>
    <w:rsid w:val="00D846F6"/>
    <w:rsid w:val="00D90B04"/>
    <w:rsid w:val="00D90C5A"/>
    <w:rsid w:val="00D90D4F"/>
    <w:rsid w:val="00D91065"/>
    <w:rsid w:val="00D91AB3"/>
    <w:rsid w:val="00D91EF7"/>
    <w:rsid w:val="00D91F77"/>
    <w:rsid w:val="00D95370"/>
    <w:rsid w:val="00D9659C"/>
    <w:rsid w:val="00D96799"/>
    <w:rsid w:val="00D9684D"/>
    <w:rsid w:val="00DA1151"/>
    <w:rsid w:val="00DA332A"/>
    <w:rsid w:val="00DA3E79"/>
    <w:rsid w:val="00DA448A"/>
    <w:rsid w:val="00DA44D8"/>
    <w:rsid w:val="00DA4E98"/>
    <w:rsid w:val="00DA4EDE"/>
    <w:rsid w:val="00DA54D2"/>
    <w:rsid w:val="00DB1558"/>
    <w:rsid w:val="00DB1787"/>
    <w:rsid w:val="00DB1F52"/>
    <w:rsid w:val="00DB2494"/>
    <w:rsid w:val="00DB3E89"/>
    <w:rsid w:val="00DB49A1"/>
    <w:rsid w:val="00DB599A"/>
    <w:rsid w:val="00DB5A08"/>
    <w:rsid w:val="00DB65CA"/>
    <w:rsid w:val="00DB6B7E"/>
    <w:rsid w:val="00DB748E"/>
    <w:rsid w:val="00DB74FC"/>
    <w:rsid w:val="00DC1C63"/>
    <w:rsid w:val="00DC22F9"/>
    <w:rsid w:val="00DC236D"/>
    <w:rsid w:val="00DC2810"/>
    <w:rsid w:val="00DC43B9"/>
    <w:rsid w:val="00DC516F"/>
    <w:rsid w:val="00DC5340"/>
    <w:rsid w:val="00DC554D"/>
    <w:rsid w:val="00DC57A4"/>
    <w:rsid w:val="00DC6604"/>
    <w:rsid w:val="00DC6D17"/>
    <w:rsid w:val="00DC71F7"/>
    <w:rsid w:val="00DD197E"/>
    <w:rsid w:val="00DD20CD"/>
    <w:rsid w:val="00DD210C"/>
    <w:rsid w:val="00DD267B"/>
    <w:rsid w:val="00DD37E7"/>
    <w:rsid w:val="00DD3B1C"/>
    <w:rsid w:val="00DD3FB4"/>
    <w:rsid w:val="00DD5620"/>
    <w:rsid w:val="00DD6133"/>
    <w:rsid w:val="00DD71B1"/>
    <w:rsid w:val="00DE10A5"/>
    <w:rsid w:val="00DE1738"/>
    <w:rsid w:val="00DE183A"/>
    <w:rsid w:val="00DE279C"/>
    <w:rsid w:val="00DE3315"/>
    <w:rsid w:val="00DE3C09"/>
    <w:rsid w:val="00DE3C1C"/>
    <w:rsid w:val="00DE5E7A"/>
    <w:rsid w:val="00DE6004"/>
    <w:rsid w:val="00DE603D"/>
    <w:rsid w:val="00DE61B8"/>
    <w:rsid w:val="00DE72D5"/>
    <w:rsid w:val="00DE7660"/>
    <w:rsid w:val="00DE78B1"/>
    <w:rsid w:val="00DE7D2C"/>
    <w:rsid w:val="00DE7F9F"/>
    <w:rsid w:val="00DF0A61"/>
    <w:rsid w:val="00DF0AD5"/>
    <w:rsid w:val="00DF15F3"/>
    <w:rsid w:val="00DF1EF8"/>
    <w:rsid w:val="00DF2F80"/>
    <w:rsid w:val="00DF435B"/>
    <w:rsid w:val="00DF4F0C"/>
    <w:rsid w:val="00DF53D9"/>
    <w:rsid w:val="00DF5A00"/>
    <w:rsid w:val="00DF5AEC"/>
    <w:rsid w:val="00DF6799"/>
    <w:rsid w:val="00E006D1"/>
    <w:rsid w:val="00E0080D"/>
    <w:rsid w:val="00E00C2C"/>
    <w:rsid w:val="00E0115A"/>
    <w:rsid w:val="00E020B8"/>
    <w:rsid w:val="00E0357D"/>
    <w:rsid w:val="00E03C86"/>
    <w:rsid w:val="00E0403C"/>
    <w:rsid w:val="00E04530"/>
    <w:rsid w:val="00E04DC9"/>
    <w:rsid w:val="00E05A25"/>
    <w:rsid w:val="00E06149"/>
    <w:rsid w:val="00E0697B"/>
    <w:rsid w:val="00E06B03"/>
    <w:rsid w:val="00E06C3F"/>
    <w:rsid w:val="00E07160"/>
    <w:rsid w:val="00E071C9"/>
    <w:rsid w:val="00E109CA"/>
    <w:rsid w:val="00E11BA6"/>
    <w:rsid w:val="00E126C5"/>
    <w:rsid w:val="00E1363C"/>
    <w:rsid w:val="00E13819"/>
    <w:rsid w:val="00E14932"/>
    <w:rsid w:val="00E16166"/>
    <w:rsid w:val="00E1663D"/>
    <w:rsid w:val="00E1763D"/>
    <w:rsid w:val="00E17759"/>
    <w:rsid w:val="00E203A4"/>
    <w:rsid w:val="00E21AE4"/>
    <w:rsid w:val="00E225EA"/>
    <w:rsid w:val="00E231B2"/>
    <w:rsid w:val="00E24381"/>
    <w:rsid w:val="00E24972"/>
    <w:rsid w:val="00E252C2"/>
    <w:rsid w:val="00E257C9"/>
    <w:rsid w:val="00E2724D"/>
    <w:rsid w:val="00E27DE4"/>
    <w:rsid w:val="00E27F12"/>
    <w:rsid w:val="00E323CD"/>
    <w:rsid w:val="00E32690"/>
    <w:rsid w:val="00E32CFC"/>
    <w:rsid w:val="00E32E55"/>
    <w:rsid w:val="00E3390A"/>
    <w:rsid w:val="00E33AC4"/>
    <w:rsid w:val="00E33B6F"/>
    <w:rsid w:val="00E34D3E"/>
    <w:rsid w:val="00E35CCC"/>
    <w:rsid w:val="00E370F4"/>
    <w:rsid w:val="00E377D1"/>
    <w:rsid w:val="00E42EED"/>
    <w:rsid w:val="00E4314F"/>
    <w:rsid w:val="00E444C8"/>
    <w:rsid w:val="00E449F8"/>
    <w:rsid w:val="00E46743"/>
    <w:rsid w:val="00E469BD"/>
    <w:rsid w:val="00E47062"/>
    <w:rsid w:val="00E47E78"/>
    <w:rsid w:val="00E520A1"/>
    <w:rsid w:val="00E524A7"/>
    <w:rsid w:val="00E52756"/>
    <w:rsid w:val="00E534F0"/>
    <w:rsid w:val="00E53789"/>
    <w:rsid w:val="00E53A2E"/>
    <w:rsid w:val="00E54281"/>
    <w:rsid w:val="00E54C17"/>
    <w:rsid w:val="00E55149"/>
    <w:rsid w:val="00E55838"/>
    <w:rsid w:val="00E559FD"/>
    <w:rsid w:val="00E56074"/>
    <w:rsid w:val="00E56982"/>
    <w:rsid w:val="00E56B55"/>
    <w:rsid w:val="00E56B90"/>
    <w:rsid w:val="00E60954"/>
    <w:rsid w:val="00E6154B"/>
    <w:rsid w:val="00E630BD"/>
    <w:rsid w:val="00E63C73"/>
    <w:rsid w:val="00E64253"/>
    <w:rsid w:val="00E664F9"/>
    <w:rsid w:val="00E712B8"/>
    <w:rsid w:val="00E7189F"/>
    <w:rsid w:val="00E7232B"/>
    <w:rsid w:val="00E72605"/>
    <w:rsid w:val="00E72DC7"/>
    <w:rsid w:val="00E7389E"/>
    <w:rsid w:val="00E73A0C"/>
    <w:rsid w:val="00E73CEA"/>
    <w:rsid w:val="00E73EA0"/>
    <w:rsid w:val="00E743DF"/>
    <w:rsid w:val="00E74C71"/>
    <w:rsid w:val="00E758ED"/>
    <w:rsid w:val="00E75AFE"/>
    <w:rsid w:val="00E760FD"/>
    <w:rsid w:val="00E76585"/>
    <w:rsid w:val="00E7693B"/>
    <w:rsid w:val="00E76971"/>
    <w:rsid w:val="00E7773D"/>
    <w:rsid w:val="00E81640"/>
    <w:rsid w:val="00E82F88"/>
    <w:rsid w:val="00E837B4"/>
    <w:rsid w:val="00E8397C"/>
    <w:rsid w:val="00E84E2A"/>
    <w:rsid w:val="00E84FDD"/>
    <w:rsid w:val="00E902B5"/>
    <w:rsid w:val="00E90565"/>
    <w:rsid w:val="00E90B43"/>
    <w:rsid w:val="00E90D85"/>
    <w:rsid w:val="00E91F39"/>
    <w:rsid w:val="00E9282C"/>
    <w:rsid w:val="00E93739"/>
    <w:rsid w:val="00E93B6A"/>
    <w:rsid w:val="00E95DBA"/>
    <w:rsid w:val="00E96265"/>
    <w:rsid w:val="00E96BF8"/>
    <w:rsid w:val="00E97002"/>
    <w:rsid w:val="00EA0176"/>
    <w:rsid w:val="00EA1D5B"/>
    <w:rsid w:val="00EA1D67"/>
    <w:rsid w:val="00EA4DE9"/>
    <w:rsid w:val="00EA5AE6"/>
    <w:rsid w:val="00EA6D89"/>
    <w:rsid w:val="00EA6F13"/>
    <w:rsid w:val="00EA742D"/>
    <w:rsid w:val="00EA759A"/>
    <w:rsid w:val="00EA7CC8"/>
    <w:rsid w:val="00EB04FC"/>
    <w:rsid w:val="00EB15A3"/>
    <w:rsid w:val="00EB1C7F"/>
    <w:rsid w:val="00EB455B"/>
    <w:rsid w:val="00EB58BB"/>
    <w:rsid w:val="00EB59B1"/>
    <w:rsid w:val="00EB6479"/>
    <w:rsid w:val="00EB7CAD"/>
    <w:rsid w:val="00EB7E42"/>
    <w:rsid w:val="00EC009B"/>
    <w:rsid w:val="00EC0779"/>
    <w:rsid w:val="00EC0BD1"/>
    <w:rsid w:val="00EC1EF4"/>
    <w:rsid w:val="00EC2124"/>
    <w:rsid w:val="00EC24EE"/>
    <w:rsid w:val="00EC371A"/>
    <w:rsid w:val="00EC384C"/>
    <w:rsid w:val="00EC400B"/>
    <w:rsid w:val="00EC5571"/>
    <w:rsid w:val="00EC6791"/>
    <w:rsid w:val="00EC6C24"/>
    <w:rsid w:val="00EC7DA0"/>
    <w:rsid w:val="00ED065E"/>
    <w:rsid w:val="00ED070C"/>
    <w:rsid w:val="00ED0DD4"/>
    <w:rsid w:val="00ED2199"/>
    <w:rsid w:val="00ED31F3"/>
    <w:rsid w:val="00ED45CB"/>
    <w:rsid w:val="00ED4DC2"/>
    <w:rsid w:val="00ED5D1E"/>
    <w:rsid w:val="00ED60EF"/>
    <w:rsid w:val="00ED62D5"/>
    <w:rsid w:val="00ED6A5D"/>
    <w:rsid w:val="00ED6D07"/>
    <w:rsid w:val="00ED7431"/>
    <w:rsid w:val="00ED7543"/>
    <w:rsid w:val="00EE0995"/>
    <w:rsid w:val="00EE0B84"/>
    <w:rsid w:val="00EE1DE9"/>
    <w:rsid w:val="00EE263F"/>
    <w:rsid w:val="00EE2A9B"/>
    <w:rsid w:val="00EE38E9"/>
    <w:rsid w:val="00EE457E"/>
    <w:rsid w:val="00EE4BF4"/>
    <w:rsid w:val="00EE563E"/>
    <w:rsid w:val="00EE6097"/>
    <w:rsid w:val="00EE6AE5"/>
    <w:rsid w:val="00EE6BB6"/>
    <w:rsid w:val="00EE7524"/>
    <w:rsid w:val="00EE78AE"/>
    <w:rsid w:val="00EF0BB2"/>
    <w:rsid w:val="00EF0CB3"/>
    <w:rsid w:val="00EF1406"/>
    <w:rsid w:val="00EF244B"/>
    <w:rsid w:val="00EF2903"/>
    <w:rsid w:val="00EF2D1A"/>
    <w:rsid w:val="00EF3E7A"/>
    <w:rsid w:val="00EF4ADF"/>
    <w:rsid w:val="00EF5017"/>
    <w:rsid w:val="00EF7FED"/>
    <w:rsid w:val="00F0007E"/>
    <w:rsid w:val="00F00B92"/>
    <w:rsid w:val="00F015A0"/>
    <w:rsid w:val="00F016B1"/>
    <w:rsid w:val="00F01F66"/>
    <w:rsid w:val="00F022E0"/>
    <w:rsid w:val="00F028A6"/>
    <w:rsid w:val="00F02BF1"/>
    <w:rsid w:val="00F0321D"/>
    <w:rsid w:val="00F03F6D"/>
    <w:rsid w:val="00F05018"/>
    <w:rsid w:val="00F0506B"/>
    <w:rsid w:val="00F0625F"/>
    <w:rsid w:val="00F06AC6"/>
    <w:rsid w:val="00F06E94"/>
    <w:rsid w:val="00F1024D"/>
    <w:rsid w:val="00F102E5"/>
    <w:rsid w:val="00F1115C"/>
    <w:rsid w:val="00F11CB9"/>
    <w:rsid w:val="00F129DF"/>
    <w:rsid w:val="00F13D3F"/>
    <w:rsid w:val="00F14484"/>
    <w:rsid w:val="00F14791"/>
    <w:rsid w:val="00F15642"/>
    <w:rsid w:val="00F1592E"/>
    <w:rsid w:val="00F171C5"/>
    <w:rsid w:val="00F1762D"/>
    <w:rsid w:val="00F17AAD"/>
    <w:rsid w:val="00F17C65"/>
    <w:rsid w:val="00F20BAA"/>
    <w:rsid w:val="00F227B3"/>
    <w:rsid w:val="00F23357"/>
    <w:rsid w:val="00F238C4"/>
    <w:rsid w:val="00F24E45"/>
    <w:rsid w:val="00F26D6B"/>
    <w:rsid w:val="00F26E59"/>
    <w:rsid w:val="00F2722F"/>
    <w:rsid w:val="00F27744"/>
    <w:rsid w:val="00F32367"/>
    <w:rsid w:val="00F336A6"/>
    <w:rsid w:val="00F33F4F"/>
    <w:rsid w:val="00F34F77"/>
    <w:rsid w:val="00F367F7"/>
    <w:rsid w:val="00F37AC8"/>
    <w:rsid w:val="00F40A4E"/>
    <w:rsid w:val="00F40CA4"/>
    <w:rsid w:val="00F40DA5"/>
    <w:rsid w:val="00F40DDD"/>
    <w:rsid w:val="00F40E8F"/>
    <w:rsid w:val="00F41A7C"/>
    <w:rsid w:val="00F42842"/>
    <w:rsid w:val="00F42DFA"/>
    <w:rsid w:val="00F43FD0"/>
    <w:rsid w:val="00F45571"/>
    <w:rsid w:val="00F467EC"/>
    <w:rsid w:val="00F47A13"/>
    <w:rsid w:val="00F47AEA"/>
    <w:rsid w:val="00F47C2E"/>
    <w:rsid w:val="00F47F46"/>
    <w:rsid w:val="00F50A48"/>
    <w:rsid w:val="00F526B0"/>
    <w:rsid w:val="00F5400D"/>
    <w:rsid w:val="00F54833"/>
    <w:rsid w:val="00F54E2B"/>
    <w:rsid w:val="00F54FB7"/>
    <w:rsid w:val="00F560D5"/>
    <w:rsid w:val="00F563D5"/>
    <w:rsid w:val="00F56F3F"/>
    <w:rsid w:val="00F57BC8"/>
    <w:rsid w:val="00F60617"/>
    <w:rsid w:val="00F606CE"/>
    <w:rsid w:val="00F60F55"/>
    <w:rsid w:val="00F6161D"/>
    <w:rsid w:val="00F619EB"/>
    <w:rsid w:val="00F6269E"/>
    <w:rsid w:val="00F62A79"/>
    <w:rsid w:val="00F630D4"/>
    <w:rsid w:val="00F6369D"/>
    <w:rsid w:val="00F639A4"/>
    <w:rsid w:val="00F63BD7"/>
    <w:rsid w:val="00F63FD0"/>
    <w:rsid w:val="00F64001"/>
    <w:rsid w:val="00F65825"/>
    <w:rsid w:val="00F65BD6"/>
    <w:rsid w:val="00F66392"/>
    <w:rsid w:val="00F702FA"/>
    <w:rsid w:val="00F70546"/>
    <w:rsid w:val="00F71591"/>
    <w:rsid w:val="00F720E3"/>
    <w:rsid w:val="00F72586"/>
    <w:rsid w:val="00F731D3"/>
    <w:rsid w:val="00F74967"/>
    <w:rsid w:val="00F75A4C"/>
    <w:rsid w:val="00F75B1D"/>
    <w:rsid w:val="00F75F37"/>
    <w:rsid w:val="00F77FFD"/>
    <w:rsid w:val="00F80577"/>
    <w:rsid w:val="00F80BF7"/>
    <w:rsid w:val="00F80C84"/>
    <w:rsid w:val="00F814BD"/>
    <w:rsid w:val="00F82AA7"/>
    <w:rsid w:val="00F83A0C"/>
    <w:rsid w:val="00F83CF5"/>
    <w:rsid w:val="00F8448C"/>
    <w:rsid w:val="00F84868"/>
    <w:rsid w:val="00F84E72"/>
    <w:rsid w:val="00F84FBB"/>
    <w:rsid w:val="00F8507C"/>
    <w:rsid w:val="00F851B5"/>
    <w:rsid w:val="00F85596"/>
    <w:rsid w:val="00F85AB7"/>
    <w:rsid w:val="00F85C30"/>
    <w:rsid w:val="00F86546"/>
    <w:rsid w:val="00F866F3"/>
    <w:rsid w:val="00F867A8"/>
    <w:rsid w:val="00F9190B"/>
    <w:rsid w:val="00F91EF7"/>
    <w:rsid w:val="00F93C86"/>
    <w:rsid w:val="00F93FEE"/>
    <w:rsid w:val="00F94CCB"/>
    <w:rsid w:val="00FA0F32"/>
    <w:rsid w:val="00FA1C33"/>
    <w:rsid w:val="00FA20B5"/>
    <w:rsid w:val="00FA2797"/>
    <w:rsid w:val="00FA3036"/>
    <w:rsid w:val="00FA3095"/>
    <w:rsid w:val="00FA3B8E"/>
    <w:rsid w:val="00FA3C15"/>
    <w:rsid w:val="00FA45E2"/>
    <w:rsid w:val="00FA56E8"/>
    <w:rsid w:val="00FA693C"/>
    <w:rsid w:val="00FA6FE6"/>
    <w:rsid w:val="00FA7017"/>
    <w:rsid w:val="00FA729F"/>
    <w:rsid w:val="00FB1E57"/>
    <w:rsid w:val="00FB3E81"/>
    <w:rsid w:val="00FB4262"/>
    <w:rsid w:val="00FB6738"/>
    <w:rsid w:val="00FC0964"/>
    <w:rsid w:val="00FC0D96"/>
    <w:rsid w:val="00FC224F"/>
    <w:rsid w:val="00FC3977"/>
    <w:rsid w:val="00FC4DD7"/>
    <w:rsid w:val="00FC5F5C"/>
    <w:rsid w:val="00FC701A"/>
    <w:rsid w:val="00FD0ABA"/>
    <w:rsid w:val="00FD0E0A"/>
    <w:rsid w:val="00FD2A28"/>
    <w:rsid w:val="00FD2CF2"/>
    <w:rsid w:val="00FD406C"/>
    <w:rsid w:val="00FD4606"/>
    <w:rsid w:val="00FD50F4"/>
    <w:rsid w:val="00FD5FDC"/>
    <w:rsid w:val="00FD6154"/>
    <w:rsid w:val="00FD6311"/>
    <w:rsid w:val="00FD6AAC"/>
    <w:rsid w:val="00FD7D54"/>
    <w:rsid w:val="00FE175A"/>
    <w:rsid w:val="00FE1F1D"/>
    <w:rsid w:val="00FE3837"/>
    <w:rsid w:val="00FE38B8"/>
    <w:rsid w:val="00FE5652"/>
    <w:rsid w:val="00FE5D2D"/>
    <w:rsid w:val="00FE7519"/>
    <w:rsid w:val="00FF018D"/>
    <w:rsid w:val="00FF10A7"/>
    <w:rsid w:val="00FF117A"/>
    <w:rsid w:val="00FF1333"/>
    <w:rsid w:val="00FF1ACC"/>
    <w:rsid w:val="00FF28A3"/>
    <w:rsid w:val="00FF2D38"/>
    <w:rsid w:val="00FF37F2"/>
    <w:rsid w:val="00FF4B41"/>
    <w:rsid w:val="00FF6242"/>
    <w:rsid w:val="00FF7F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3F72BD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read 2"/>
    <w:qFormat/>
    <w:rsid w:val="005067E6"/>
    <w:pPr>
      <w:autoSpaceDE w:val="0"/>
      <w:autoSpaceDN w:val="0"/>
      <w:spacing w:line="320" w:lineRule="atLeast"/>
      <w:ind w:firstLine="425"/>
      <w:jc w:val="both"/>
    </w:pPr>
    <w:rPr>
      <w:sz w:val="26"/>
      <w:szCs w:val="28"/>
      <w:lang w:val="en-GB" w:eastAsia="en-US"/>
    </w:rPr>
  </w:style>
  <w:style w:type="paragraph" w:styleId="Rubrik1">
    <w:name w:val="heading 1"/>
    <w:aliases w:val="Title"/>
    <w:basedOn w:val="Rubrik"/>
    <w:next w:val="Rubrik8"/>
    <w:qFormat/>
    <w:rsid w:val="0070249D"/>
    <w:pPr>
      <w:keepNext/>
      <w:spacing w:before="0" w:after="0"/>
      <w:ind w:firstLine="0"/>
    </w:pPr>
    <w:rPr>
      <w:rFonts w:ascii="Times New Roman" w:hAnsi="Times New Roman"/>
      <w:b w:val="0"/>
      <w:bCs w:val="0"/>
      <w:sz w:val="44"/>
    </w:rPr>
  </w:style>
  <w:style w:type="paragraph" w:styleId="Rubrik2">
    <w:name w:val="heading 2"/>
    <w:aliases w:val="Head 1"/>
    <w:basedOn w:val="Rubrik"/>
    <w:next w:val="Brdtext"/>
    <w:qFormat/>
    <w:rsid w:val="0070249D"/>
    <w:pPr>
      <w:keepNext/>
      <w:spacing w:before="360" w:after="0"/>
      <w:ind w:firstLine="0"/>
      <w:jc w:val="left"/>
      <w:outlineLvl w:val="1"/>
    </w:pPr>
    <w:rPr>
      <w:rFonts w:ascii="Times New Roman" w:hAnsi="Times New Roman"/>
      <w:bCs w:val="0"/>
      <w:sz w:val="28"/>
    </w:rPr>
  </w:style>
  <w:style w:type="paragraph" w:styleId="Rubrik3">
    <w:name w:val="heading 3"/>
    <w:aliases w:val="Head 2"/>
    <w:basedOn w:val="Normal"/>
    <w:next w:val="Normal"/>
    <w:qFormat/>
    <w:rsid w:val="00866094"/>
    <w:pPr>
      <w:keepNext/>
      <w:spacing w:before="240"/>
      <w:ind w:firstLine="0"/>
      <w:jc w:val="left"/>
      <w:outlineLvl w:val="2"/>
    </w:pPr>
    <w:rPr>
      <w:b/>
      <w:bCs/>
    </w:rPr>
  </w:style>
  <w:style w:type="paragraph" w:styleId="Rubrik4">
    <w:name w:val="heading 4"/>
    <w:aliases w:val="Head 3"/>
    <w:basedOn w:val="Rubrik"/>
    <w:next w:val="Brdtext"/>
    <w:link w:val="Rubrik4Char"/>
    <w:uiPriority w:val="9"/>
    <w:unhideWhenUsed/>
    <w:qFormat/>
    <w:rsid w:val="00101D8A"/>
    <w:pPr>
      <w:keepNext/>
      <w:spacing w:before="120" w:after="0"/>
      <w:ind w:firstLine="0"/>
      <w:jc w:val="left"/>
      <w:outlineLvl w:val="3"/>
    </w:pPr>
    <w:rPr>
      <w:rFonts w:ascii="Times New Roman" w:hAnsi="Times New Roman"/>
      <w:bCs w:val="0"/>
      <w:i/>
      <w:sz w:val="26"/>
    </w:rPr>
  </w:style>
  <w:style w:type="paragraph" w:styleId="Rubrik8">
    <w:name w:val="heading 8"/>
    <w:aliases w:val="Authors"/>
    <w:basedOn w:val="Rubrik"/>
    <w:next w:val="Normal"/>
    <w:link w:val="Rubrik8Char"/>
    <w:uiPriority w:val="9"/>
    <w:unhideWhenUsed/>
    <w:qFormat/>
    <w:rsid w:val="000C4CBD"/>
    <w:pPr>
      <w:spacing w:before="360" w:after="0"/>
      <w:ind w:firstLine="0"/>
      <w:outlineLvl w:val="7"/>
    </w:pPr>
    <w:rPr>
      <w:rFonts w:ascii="Times New Roman" w:hAnsi="Times New Roman"/>
      <w:iCs/>
      <w:sz w:val="28"/>
      <w:szCs w:val="24"/>
    </w:rPr>
  </w:style>
  <w:style w:type="paragraph" w:styleId="Rubrik9">
    <w:name w:val="heading 9"/>
    <w:aliases w:val="Institution"/>
    <w:basedOn w:val="Rubrik"/>
    <w:next w:val="Normal"/>
    <w:link w:val="Rubrik9Char"/>
    <w:uiPriority w:val="9"/>
    <w:unhideWhenUsed/>
    <w:qFormat/>
    <w:rsid w:val="000C4CBD"/>
    <w:pPr>
      <w:spacing w:before="0" w:after="720"/>
      <w:ind w:firstLine="0"/>
      <w:outlineLvl w:val="8"/>
    </w:pPr>
    <w:rPr>
      <w:rFonts w:ascii="Times New Roman" w:hAnsi="Times New Roman"/>
      <w:b w:val="0"/>
      <w:sz w:val="28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D176C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RubrikChar">
    <w:name w:val="Rubrik Char"/>
    <w:link w:val="Rubrik"/>
    <w:uiPriority w:val="10"/>
    <w:rsid w:val="009D176C"/>
    <w:rPr>
      <w:rFonts w:ascii="Calibri" w:eastAsia="Times New Roman" w:hAnsi="Calibri" w:cs="Times New Roman"/>
      <w:b/>
      <w:bCs/>
      <w:kern w:val="28"/>
      <w:sz w:val="32"/>
      <w:szCs w:val="32"/>
      <w:lang w:val="en-GB" w:eastAsia="en-US"/>
    </w:rPr>
  </w:style>
  <w:style w:type="character" w:customStyle="1" w:styleId="Rubrik8Char">
    <w:name w:val="Rubrik 8 Char"/>
    <w:aliases w:val="Authors Char"/>
    <w:link w:val="Rubrik8"/>
    <w:uiPriority w:val="9"/>
    <w:rsid w:val="000C4CBD"/>
    <w:rPr>
      <w:rFonts w:eastAsia="Times New Roman" w:cs="Times New Roman"/>
      <w:b/>
      <w:bCs/>
      <w:iCs/>
      <w:kern w:val="28"/>
      <w:sz w:val="28"/>
      <w:szCs w:val="24"/>
      <w:lang w:val="en-GB" w:eastAsia="en-US"/>
    </w:rPr>
  </w:style>
  <w:style w:type="paragraph" w:styleId="Brdtext">
    <w:name w:val="Body Text"/>
    <w:aliases w:val="Bread 1"/>
    <w:basedOn w:val="Normal"/>
    <w:next w:val="Normal"/>
    <w:link w:val="BrdtextChar"/>
    <w:uiPriority w:val="99"/>
    <w:unhideWhenUsed/>
    <w:qFormat/>
    <w:rsid w:val="00FD5842"/>
    <w:pPr>
      <w:ind w:firstLine="0"/>
    </w:pPr>
  </w:style>
  <w:style w:type="character" w:customStyle="1" w:styleId="BrdtextChar">
    <w:name w:val="Brödtext Char"/>
    <w:aliases w:val="Bread 1 Char"/>
    <w:link w:val="Brdtext"/>
    <w:uiPriority w:val="99"/>
    <w:rsid w:val="00FD5842"/>
    <w:rPr>
      <w:sz w:val="26"/>
      <w:szCs w:val="28"/>
      <w:lang w:val="en-GB" w:eastAsia="en-US"/>
    </w:rPr>
  </w:style>
  <w:style w:type="character" w:customStyle="1" w:styleId="Rubrik4Char">
    <w:name w:val="Rubrik 4 Char"/>
    <w:aliases w:val="Head 3 Char"/>
    <w:link w:val="Rubrik4"/>
    <w:uiPriority w:val="9"/>
    <w:rsid w:val="00101D8A"/>
    <w:rPr>
      <w:rFonts w:eastAsia="Times New Roman" w:cs="Times New Roman"/>
      <w:b/>
      <w:i/>
      <w:kern w:val="28"/>
      <w:sz w:val="26"/>
      <w:szCs w:val="32"/>
      <w:lang w:val="en-GB" w:eastAsia="en-US"/>
    </w:rPr>
  </w:style>
  <w:style w:type="character" w:customStyle="1" w:styleId="Rubrik9Char">
    <w:name w:val="Rubrik 9 Char"/>
    <w:aliases w:val="Institution Char"/>
    <w:link w:val="Rubrik9"/>
    <w:uiPriority w:val="9"/>
    <w:rsid w:val="000C4CBD"/>
    <w:rPr>
      <w:rFonts w:eastAsia="Times New Roman" w:cs="Times New Roman"/>
      <w:bCs/>
      <w:kern w:val="28"/>
      <w:sz w:val="28"/>
      <w:szCs w:val="22"/>
      <w:lang w:val="en-GB" w:eastAsia="en-US"/>
    </w:rPr>
  </w:style>
  <w:style w:type="paragraph" w:customStyle="1" w:styleId="Numberedtranscript">
    <w:name w:val="Numbered transcript"/>
    <w:basedOn w:val="Normal"/>
    <w:qFormat/>
    <w:rsid w:val="00575777"/>
    <w:pPr>
      <w:tabs>
        <w:tab w:val="left" w:pos="1134"/>
      </w:tabs>
      <w:spacing w:before="60" w:after="60" w:line="300" w:lineRule="atLeast"/>
      <w:ind w:left="2693" w:right="425" w:hanging="2268"/>
    </w:pPr>
    <w:rPr>
      <w:szCs w:val="26"/>
    </w:rPr>
  </w:style>
  <w:style w:type="paragraph" w:customStyle="1" w:styleId="Citat1">
    <w:name w:val="Citat1"/>
    <w:basedOn w:val="Brdtext"/>
    <w:qFormat/>
    <w:rsid w:val="00D40F30"/>
    <w:pPr>
      <w:spacing w:before="120" w:after="120"/>
      <w:ind w:left="425" w:right="425"/>
    </w:pPr>
    <w:rPr>
      <w:sz w:val="24"/>
      <w:szCs w:val="26"/>
    </w:rPr>
  </w:style>
  <w:style w:type="paragraph" w:customStyle="1" w:styleId="References">
    <w:name w:val="References"/>
    <w:basedOn w:val="Brdtext"/>
    <w:qFormat/>
    <w:rsid w:val="002A0C36"/>
    <w:pPr>
      <w:spacing w:line="300" w:lineRule="atLeast"/>
      <w:ind w:left="425" w:hanging="425"/>
    </w:pPr>
    <w:rPr>
      <w:sz w:val="24"/>
    </w:rPr>
  </w:style>
  <w:style w:type="paragraph" w:customStyle="1" w:styleId="Endnote">
    <w:name w:val="Endnote"/>
    <w:basedOn w:val="Normal"/>
    <w:qFormat/>
    <w:rsid w:val="002A0C36"/>
    <w:pPr>
      <w:spacing w:line="300" w:lineRule="atLeast"/>
      <w:ind w:firstLine="0"/>
    </w:pPr>
    <w:rPr>
      <w:sz w:val="24"/>
      <w:szCs w:val="24"/>
    </w:rPr>
  </w:style>
  <w:style w:type="paragraph" w:styleId="Sidfot">
    <w:name w:val="footer"/>
    <w:basedOn w:val="Normal"/>
    <w:rsid w:val="008914F1"/>
    <w:pPr>
      <w:tabs>
        <w:tab w:val="center" w:pos="4320"/>
        <w:tab w:val="right" w:pos="8640"/>
      </w:tabs>
    </w:pPr>
  </w:style>
  <w:style w:type="paragraph" w:customStyle="1" w:styleId="Transcript">
    <w:name w:val="Transcript"/>
    <w:basedOn w:val="Normal"/>
    <w:qFormat/>
    <w:rsid w:val="00575777"/>
    <w:pPr>
      <w:spacing w:before="60" w:after="60" w:line="300" w:lineRule="atLeast"/>
      <w:ind w:left="1843" w:right="425" w:hanging="1418"/>
    </w:pPr>
    <w:rPr>
      <w:sz w:val="24"/>
      <w:szCs w:val="26"/>
    </w:rPr>
  </w:style>
  <w:style w:type="character" w:styleId="Sidnummer">
    <w:name w:val="page number"/>
    <w:basedOn w:val="Standardstycketeckensnitt"/>
    <w:rsid w:val="008914F1"/>
  </w:style>
  <w:style w:type="character" w:customStyle="1" w:styleId="HeadtableChar">
    <w:name w:val="Head table Char"/>
    <w:link w:val="Headtable"/>
    <w:rsid w:val="008B3B99"/>
    <w:rPr>
      <w:sz w:val="26"/>
      <w:szCs w:val="28"/>
      <w:lang w:val="en-GB" w:eastAsia="en-US"/>
    </w:rPr>
  </w:style>
  <w:style w:type="paragraph" w:customStyle="1" w:styleId="Headtable">
    <w:name w:val="Head table"/>
    <w:basedOn w:val="Normal"/>
    <w:next w:val="Brdtext"/>
    <w:link w:val="HeadtableChar"/>
    <w:qFormat/>
    <w:rsid w:val="008B3B99"/>
    <w:pPr>
      <w:spacing w:before="120" w:after="120"/>
      <w:ind w:left="425" w:right="425" w:firstLine="0"/>
      <w:jc w:val="left"/>
    </w:pPr>
  </w:style>
  <w:style w:type="paragraph" w:customStyle="1" w:styleId="Abstract">
    <w:name w:val="Abstract"/>
    <w:basedOn w:val="Brdtext"/>
    <w:link w:val="AbstractChar"/>
    <w:qFormat/>
    <w:rsid w:val="00084739"/>
    <w:rPr>
      <w:i/>
    </w:rPr>
  </w:style>
  <w:style w:type="character" w:customStyle="1" w:styleId="AbstractChar">
    <w:name w:val="Abstract Char"/>
    <w:basedOn w:val="BrdtextChar"/>
    <w:link w:val="Abstract"/>
    <w:rsid w:val="00084739"/>
    <w:rPr>
      <w:i/>
      <w:sz w:val="26"/>
      <w:szCs w:val="28"/>
      <w:lang w:val="en-GB" w:eastAsia="en-US"/>
    </w:rPr>
  </w:style>
  <w:style w:type="paragraph" w:customStyle="1" w:styleId="Paragraph">
    <w:name w:val="Paragraph"/>
    <w:basedOn w:val="Normal"/>
    <w:next w:val="Normal"/>
    <w:qFormat/>
    <w:rsid w:val="00EE78AE"/>
    <w:pPr>
      <w:widowControl w:val="0"/>
      <w:autoSpaceDE/>
      <w:autoSpaceDN/>
      <w:spacing w:before="240" w:line="240" w:lineRule="auto"/>
      <w:ind w:firstLine="0"/>
    </w:pPr>
    <w:rPr>
      <w:sz w:val="24"/>
      <w:szCs w:val="24"/>
      <w:lang w:eastAsia="en-GB"/>
    </w:rPr>
  </w:style>
  <w:style w:type="character" w:styleId="Kommentarsreferens">
    <w:name w:val="annotation reference"/>
    <w:basedOn w:val="Standardstycketeckensnitt"/>
    <w:uiPriority w:val="99"/>
    <w:unhideWhenUsed/>
    <w:rsid w:val="00EE78AE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EE78AE"/>
    <w:pPr>
      <w:autoSpaceDE/>
      <w:autoSpaceDN/>
      <w:spacing w:after="160" w:line="240" w:lineRule="auto"/>
      <w:ind w:firstLine="0"/>
    </w:pPr>
    <w:rPr>
      <w:rFonts w:asciiTheme="minorHAnsi" w:eastAsiaTheme="minorEastAsia" w:hAnsiTheme="minorHAnsi" w:cstheme="minorBidi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rsid w:val="00EE78AE"/>
    <w:rPr>
      <w:rFonts w:asciiTheme="minorHAnsi" w:eastAsiaTheme="minorEastAsia" w:hAnsiTheme="minorHAnsi" w:cstheme="minorBidi"/>
      <w:lang w:val="en-GB"/>
    </w:rPr>
  </w:style>
  <w:style w:type="paragraph" w:styleId="Liststycke">
    <w:name w:val="List Paragraph"/>
    <w:basedOn w:val="Normal"/>
    <w:uiPriority w:val="34"/>
    <w:qFormat/>
    <w:rsid w:val="00645B2F"/>
    <w:pPr>
      <w:ind w:left="720"/>
      <w:contextualSpacing/>
    </w:pPr>
  </w:style>
  <w:style w:type="character" w:styleId="Hyperlnk">
    <w:name w:val="Hyperlink"/>
    <w:basedOn w:val="Standardstycketeckensnitt"/>
    <w:unhideWhenUsed/>
    <w:rsid w:val="00C11C6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1C66"/>
    <w:rPr>
      <w:color w:val="605E5C"/>
      <w:shd w:val="clear" w:color="auto" w:fill="E1DFDD"/>
    </w:rPr>
  </w:style>
  <w:style w:type="table" w:styleId="Rutntstabell1ljus">
    <w:name w:val="Grid Table 1 Light"/>
    <w:basedOn w:val="Normaltabell"/>
    <w:uiPriority w:val="46"/>
    <w:rsid w:val="00D12A1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410012"/>
    <w:pPr>
      <w:autoSpaceDE w:val="0"/>
      <w:autoSpaceDN w:val="0"/>
      <w:spacing w:after="0"/>
      <w:ind w:firstLine="425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KommentarsmneChar">
    <w:name w:val="Kommentarsämne Char"/>
    <w:basedOn w:val="KommentarerChar"/>
    <w:link w:val="Kommentarsmne"/>
    <w:semiHidden/>
    <w:rsid w:val="00410012"/>
    <w:rPr>
      <w:rFonts w:asciiTheme="minorHAnsi" w:eastAsiaTheme="minorEastAsia" w:hAnsiTheme="minorHAnsi" w:cstheme="minorBid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iksdagen.se/sv/dokument-och-lagar/dokument/svenskforfattningssamling/hogskoleforordning-1993100_sfs-1993-10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5962</Words>
  <Characters>31602</Characters>
  <Application>Microsoft Office Word</Application>
  <DocSecurity>0</DocSecurity>
  <Lines>263</Lines>
  <Paragraphs>74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1" baseType="lpstr">
      <vt:lpstr>MADIF8 PROCEEDINGS STYLE TEMPLATE</vt:lpstr>
      <vt:lpstr>MES6 PROCEEDINGS STYLE TEMPLATE: TYPE YOUR TITLE HERE (THE STYLE IS CALLED HEADING 1)</vt:lpstr>
      <vt:lpstr>MADIF8 Proceedings Style Template: Type Your Title Here With First Letters Capit</vt:lpstr>
      <vt:lpstr>    The main section heading style is called Rubrik 2</vt:lpstr>
      <vt:lpstr>        This is style Rubrik 3, for one level of heading lower than Rubrik 2</vt:lpstr>
      <vt:lpstr>    Notes</vt:lpstr>
      <vt:lpstr>    References</vt:lpstr>
      <vt:lpstr>    Style Summary</vt:lpstr>
      <vt:lpstr>Rubrik 1: 22pt (centred)</vt:lpstr>
      <vt:lpstr>    Rubrik 2: 14 pt bold, spacing above 12pt</vt:lpstr>
      <vt:lpstr>        Rubrik 3: 13 pt bold, spacing above 12pt</vt:lpstr>
    </vt:vector>
  </TitlesOfParts>
  <Manager/>
  <Company/>
  <LinksUpToDate>false</LinksUpToDate>
  <CharactersWithSpaces>37490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MADIF8 PROCEEDINGS STYLE TEMPLATE</dc:title>
  <dc:subject/>
  <dc:creator/>
  <cp:keywords/>
  <dc:description/>
  <cp:lastModifiedBy/>
  <cp:revision>1</cp:revision>
  <dcterms:created xsi:type="dcterms:W3CDTF">2025-11-25T13:18:00Z</dcterms:created>
  <dcterms:modified xsi:type="dcterms:W3CDTF">2025-11-25T13:18:00Z</dcterms:modified>
  <cp:category/>
</cp:coreProperties>
</file>