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Eliciting cultural awareness of Catalan, Swedish, and Turkish prospective teachers using representative solutions to a Fermi problem</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360" w:line="240" w:lineRule="auto"/>
        <w:ind w:left="0" w:right="0"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Serife Sevinc, Jonas Bergman Ärlebäck, and Lluís Albarracín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72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Örebro University, Linköping University, and Universitat Autònona de Barcelona</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ee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This study aims to elicit the cultural aspects that 18 Catalan, 16 Swedish, and 19 Turkish prospective teachers (PTs) noticed when examining their counterparts’ written solutions to a Fermi problem. The paper focuses on the PTs’ identification of so-called representative solutions to a Fermi problem. The results revealed that PTs could readily notice the cultural markers from their own culture and, to a lesser extent, from other cultures, thus demonstrating basic and advanced cultural awareness. Furthermore, the PTs noticed culturally induced behaviours from the solutions, which have implications in mathematics education regarding achieving curricula goals related to “international perspectives”. This study also illustrates the merit of analysing peers’ solutions, which carry rich potential for modelling and problem solving in mathematics classrooms.</w:t>
      </w:r>
      <w:r w:rsidDel="00000000" w:rsidR="00000000" w:rsidRPr="00000000">
        <w:rPr>
          <w:rtl w:val="0"/>
        </w:rPr>
      </w:r>
    </w:p>
    <w:p w:rsidR="00000000" w:rsidDel="00000000" w:rsidP="00000000" w:rsidRDefault="00000000" w:rsidRPr="00000000" w14:paraId="00000005">
      <w:pPr>
        <w:pStyle w:val="Heading2"/>
        <w:rPr/>
      </w:pPr>
      <w:r w:rsidDel="00000000" w:rsidR="00000000" w:rsidRPr="00000000">
        <w:rPr>
          <w:rtl w:val="0"/>
        </w:rPr>
        <w:t xml:space="preserve">Introduction</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Cultural aspects in education are important, and as a result, many national curricula incorporate learning goals focusing on fostering and raising students’ cultural awareness (Baker, 2011). In the Swedish context for example, both Lgr22 and Gy25 emphasise that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An international perspective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is important in order to see one’s own reality in a global context and to create international solidarity…” (Lgr22, 2022; Gy25, italics in original and our translation), and further that “[T]he school shall be responsible for ensuring that, after completing primary school, every pupil … is able to interact with other people based on knowledge of similarities and differences in living conditions, culture, language, religion and history” (Lgr22, 2022, our translation), and to “prepare pupils for a society with increasingly close contacts across national and cultural boundaries….” (Gy25, our translation) so that “every pupil… is able to interact with other people based on respect for differences in living conditions, culture, language, religion and history.” (Gy25, our translation).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6"/>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It can be challenging to </w:t>
      </w:r>
      <w:r w:rsidDel="00000000" w:rsidR="00000000" w:rsidRPr="00000000">
        <w:rPr>
          <w:rtl w:val="0"/>
        </w:rPr>
        <w:t xml:space="preserve">realise</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these general ambitions in the curricula in the mathematics classroom, however, engaging in mathematical modelling is a fruitful opportunity for problem solvers at all ages that connect and </w:t>
      </w:r>
      <w:r w:rsidDel="00000000" w:rsidR="00000000" w:rsidRPr="00000000">
        <w:rPr>
          <w:rtl w:val="0"/>
        </w:rPr>
        <w:t xml:space="preserve">extend</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the links not only between mathematics and the real world but also between mathematics and culture. The connection between modelling and culture is emphasized in the ethnomodelling perspective, which stresses the recognition of cultural aspects in a local context and establishes links to related global perspectives through the process of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glocalization</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(Orey &amp; Rosa, 2021; Rosa &amp; Orey, 2013). Building on this perspective, we recognized the potential of modelling to reveal cultural elements and launched a collaborative research project called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FerMICA – Fermi Modelling for Intercultural Awareness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(Ärlebäck et al., 2024a) involving PTs from four different universities in four different cities around the world: Ankara (Turkiye), Barcelona (Spain), Linköping (Sweden) and Valencia (Spain). As the project’s name suggests, we use Fermi problems as compact yet potentially rich modelling situations (Ärlebäck &amp; Albarracín, 2019) with the aim to investigate and develop intercultural awareness by exploring the cultural aspects involved in solutions to Fermi problems, as well as the cultural similarities and differences arose from the comparison of solutions that originated from different cultural settings. Through this work, we aim to explore whether FerMICA project can serve as a means to help realise the overarching curricular ambitions (cf. Lgr22 and Gy25) within the mathematics classroom.</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t xml:space="preserve">As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part of the FerMICA project, this study explored this idea in the context of teacher education and focused on the stage of a teaching sequence where prospective teachers (PTs) examined so-called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representative solutions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(cf. Albarracín et al., 2025). The PTs read and discussed generic solutions that represented the approaches of PTs from four different cultural contexts (i.e. representative solutions) to a Fermi Problem. Thus, the objective of this study is to investigate and identify the cultural aspects noticed by PTs in terms of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cultural markers</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when examining the representative solutions of their counterparts in Ankara, Barcelona, Linköping, and Valencia. Specifically, the following research questions were addressed:</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45"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To what extent could Catalan, Swedish, and Turkish prospective teachers identify a solution to a Fermi problem representative of their own culture?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45"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To what extent could Catalan, Swedish, and Turkish prospective teachers identify other cultures’ representative solutions to the Fermi problem?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145"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What cultural markers did the prospective teachers notice in their counterparts’ Fermi problem solutions in four different sites?</w:t>
      </w:r>
      <w:r w:rsidDel="00000000" w:rsidR="00000000" w:rsidRPr="00000000">
        <w:rPr>
          <w:rtl w:val="0"/>
        </w:rPr>
      </w:r>
    </w:p>
    <w:p w:rsidR="00000000" w:rsidDel="00000000" w:rsidP="00000000" w:rsidRDefault="00000000" w:rsidRPr="00000000" w14:paraId="0000000C">
      <w:pPr>
        <w:pStyle w:val="Heading2"/>
        <w:rPr/>
      </w:pPr>
      <w:r w:rsidDel="00000000" w:rsidR="00000000" w:rsidRPr="00000000">
        <w:rPr>
          <w:rtl w:val="0"/>
        </w:rPr>
        <w:t xml:space="preserve">Theoretical Considerations</w:t>
      </w:r>
    </w:p>
    <w:p w:rsidR="00000000" w:rsidDel="00000000" w:rsidP="00000000" w:rsidRDefault="00000000" w:rsidRPr="00000000" w14:paraId="0000000D">
      <w:pPr>
        <w:pStyle w:val="Heading3"/>
        <w:rPr/>
      </w:pPr>
      <w:r w:rsidDel="00000000" w:rsidR="00000000" w:rsidRPr="00000000">
        <w:rPr>
          <w:rtl w:val="0"/>
        </w:rPr>
        <w:t xml:space="preserve">Mathematical Modelling with Fermi Problems</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According to the perspective of Lesh and Doerr (2003), models are conceptual systems used to describe, explain, organize, or predict real-life situations. The modelling process involves making sense of the real-world context and meaning making about the context, which therefore demands the formulation of contextual assumptions and interpretations. Their perspective introduces so-called Model-Eliciting Activities (MEAs) based on six design principles: reality (meaningfulness) principle, model-development principle, model-documentation principle, self-assessment principle, model-shareability and reusability principle, and effective prototype (Lesh et al., 2000). While these principles demonstrate the cyclical and iterative nature of the modelling process, developing qualified MEAs is challenging (Lesh &amp; Doerr, 2003). Nevertheless, in this context, Fermi problems are considered relatively simple, compact (Sriraman &amp; Lesh, 2006) and well-aligned with MEAs (Ärlebäck, 2009; Ärlebäck &amp; Albarracín, 2019).</w:t>
      </w:r>
    </w:p>
    <w:p w:rsidR="00000000" w:rsidDel="00000000" w:rsidP="00000000" w:rsidRDefault="00000000" w:rsidRPr="00000000" w14:paraId="0000000F">
      <w:pPr>
        <w:rPr/>
      </w:pPr>
      <w:r w:rsidDel="00000000" w:rsidR="00000000" w:rsidRPr="00000000">
        <w:rPr>
          <w:rtl w:val="0"/>
        </w:rPr>
        <w:t xml:space="preserve">Fermi problems are “open, non-standard problems requiring the students to make assumptions about the problem situation and estimate relevant quantities before engaging in, often, simple calculations” (Ärlebäck, 2009, pp. 331–332). Traditionally, solving a Fermi problem involves making sense of a real-life or realistic situation and developing a strategy for generating reasonable estimates based on legitimate assumptions. Thus, solutions to Fermi problems rely on estimation-based thinking, or what has been termed </w:t>
      </w:r>
      <w:r w:rsidDel="00000000" w:rsidR="00000000" w:rsidRPr="00000000">
        <w:rPr>
          <w:i w:val="1"/>
          <w:iCs w:val="1"/>
          <w:rtl w:val="0"/>
        </w:rPr>
        <w:t xml:space="preserve">model-based estimation</w:t>
      </w:r>
      <w:r w:rsidDel="00000000" w:rsidR="00000000" w:rsidRPr="00000000">
        <w:rPr>
          <w:rtl w:val="0"/>
        </w:rPr>
        <w:t xml:space="preserve"> (Ärlebäck et al., 2024b). In other words, estimation is not merely based on assumptions, but rather on a model that strategically uses those assumptions to mathematise the situation at hand (Ärlebäck et al., 2024b). Solving Fermi problems therefore involves interpretation, mathematisation, and reinterpretation to approach real-world situations strategically. As a result, Fermi problems provide opportunities to consider cultural and intercultural aspects, conditions, and constraints (Ärlebäck et al., 2024a). Building on this potential, the FerMICA project uses Fermi problems to elicit and investigate the cultural perspectives that become visible and are incorporated into PTs’ solutions and models.</w:t>
      </w:r>
    </w:p>
    <w:p w:rsidR="00000000" w:rsidDel="00000000" w:rsidP="00000000" w:rsidRDefault="00000000" w:rsidRPr="00000000" w14:paraId="00000010">
      <w:pPr>
        <w:pStyle w:val="Heading3"/>
        <w:rPr/>
      </w:pPr>
      <w:r w:rsidDel="00000000" w:rsidR="00000000" w:rsidRPr="00000000">
        <w:rPr>
          <w:rtl w:val="0"/>
        </w:rPr>
        <w:t xml:space="preserve">Cultural Awareness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One view of culture in education encompasses shared human activities involving interaction based on social norms. Therefore, communication plays a crucial role in developing a shared understanding within a community (Stenhouse, 1967). Another view is that culture is defined as the surrounding environment, such as school or classroom culture, where shared norms and interaction practices are established among pupils (Cobb &amp; Yackel, 1996; Nickson, 1994). </w:t>
      </w:r>
    </w:p>
    <w:p w:rsidR="00000000" w:rsidDel="00000000" w:rsidP="00000000" w:rsidRDefault="00000000" w:rsidRPr="00000000" w14:paraId="00000012">
      <w:pPr>
        <w:rPr/>
      </w:pPr>
      <w:r w:rsidDel="00000000" w:rsidR="00000000" w:rsidRPr="00000000">
        <w:rPr>
          <w:rtl w:val="0"/>
        </w:rPr>
        <w:t xml:space="preserve">In the FerMICA project, we primarily adopt the first view and attend to the problem solvers’ shared beliefs, attitudes, values, goals, and practices within their country, city, and university. Although culture is a shared understanding, it is not static; rather, it gradually evolves. We further conjectured that cultural aspects could be elicited from the work of problem solvers because “a conscious understanding of the role culturally based forms, practices, and frames of understanding can have in intercultural communication, and [</w:t>
      </w:r>
      <w:r w:rsidDel="00000000" w:rsidR="00000000" w:rsidRPr="00000000">
        <w:rPr>
          <w:i w:val="1"/>
          <w:iCs w:val="1"/>
          <w:rtl w:val="0"/>
        </w:rPr>
        <w:t xml:space="preserve">demands</w:t>
      </w:r>
      <w:r w:rsidDel="00000000" w:rsidR="00000000" w:rsidRPr="00000000">
        <w:rPr>
          <w:rtl w:val="0"/>
        </w:rPr>
        <w:t xml:space="preserve">] an ability to put these conceptions into practice in a flexible and context specific manner in real time communication” (Baker, 2011, p. 66). Furthermore, Baker scrutinised cultural awareness in three hierarchical levels: </w:t>
      </w:r>
      <w:r w:rsidDel="00000000" w:rsidR="00000000" w:rsidRPr="00000000">
        <w:rPr>
          <w:i w:val="1"/>
          <w:iCs w:val="1"/>
          <w:rtl w:val="0"/>
        </w:rPr>
        <w:t xml:space="preserve">Level 1–Basic cultural awareness; Level 2–Advanced cultural awareness; and Level 3–intercultural awareness</w:t>
      </w:r>
      <w:r w:rsidDel="00000000" w:rsidR="00000000" w:rsidRPr="00000000">
        <w:rPr>
          <w:rtl w:val="0"/>
        </w:rPr>
        <w:t xml:space="preserve">. Although Baker’s conceptualization of the levels of cultural awareness originated in English language education research, it effectively frames the layers of shared understanding about one’s own and others’ cultures. Level 1 entails an understanding of the role of one’s own culturally shared beliefs, values, and attitudes in interpreting situations, as well as recognizing others’ culturally induced behaviours compared to one’s own culture. Level 2 involves appreciating one’s own and other cultures, understanding the relative and provisional nature of cultural norms, and developing respect for alternative perspectives. Lastly, level 3 involves interacting with another culture and developing intercultural communication that transcends cultural stereotypes and biases. We used Baker’s (2011) levels of cultural awareness as one of the theoretical standpoints of our research.</w:t>
      </w:r>
    </w:p>
    <w:p w:rsidR="00000000" w:rsidDel="00000000" w:rsidP="00000000" w:rsidRDefault="00000000" w:rsidRPr="00000000" w14:paraId="00000013">
      <w:pPr>
        <w:rPr/>
      </w:pPr>
      <w:r w:rsidDel="00000000" w:rsidR="00000000" w:rsidRPr="00000000">
        <w:rPr>
          <w:rtl w:val="0"/>
        </w:rPr>
        <w:t xml:space="preserve">Building on these perspectives, we propose the notion of </w:t>
      </w:r>
      <w:r w:rsidDel="00000000" w:rsidR="00000000" w:rsidRPr="00000000">
        <w:rPr>
          <w:i w:val="1"/>
          <w:iCs w:val="1"/>
          <w:rtl w:val="0"/>
        </w:rPr>
        <w:t xml:space="preserve">cultural markers</w:t>
      </w:r>
      <w:r w:rsidDel="00000000" w:rsidR="00000000" w:rsidRPr="00000000">
        <w:rPr>
          <w:rtl w:val="0"/>
        </w:rPr>
        <w:t xml:space="preserve"> to refer to observable features, practices, or references that signal underlying cultural norms, values, or assumptions within educational settings. These markers may include language use, interaction styles, problem-solving strategies, or contextual references that reflect the cultural background of learners and teachers. Introducing this concept allows us to analytically trace how culture becomes visible and influential in classroom practices and modelling activities.</w:t>
      </w:r>
    </w:p>
    <w:p w:rsidR="00000000" w:rsidDel="00000000" w:rsidP="00000000" w:rsidRDefault="00000000" w:rsidRPr="00000000" w14:paraId="00000014">
      <w:pPr>
        <w:pStyle w:val="Heading2"/>
        <w:rPr/>
      </w:pPr>
      <w:r w:rsidDel="00000000" w:rsidR="00000000" w:rsidRPr="00000000">
        <w:rPr>
          <w:rtl w:val="0"/>
        </w:rPr>
        <w:t xml:space="preserve">Methods</w:t>
      </w:r>
    </w:p>
    <w:p w:rsidR="00000000" w:rsidDel="00000000" w:rsidP="00000000" w:rsidRDefault="00000000" w:rsidRPr="00000000" w14:paraId="00000015">
      <w:pPr>
        <w:ind w:firstLine="0"/>
        <w:rPr/>
      </w:pPr>
      <w:r w:rsidDel="00000000" w:rsidR="00000000" w:rsidRPr="00000000">
        <w:rPr>
          <w:rtl w:val="0"/>
        </w:rPr>
        <w:t xml:space="preserve">In this paper, we focused only on the written data from three sites of the FerMICA project (see Table 1). Those groups of PTs were relatively similar in the sense that they were in either the third or last year of their teacher education program and so completed most of their mathematics and/or mathematics education studies. However, they were different in the sense that completing their teacher education programs, the PTs would qualify to teach mathematics at different grade levels (see Table 1).</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425"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Table 1. Overview and description of participants in the study</w:t>
      </w:r>
    </w:p>
    <w:tbl>
      <w:tblPr>
        <w:tblStyle w:val="Table1"/>
        <w:tblW w:w="8866.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268"/>
        <w:gridCol w:w="3924"/>
        <w:gridCol w:w="2674"/>
        <w:tblGridChange w:id="0">
          <w:tblGrid>
            <w:gridCol w:w="2268"/>
            <w:gridCol w:w="3924"/>
            <w:gridCol w:w="2674"/>
          </w:tblGrid>
        </w:tblGridChange>
      </w:tblGrid>
      <w:tr>
        <w:trPr>
          <w:cantSplit w:val="0"/>
          <w:tblHeader w:val="0"/>
        </w:trPr>
        <w:tc>
          <w:tcPr/>
          <w:p w:rsidR="00000000" w:rsidDel="00000000" w:rsidP="00000000" w:rsidRDefault="00000000" w:rsidRPr="00000000" w14:paraId="00000017">
            <w:pPr>
              <w:ind w:firstLine="0"/>
              <w:rPr>
                <w:b w:val="1"/>
                <w:bCs w:val="1"/>
                <w:sz w:val="24"/>
                <w:szCs w:val="24"/>
              </w:rPr>
            </w:pPr>
            <w:r w:rsidDel="00000000" w:rsidR="00000000" w:rsidRPr="00000000">
              <w:rPr>
                <w:b w:val="1"/>
                <w:bCs w:val="1"/>
                <w:sz w:val="24"/>
                <w:szCs w:val="24"/>
                <w:rtl w:val="0"/>
              </w:rPr>
              <w:t xml:space="preserve">City, Country</w:t>
            </w:r>
          </w:p>
        </w:tc>
        <w:tc>
          <w:tcPr/>
          <w:p w:rsidR="00000000" w:rsidDel="00000000" w:rsidP="00000000" w:rsidRDefault="00000000" w:rsidRPr="00000000" w14:paraId="00000018">
            <w:pPr>
              <w:ind w:firstLine="0"/>
              <w:jc w:val="left"/>
              <w:rPr>
                <w:b w:val="1"/>
                <w:bCs w:val="1"/>
                <w:sz w:val="24"/>
                <w:szCs w:val="24"/>
              </w:rPr>
            </w:pPr>
            <w:r w:rsidDel="00000000" w:rsidR="00000000" w:rsidRPr="00000000">
              <w:rPr>
                <w:b w:val="1"/>
                <w:bCs w:val="1"/>
                <w:sz w:val="24"/>
                <w:szCs w:val="24"/>
                <w:rtl w:val="0"/>
              </w:rPr>
              <w:t xml:space="preserve">Description of the participants</w:t>
            </w:r>
          </w:p>
        </w:tc>
        <w:tc>
          <w:tcPr/>
          <w:p w:rsidR="00000000" w:rsidDel="00000000" w:rsidP="00000000" w:rsidRDefault="00000000" w:rsidRPr="00000000" w14:paraId="00000019">
            <w:pPr>
              <w:ind w:firstLine="0"/>
              <w:rPr>
                <w:b w:val="1"/>
                <w:bCs w:val="1"/>
                <w:sz w:val="24"/>
                <w:szCs w:val="24"/>
              </w:rPr>
            </w:pPr>
            <w:r w:rsidDel="00000000" w:rsidR="00000000" w:rsidRPr="00000000">
              <w:rPr>
                <w:b w:val="1"/>
                <w:bCs w:val="1"/>
                <w:sz w:val="24"/>
                <w:szCs w:val="24"/>
                <w:rtl w:val="0"/>
              </w:rPr>
              <w:t xml:space="preserve">Number of participants</w:t>
            </w:r>
          </w:p>
        </w:tc>
      </w:tr>
      <w:tr>
        <w:trPr>
          <w:cantSplit w:val="0"/>
          <w:tblHeader w:val="0"/>
        </w:trPr>
        <w:tc>
          <w:tcPr/>
          <w:p w:rsidR="00000000" w:rsidDel="00000000" w:rsidP="00000000" w:rsidRDefault="00000000" w:rsidRPr="00000000" w14:paraId="0000001A">
            <w:pPr>
              <w:ind w:firstLine="0"/>
              <w:rPr>
                <w:sz w:val="24"/>
                <w:szCs w:val="24"/>
              </w:rPr>
            </w:pPr>
            <w:r w:rsidDel="00000000" w:rsidR="00000000" w:rsidRPr="00000000">
              <w:rPr>
                <w:sz w:val="24"/>
                <w:szCs w:val="24"/>
                <w:rtl w:val="0"/>
              </w:rPr>
              <w:t xml:space="preserve">Ankara, Türkiye</w:t>
            </w:r>
          </w:p>
        </w:tc>
        <w:tc>
          <w:tcPr/>
          <w:p w:rsidR="00000000" w:rsidDel="00000000" w:rsidP="00000000" w:rsidRDefault="00000000" w:rsidRPr="00000000" w14:paraId="0000001B">
            <w:pPr>
              <w:ind w:firstLine="0"/>
              <w:jc w:val="left"/>
              <w:rPr>
                <w:sz w:val="24"/>
                <w:szCs w:val="24"/>
              </w:rPr>
            </w:pPr>
            <w:r w:rsidDel="00000000" w:rsidR="00000000" w:rsidRPr="00000000">
              <w:rPr>
                <w:sz w:val="24"/>
                <w:szCs w:val="24"/>
                <w:rtl w:val="0"/>
              </w:rPr>
              <w:t xml:space="preserve">Middle school (Grades 5-8) PTs</w:t>
            </w:r>
          </w:p>
        </w:tc>
        <w:tc>
          <w:tcPr/>
          <w:p w:rsidR="00000000" w:rsidDel="00000000" w:rsidP="00000000" w:rsidRDefault="00000000" w:rsidRPr="00000000" w14:paraId="0000001C">
            <w:pPr>
              <w:ind w:firstLine="0"/>
              <w:jc w:val="center"/>
              <w:rPr>
                <w:sz w:val="24"/>
                <w:szCs w:val="24"/>
              </w:rPr>
            </w:pPr>
            <w:r w:rsidDel="00000000" w:rsidR="00000000" w:rsidRPr="00000000">
              <w:rPr>
                <w:sz w:val="24"/>
                <w:szCs w:val="24"/>
                <w:rtl w:val="0"/>
              </w:rPr>
              <w:t xml:space="preserve">19</w:t>
            </w:r>
          </w:p>
        </w:tc>
      </w:tr>
      <w:tr>
        <w:trPr>
          <w:cantSplit w:val="0"/>
          <w:tblHeader w:val="0"/>
        </w:trPr>
        <w:tc>
          <w:tcPr/>
          <w:p w:rsidR="00000000" w:rsidDel="00000000" w:rsidP="00000000" w:rsidRDefault="00000000" w:rsidRPr="00000000" w14:paraId="0000001D">
            <w:pPr>
              <w:ind w:firstLine="0"/>
              <w:rPr>
                <w:sz w:val="24"/>
                <w:szCs w:val="24"/>
              </w:rPr>
            </w:pPr>
            <w:r w:rsidDel="00000000" w:rsidR="00000000" w:rsidRPr="00000000">
              <w:rPr>
                <w:sz w:val="24"/>
                <w:szCs w:val="24"/>
                <w:rtl w:val="0"/>
              </w:rPr>
              <w:t xml:space="preserve">Linköping, Sweden</w:t>
            </w:r>
          </w:p>
        </w:tc>
        <w:tc>
          <w:tcPr/>
          <w:p w:rsidR="00000000" w:rsidDel="00000000" w:rsidP="00000000" w:rsidRDefault="00000000" w:rsidRPr="00000000" w14:paraId="0000001E">
            <w:pPr>
              <w:ind w:firstLine="0"/>
              <w:jc w:val="left"/>
              <w:rPr>
                <w:sz w:val="24"/>
                <w:szCs w:val="24"/>
              </w:rPr>
            </w:pPr>
            <w:r w:rsidDel="00000000" w:rsidR="00000000" w:rsidRPr="00000000">
              <w:rPr>
                <w:sz w:val="24"/>
                <w:szCs w:val="24"/>
                <w:rtl w:val="0"/>
              </w:rPr>
              <w:t xml:space="preserve">Secondary school (Grades 7-12) PTs</w:t>
            </w:r>
          </w:p>
        </w:tc>
        <w:tc>
          <w:tcPr/>
          <w:p w:rsidR="00000000" w:rsidDel="00000000" w:rsidP="00000000" w:rsidRDefault="00000000" w:rsidRPr="00000000" w14:paraId="0000001F">
            <w:pPr>
              <w:ind w:firstLine="0"/>
              <w:jc w:val="center"/>
              <w:rPr>
                <w:sz w:val="24"/>
                <w:szCs w:val="24"/>
              </w:rPr>
            </w:pPr>
            <w:r w:rsidDel="00000000" w:rsidR="00000000" w:rsidRPr="00000000">
              <w:rPr>
                <w:sz w:val="24"/>
                <w:szCs w:val="24"/>
                <w:rtl w:val="0"/>
              </w:rPr>
              <w:t xml:space="preserve">16</w:t>
            </w:r>
          </w:p>
        </w:tc>
      </w:tr>
      <w:tr>
        <w:trPr>
          <w:cantSplit w:val="0"/>
          <w:trHeight w:val="431" w:hRule="atLeast"/>
          <w:tblHeader w:val="0"/>
        </w:trPr>
        <w:tc>
          <w:tcPr/>
          <w:p w:rsidR="00000000" w:rsidDel="00000000" w:rsidP="00000000" w:rsidRDefault="00000000" w:rsidRPr="00000000" w14:paraId="00000020">
            <w:pPr>
              <w:ind w:firstLine="0"/>
              <w:rPr>
                <w:sz w:val="24"/>
                <w:szCs w:val="24"/>
              </w:rPr>
            </w:pPr>
            <w:r w:rsidDel="00000000" w:rsidR="00000000" w:rsidRPr="00000000">
              <w:rPr>
                <w:sz w:val="24"/>
                <w:szCs w:val="24"/>
                <w:rtl w:val="0"/>
              </w:rPr>
              <w:t xml:space="preserve">Barcelona, Spain</w:t>
            </w:r>
          </w:p>
        </w:tc>
        <w:tc>
          <w:tcPr/>
          <w:p w:rsidR="00000000" w:rsidDel="00000000" w:rsidP="00000000" w:rsidRDefault="00000000" w:rsidRPr="00000000" w14:paraId="00000021">
            <w:pPr>
              <w:ind w:firstLine="0"/>
              <w:jc w:val="left"/>
              <w:rPr>
                <w:sz w:val="24"/>
                <w:szCs w:val="24"/>
              </w:rPr>
            </w:pPr>
            <w:r w:rsidDel="00000000" w:rsidR="00000000" w:rsidRPr="00000000">
              <w:rPr>
                <w:sz w:val="24"/>
                <w:szCs w:val="24"/>
                <w:rtl w:val="0"/>
              </w:rPr>
              <w:t xml:space="preserve">Primary school (Grades 7-12) PTs</w:t>
            </w:r>
          </w:p>
        </w:tc>
        <w:tc>
          <w:tcPr/>
          <w:p w:rsidR="00000000" w:rsidDel="00000000" w:rsidP="00000000" w:rsidRDefault="00000000" w:rsidRPr="00000000" w14:paraId="00000022">
            <w:pPr>
              <w:ind w:firstLine="0"/>
              <w:jc w:val="center"/>
              <w:rPr>
                <w:sz w:val="24"/>
                <w:szCs w:val="24"/>
              </w:rPr>
            </w:pPr>
            <w:r w:rsidDel="00000000" w:rsidR="00000000" w:rsidRPr="00000000">
              <w:rPr>
                <w:sz w:val="24"/>
                <w:szCs w:val="24"/>
                <w:rtl w:val="0"/>
              </w:rPr>
              <w:t xml:space="preserve">18</w:t>
            </w:r>
          </w:p>
        </w:tc>
      </w:tr>
    </w:tbl>
    <w:p w:rsidR="00000000" w:rsidDel="00000000" w:rsidP="00000000" w:rsidRDefault="00000000" w:rsidRPr="00000000" w14:paraId="00000023">
      <w:pPr>
        <w:ind w:firstLine="0"/>
        <w:rPr/>
      </w:pPr>
      <w:r w:rsidDel="00000000" w:rsidR="00000000" w:rsidRPr="00000000">
        <w:rPr>
          <w:rtl w:val="0"/>
        </w:rPr>
      </w:r>
    </w:p>
    <w:p w:rsidR="00000000" w:rsidDel="00000000" w:rsidP="00000000" w:rsidRDefault="00000000" w:rsidRPr="00000000" w14:paraId="00000024">
      <w:pPr>
        <w:ind w:firstLine="426"/>
        <w:rPr/>
      </w:pPr>
      <w:r w:rsidDel="00000000" w:rsidR="00000000" w:rsidRPr="00000000">
        <w:rPr>
          <w:rtl w:val="0"/>
        </w:rPr>
        <w:t xml:space="preserve">In data collection, we used a Fermi problem relatable and relevant to all of these participants’ cultural settings (see Figure 1).</w:t>
      </w:r>
    </w:p>
    <w:tbl>
      <w:tblPr>
        <w:tblStyle w:val="Table2"/>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shd w:fill="d9d9d9" w:val="clear"/>
          </w:tcPr>
          <w:p w:rsidR="00000000" w:rsidDel="00000000" w:rsidP="00000000" w:rsidRDefault="00000000" w:rsidRPr="00000000" w14:paraId="00000025">
            <w:pPr>
              <w:spacing w:after="120" w:before="120" w:line="240" w:lineRule="auto"/>
              <w:ind w:firstLine="0"/>
              <w:rPr>
                <w:sz w:val="24"/>
                <w:szCs w:val="24"/>
              </w:rPr>
            </w:pPr>
            <w:r w:rsidDel="00000000" w:rsidR="00000000" w:rsidRPr="00000000">
              <w:rPr>
                <w:b w:val="1"/>
                <w:bCs w:val="1"/>
                <w:sz w:val="22"/>
                <w:szCs w:val="22"/>
                <w:rtl w:val="0"/>
              </w:rPr>
              <w:t xml:space="preserve">The Tea &amp; Coffee Problem:</w:t>
            </w:r>
            <w:r w:rsidDel="00000000" w:rsidR="00000000" w:rsidRPr="00000000">
              <w:rPr>
                <w:sz w:val="22"/>
                <w:szCs w:val="22"/>
                <w:rtl w:val="0"/>
              </w:rPr>
              <w:t xml:space="preserve"> In a middle or primary school in Spain/Sweden/Turkiye, teachers often have their refreshments including tea and coffee in the teacher’s room. Make a realistic recommendation to the school administrator who has to plan the budget about how much tea and coffee would be sufficient to last until the end of the school year?</w:t>
            </w:r>
            <w:r w:rsidDel="00000000" w:rsidR="00000000" w:rsidRPr="00000000">
              <w:rPr>
                <w:rtl w:val="0"/>
              </w:rPr>
            </w:r>
          </w:p>
        </w:tc>
      </w:tr>
    </w:tb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Figure 1. The Fermi problem </w:t>
      </w:r>
      <w:r w:rsidDel="00000000" w:rsidR="00000000" w:rsidRPr="00000000">
        <w:rPr>
          <w:rFonts w:ascii="Times New Roman" w:cs="Times New Roman" w:eastAsia="Times New Roman" w:hAnsi="Times New Roman"/>
          <w:b w:val="0"/>
          <w:bCs w:val="0"/>
          <w:i w:val="1"/>
          <w:iCs w:val="1"/>
          <w:smallCaps w:val="0"/>
          <w:strike w:val="0"/>
          <w:color w:val="000000"/>
          <w:sz w:val="26"/>
          <w:szCs w:val="26"/>
          <w:u w:val="none"/>
          <w:shd w:fill="auto" w:val="clear"/>
          <w:vertAlign w:val="baseline"/>
          <w:rtl w:val="0"/>
        </w:rPr>
        <w:t xml:space="preserve">The Tea and Coffee Problem</w:t>
      </w: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used in this study</w:t>
      </w:r>
    </w:p>
    <w:p w:rsidR="00000000" w:rsidDel="00000000" w:rsidP="00000000" w:rsidRDefault="00000000" w:rsidRPr="00000000" w14:paraId="00000027">
      <w:pPr>
        <w:rPr/>
      </w:pPr>
      <w:r w:rsidDel="00000000" w:rsidR="00000000" w:rsidRPr="00000000">
        <w:rPr>
          <w:rtl w:val="0"/>
        </w:rPr>
        <w:t xml:space="preserve">Throughout the FerMICA project, the PTs engaged in a teaching sequence entailing various activities based on The Tea and Coffee Problem. Table 2 provides an overview of the activities in the teaching sequence.</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ind w:firstLine="0"/>
        <w:rPr/>
      </w:pPr>
      <w:r w:rsidDel="00000000" w:rsidR="00000000" w:rsidRPr="00000000">
        <w:rPr>
          <w:rtl w:val="0"/>
        </w:rPr>
        <w:t xml:space="preserve">Table 2. Sequences of the activities implemented as part of the FerMICA project</w:t>
      </w:r>
    </w:p>
    <w:tbl>
      <w:tblPr>
        <w:tblStyle w:val="Table3"/>
        <w:tblW w:w="8931.0" w:type="dxa"/>
        <w:jc w:val="left"/>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1987"/>
        <w:gridCol w:w="6944"/>
        <w:tblGridChange w:id="0">
          <w:tblGrid>
            <w:gridCol w:w="1987"/>
            <w:gridCol w:w="6944"/>
          </w:tblGrid>
        </w:tblGridChange>
      </w:tblGrid>
      <w:tr>
        <w:trPr>
          <w:cantSplit w:val="0"/>
          <w:tblHeader w:val="0"/>
        </w:trPr>
        <w:tc>
          <w:tcPr/>
          <w:p w:rsidR="00000000" w:rsidDel="00000000" w:rsidP="00000000" w:rsidRDefault="00000000" w:rsidRPr="00000000" w14:paraId="0000002A">
            <w:pPr>
              <w:spacing w:line="240" w:lineRule="auto"/>
              <w:ind w:firstLine="0"/>
              <w:rPr>
                <w:b w:val="1"/>
                <w:bCs w:val="1"/>
                <w:sz w:val="24"/>
                <w:szCs w:val="24"/>
              </w:rPr>
            </w:pPr>
            <w:r w:rsidDel="00000000" w:rsidR="00000000" w:rsidRPr="00000000">
              <w:rPr>
                <w:b w:val="1"/>
                <w:bCs w:val="1"/>
                <w:sz w:val="24"/>
                <w:szCs w:val="24"/>
                <w:rtl w:val="0"/>
              </w:rPr>
              <w:t xml:space="preserve">Main Activities</w:t>
            </w:r>
          </w:p>
        </w:tc>
        <w:tc>
          <w:tcPr/>
          <w:p w:rsidR="00000000" w:rsidDel="00000000" w:rsidP="00000000" w:rsidRDefault="00000000" w:rsidRPr="00000000" w14:paraId="0000002B">
            <w:pPr>
              <w:spacing w:line="240" w:lineRule="auto"/>
              <w:ind w:firstLine="0"/>
              <w:rPr>
                <w:b w:val="1"/>
                <w:bCs w:val="1"/>
                <w:sz w:val="24"/>
                <w:szCs w:val="24"/>
              </w:rPr>
            </w:pPr>
            <w:r w:rsidDel="00000000" w:rsidR="00000000" w:rsidRPr="00000000">
              <w:rPr>
                <w:b w:val="1"/>
                <w:bCs w:val="1"/>
                <w:sz w:val="24"/>
                <w:szCs w:val="24"/>
                <w:rtl w:val="0"/>
              </w:rPr>
              <w:t xml:space="preserve">Sub-activities</w:t>
            </w:r>
          </w:p>
        </w:tc>
      </w:tr>
      <w:tr>
        <w:trPr>
          <w:cantSplit w:val="0"/>
          <w:tblHeader w:val="0"/>
        </w:trPr>
        <w:tc>
          <w:tcPr/>
          <w:p w:rsidR="00000000" w:rsidDel="00000000" w:rsidP="00000000" w:rsidRDefault="00000000" w:rsidRPr="00000000" w14:paraId="0000002C">
            <w:pPr>
              <w:spacing w:line="240" w:lineRule="auto"/>
              <w:ind w:left="319" w:right="638" w:hanging="319"/>
              <w:rPr>
                <w:sz w:val="24"/>
                <w:szCs w:val="24"/>
              </w:rPr>
            </w:pPr>
            <w:r w:rsidDel="00000000" w:rsidR="00000000" w:rsidRPr="00000000">
              <w:rPr>
                <w:sz w:val="24"/>
                <w:szCs w:val="24"/>
                <w:rtl w:val="0"/>
              </w:rPr>
              <w:t xml:space="preserve">1. Problem Solving</w:t>
            </w:r>
          </w:p>
        </w:tc>
        <w:tc>
          <w:tcPr/>
          <w:p w:rsidR="00000000" w:rsidDel="00000000" w:rsidP="00000000" w:rsidRDefault="00000000" w:rsidRPr="00000000" w14:paraId="0000002D">
            <w:pPr>
              <w:tabs>
                <w:tab w:val="left" w:leader="none" w:pos="577"/>
              </w:tabs>
              <w:spacing w:line="240" w:lineRule="auto"/>
              <w:ind w:left="435" w:hanging="425"/>
              <w:jc w:val="left"/>
              <w:rPr>
                <w:sz w:val="24"/>
                <w:szCs w:val="24"/>
              </w:rPr>
            </w:pPr>
            <w:r w:rsidDel="00000000" w:rsidR="00000000" w:rsidRPr="00000000">
              <w:rPr>
                <w:sz w:val="24"/>
                <w:szCs w:val="24"/>
                <w:rtl w:val="0"/>
              </w:rPr>
              <w:t xml:space="preserve">1.1. Working individually on developing a solution plan (not a solution) for the Tea and Coffee Problem</w:t>
            </w:r>
          </w:p>
          <w:p w:rsidR="00000000" w:rsidDel="00000000" w:rsidP="00000000" w:rsidRDefault="00000000" w:rsidRPr="00000000" w14:paraId="0000002E">
            <w:pPr>
              <w:tabs>
                <w:tab w:val="left" w:leader="none" w:pos="577"/>
              </w:tabs>
              <w:spacing w:line="240" w:lineRule="auto"/>
              <w:ind w:left="435" w:hanging="425"/>
              <w:jc w:val="left"/>
              <w:rPr>
                <w:sz w:val="24"/>
                <w:szCs w:val="24"/>
              </w:rPr>
            </w:pPr>
            <w:r w:rsidDel="00000000" w:rsidR="00000000" w:rsidRPr="00000000">
              <w:rPr>
                <w:sz w:val="24"/>
                <w:szCs w:val="24"/>
                <w:rtl w:val="0"/>
              </w:rPr>
              <w:t xml:space="preserve">1.2. Working in pairs to discuss the solution plans </w:t>
            </w:r>
          </w:p>
          <w:p w:rsidR="00000000" w:rsidDel="00000000" w:rsidP="00000000" w:rsidRDefault="00000000" w:rsidRPr="00000000" w14:paraId="0000002F">
            <w:pPr>
              <w:tabs>
                <w:tab w:val="left" w:leader="none" w:pos="577"/>
              </w:tabs>
              <w:spacing w:line="240" w:lineRule="auto"/>
              <w:ind w:left="435" w:hanging="425"/>
              <w:jc w:val="left"/>
              <w:rPr>
                <w:sz w:val="24"/>
                <w:szCs w:val="24"/>
              </w:rPr>
            </w:pPr>
            <w:r w:rsidDel="00000000" w:rsidR="00000000" w:rsidRPr="00000000">
              <w:rPr>
                <w:sz w:val="24"/>
                <w:szCs w:val="24"/>
                <w:rtl w:val="0"/>
              </w:rPr>
              <w:t xml:space="preserve">1.3. Working in pairs to develop a solution and write a solution report</w:t>
            </w:r>
          </w:p>
        </w:tc>
      </w:tr>
      <w:tr>
        <w:trPr>
          <w:cantSplit w:val="0"/>
          <w:tblHeader w:val="0"/>
        </w:trPr>
        <w:tc>
          <w:tcPr/>
          <w:p w:rsidR="00000000" w:rsidDel="00000000" w:rsidP="00000000" w:rsidRDefault="00000000" w:rsidRPr="00000000" w14:paraId="00000030">
            <w:pPr>
              <w:spacing w:line="240" w:lineRule="auto"/>
              <w:ind w:firstLine="0"/>
              <w:rPr>
                <w:sz w:val="24"/>
                <w:szCs w:val="24"/>
              </w:rPr>
            </w:pPr>
            <w:r w:rsidDel="00000000" w:rsidR="00000000" w:rsidRPr="00000000">
              <w:rPr>
                <w:sz w:val="24"/>
                <w:szCs w:val="24"/>
                <w:rtl w:val="0"/>
              </w:rPr>
              <w:t xml:space="preserve">2. Problem Posing</w:t>
            </w:r>
          </w:p>
        </w:tc>
        <w:tc>
          <w:tcPr/>
          <w:p w:rsidR="00000000" w:rsidDel="00000000" w:rsidP="00000000" w:rsidRDefault="00000000" w:rsidRPr="00000000" w14:paraId="00000031">
            <w:pPr>
              <w:spacing w:line="240" w:lineRule="auto"/>
              <w:ind w:left="435" w:hanging="425"/>
              <w:jc w:val="left"/>
              <w:rPr>
                <w:sz w:val="24"/>
                <w:szCs w:val="24"/>
              </w:rPr>
            </w:pPr>
            <w:r w:rsidDel="00000000" w:rsidR="00000000" w:rsidRPr="00000000">
              <w:rPr>
                <w:sz w:val="24"/>
                <w:szCs w:val="24"/>
                <w:rtl w:val="0"/>
              </w:rPr>
              <w:t xml:space="preserve">2.1. Working individually on posing structurally similar problem but in a different context</w:t>
            </w:r>
          </w:p>
        </w:tc>
      </w:tr>
      <w:tr>
        <w:trPr>
          <w:cantSplit w:val="0"/>
          <w:tblHeader w:val="0"/>
        </w:trPr>
        <w:tc>
          <w:tcPr/>
          <w:p w:rsidR="00000000" w:rsidDel="00000000" w:rsidP="00000000" w:rsidRDefault="00000000" w:rsidRPr="00000000" w14:paraId="00000032">
            <w:pPr>
              <w:spacing w:line="240" w:lineRule="auto"/>
              <w:ind w:left="182" w:hanging="182"/>
              <w:jc w:val="left"/>
              <w:rPr>
                <w:sz w:val="24"/>
                <w:szCs w:val="24"/>
              </w:rPr>
            </w:pPr>
            <w:r w:rsidDel="00000000" w:rsidR="00000000" w:rsidRPr="00000000">
              <w:rPr>
                <w:sz w:val="24"/>
                <w:szCs w:val="24"/>
                <w:rtl w:val="0"/>
              </w:rPr>
              <w:t xml:space="preserve">3. Analysis of Representative Solutions</w:t>
            </w:r>
          </w:p>
        </w:tc>
        <w:tc>
          <w:tcPr/>
          <w:p w:rsidR="00000000" w:rsidDel="00000000" w:rsidP="00000000" w:rsidRDefault="00000000" w:rsidRPr="00000000" w14:paraId="00000033">
            <w:pPr>
              <w:spacing w:line="240" w:lineRule="auto"/>
              <w:ind w:left="435" w:hanging="425"/>
              <w:jc w:val="left"/>
              <w:rPr>
                <w:sz w:val="24"/>
                <w:szCs w:val="24"/>
              </w:rPr>
            </w:pPr>
            <w:r w:rsidDel="00000000" w:rsidR="00000000" w:rsidRPr="00000000">
              <w:rPr>
                <w:sz w:val="24"/>
                <w:szCs w:val="24"/>
                <w:rtl w:val="0"/>
              </w:rPr>
              <w:t xml:space="preserve">3.1. Working in pairs to examine four representative solutions, each of which demonstrates a generic solution of the prospective teachers in four different cities of the world</w:t>
            </w:r>
          </w:p>
          <w:p w:rsidR="00000000" w:rsidDel="00000000" w:rsidP="00000000" w:rsidRDefault="00000000" w:rsidRPr="00000000" w14:paraId="00000034">
            <w:pPr>
              <w:spacing w:line="240" w:lineRule="auto"/>
              <w:ind w:left="435" w:hanging="425"/>
              <w:jc w:val="left"/>
              <w:rPr>
                <w:sz w:val="24"/>
                <w:szCs w:val="24"/>
              </w:rPr>
            </w:pPr>
            <w:r w:rsidDel="00000000" w:rsidR="00000000" w:rsidRPr="00000000">
              <w:rPr>
                <w:sz w:val="24"/>
                <w:szCs w:val="24"/>
                <w:rtl w:val="0"/>
              </w:rPr>
              <w:t xml:space="preserve">3.2. Working either individually or in pairs to report on the similarities and differences noticed in four representative solutions</w:t>
            </w:r>
          </w:p>
          <w:p w:rsidR="00000000" w:rsidDel="00000000" w:rsidP="00000000" w:rsidRDefault="00000000" w:rsidRPr="00000000" w14:paraId="00000035">
            <w:pPr>
              <w:spacing w:line="240" w:lineRule="auto"/>
              <w:ind w:left="435" w:hanging="425"/>
              <w:jc w:val="left"/>
              <w:rPr>
                <w:sz w:val="24"/>
                <w:szCs w:val="24"/>
              </w:rPr>
            </w:pPr>
            <w:r w:rsidDel="00000000" w:rsidR="00000000" w:rsidRPr="00000000">
              <w:rPr>
                <w:sz w:val="24"/>
                <w:szCs w:val="24"/>
                <w:rtl w:val="0"/>
              </w:rPr>
              <w:t xml:space="preserve">3.3. Working either individually or in pairs to match the representative solutions with the locations they demonstrate and write an explanation for the reasons of their matching trend</w:t>
            </w:r>
          </w:p>
        </w:tc>
      </w:tr>
    </w:tbl>
    <w:p w:rsidR="00000000" w:rsidDel="00000000" w:rsidP="00000000" w:rsidRDefault="00000000" w:rsidRPr="00000000" w14:paraId="00000036">
      <w:pPr>
        <w:ind w:firstLine="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425"/>
        <w:jc w:val="both"/>
        <w:rPr/>
      </w:pPr>
      <w:r w:rsidDel="00000000" w:rsidR="00000000" w:rsidRPr="00000000">
        <w:rPr>
          <w:rtl w:val="0"/>
        </w:rPr>
        <w:t xml:space="preserve">The present study focused solely on the third activity: PTs’ examination of the representative solutions from four sites (i.e., Ankara, Barcelona, Linköping, and Valencia) and matching representative solutions with the cultural sites based on the cultural markers they identified. To develop the representative solutions, we analysed the data from the problem-solving activity and identified commonly used ways of thinking and cultural assumptions made to solve the Fermi Problem (for more details see Albarracín et al., 2025). Figure 2 shows the sample representative solution of the Linköping site, noting that euros was used as a currency in all representative solutions not to reveal the origins of the sites from the get-go in the third activity.</w:t>
      </w:r>
    </w:p>
    <w:p w:rsidR="00000000" w:rsidDel="00000000" w:rsidP="00000000" w:rsidRDefault="00000000" w:rsidRPr="00000000" w14:paraId="00000038">
      <w:pPr>
        <w:ind w:firstLine="0"/>
        <w:jc w:val="center"/>
        <w:rPr/>
      </w:pPr>
      <w:r w:rsidDel="00000000" w:rsidR="00000000" w:rsidRPr="00000000">
        <w:rPr/>
        <w:drawing>
          <wp:inline distB="0" distT="0" distL="0" distR="0">
            <wp:extent cx="4570490" cy="3684365"/>
            <wp:effectExtent b="3175" l="3175" r="3175" t="3175"/>
            <wp:docPr descr="A table of text with a number of cups of coffee and cups of tea&#10;&#10;AI-generated content may be incorrect." id="1690154237" name="image1.png"/>
            <a:graphic>
              <a:graphicData uri="http://schemas.openxmlformats.org/drawingml/2006/picture">
                <pic:pic>
                  <pic:nvPicPr>
                    <pic:cNvPr descr="A table of text with a number of cups of coffee and cups of tea&#10;&#10;AI-generated content may be incorrect." id="0" name="image1.png"/>
                    <pic:cNvPicPr preferRelativeResize="0"/>
                  </pic:nvPicPr>
                  <pic:blipFill>
                    <a:blip r:embed="rId7"/>
                    <a:srcRect b="0" l="0" r="0" t="6895"/>
                    <a:stretch>
                      <a:fillRect/>
                    </a:stretch>
                  </pic:blipFill>
                  <pic:spPr>
                    <a:xfrm>
                      <a:off x="0" y="0"/>
                      <a:ext cx="4570490" cy="3684365"/>
                    </a:xfrm>
                    <a:prstGeom prst="rect"/>
                    <a:ln w="3175">
                      <a:solidFill>
                        <a:srgbClr val="7F7F7F"/>
                      </a:solidFill>
                      <a:prstDash val="solid"/>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425" w:right="425"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Figure 2. An example of a representative solution</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425"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data collection procedure was parallel at the three sites, except a minor difference in data recording. In Linköping and Barcelona, the PTs examined, matched, and reported on their rationale for the matching in pairs. In contrast, the PTs in Ankara also examined the representative solutions in pairs but reported their matching and explanations individually. </w:t>
      </w:r>
    </w:p>
    <w:p w:rsidR="00000000" w:rsidDel="00000000" w:rsidP="00000000" w:rsidRDefault="00000000" w:rsidRPr="00000000" w14:paraId="0000003B">
      <w:pPr>
        <w:rPr/>
      </w:pPr>
      <w:r w:rsidDel="00000000" w:rsidR="00000000" w:rsidRPr="00000000">
        <w:rPr>
          <w:rtl w:val="0"/>
        </w:rPr>
        <w:t xml:space="preserve">For data analysis, we quantified correct and incorrect matches of representative solutions, employing open coding (Lincoln &amp; Guba, 1985) to identify cultural aspects the PTs notice in the representative solutions. We triangulated the qualitative interpretations within the group of co-authors and recorded the audit trails of the direct links between the codes and the raw data, which were made available to other researchers to verify the credibility of the findings (Lincoln &amp; Guba, 1985).</w:t>
      </w:r>
    </w:p>
    <w:p w:rsidR="00000000" w:rsidDel="00000000" w:rsidP="00000000" w:rsidRDefault="00000000" w:rsidRPr="00000000" w14:paraId="0000003C">
      <w:pPr>
        <w:pStyle w:val="Heading2"/>
        <w:rPr/>
      </w:pPr>
      <w:r w:rsidDel="00000000" w:rsidR="00000000" w:rsidRPr="00000000">
        <w:rPr>
          <w:rtl w:val="0"/>
        </w:rPr>
        <w:t xml:space="preserve">Findings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We present our findings in two subsections. While the first one answers the first research question, the second addresses the second and third research questions.</w:t>
      </w:r>
    </w:p>
    <w:p w:rsidR="00000000" w:rsidDel="00000000" w:rsidP="00000000" w:rsidRDefault="00000000" w:rsidRPr="00000000" w14:paraId="0000003E">
      <w:pPr>
        <w:pStyle w:val="Heading3"/>
        <w:rPr/>
      </w:pPr>
      <w:r w:rsidDel="00000000" w:rsidR="00000000" w:rsidRPr="00000000">
        <w:rPr>
          <w:rtl w:val="0"/>
        </w:rPr>
        <w:t xml:space="preserve">Prospective teachers’ noticing the markers of their own culture: Indicators of basic cultural awareness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First, we explored the cases in which Catalan, Swedish, and Turkish PTs correctly or incorrectly identified their own culture’s solution to the Tea and Coffee Problem. Figure 3a presents this exploration, only focusing on groups’ identification of their own culture, no matter if the rest of the matching is correct or incorrect; therefore, the percentages add up to 100% for each group. As seen in the figure, approximately 15% of the PTs in Barcelona and Linköping had difficulty in identifying their own culture’s solution, as did 10% of the PTs in Ankara. Yet, at all three sites, the majority of PTs recognized the cultural elements of their respective solutions.</w:t>
      </w:r>
    </w:p>
    <w:p w:rsidR="00000000" w:rsidDel="00000000" w:rsidP="00000000" w:rsidRDefault="00000000" w:rsidRPr="00000000" w14:paraId="00000040">
      <w:pPr>
        <w:rPr/>
      </w:pPr>
      <w:r w:rsidDel="00000000" w:rsidR="00000000" w:rsidRPr="00000000">
        <w:rPr>
          <w:rtl w:val="0"/>
        </w:rPr>
        <w:t xml:space="preserve">When examining their explanations, we found that the PTs had noticed several cultural markers in the representative solutions (see the coloured diagonal cells in Table 3). For example, Turkish PTs noticed the “1 kg package of tea”, which reflects a culturally specific way of brewing tea in Türkiye, where loose-tea leaf is commonly used instead of teabags. Similarly, Turkish coffee is prepared in a special pot, which differs from the methods used for filter coffee, and the PTs noted that the solution did not involve filtered coffee. They also noticed that the administrators and guests were included in the solution, which is another cultural marker, as it is customary for administrators or teachers to offer tea to guests at school. Likewise, the Swedish PTs noticed familiar prices, a reasonable number of cups of coffee per person per day, and the use of ground coffee instead of coffee capsules. These elements also indicate cultural markers related to Swedish schools and broader societal norms. Finally, the Catalan PTs noticed the number of teachers and the length of internships in Barcelona schools, which are specific to their school culture.</w:t>
      </w:r>
    </w:p>
    <w:p w:rsidR="00000000" w:rsidDel="00000000" w:rsidP="00000000" w:rsidRDefault="00000000" w:rsidRPr="00000000" w14:paraId="00000041">
      <w:pPr>
        <w:pStyle w:val="Heading3"/>
        <w:rPr/>
      </w:pPr>
      <w:r w:rsidDel="00000000" w:rsidR="00000000" w:rsidRPr="00000000">
        <w:rPr>
          <w:rtl w:val="0"/>
        </w:rPr>
        <w:t xml:space="preserve">Prospective teachers’ noticing the markers of other cultures: Indicators of advanced cultural awareness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When the PTs’ matching patterns of the representative solutions were explored in more detail, we found that approximately 40% of Swedish and Turkish PTs identified the representative solutions of all other cultures correctly, while 83% of Catalan PTs identified them correctly (see Figure 3b). The percentages in Figure 3b do not necessarily add up to 100% because the focus was only the correct matching cases.</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ind w:firstLine="0"/>
        <w:jc w:val="center"/>
        <w:rPr/>
      </w:pPr>
      <w:r w:rsidDel="00000000" w:rsidR="00000000" w:rsidRPr="00000000">
        <w:rPr/>
        <w:drawing>
          <wp:inline distB="114300" distT="114300" distL="114300" distR="114300">
            <wp:extent cx="2817457" cy="2894647"/>
            <wp:effectExtent b="0" l="0" r="0" t="0"/>
            <wp:docPr id="169015423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817457" cy="2894647"/>
                    </a:xfrm>
                    <a:prstGeom prst="rect"/>
                    <a:ln/>
                  </pic:spPr>
                </pic:pic>
              </a:graphicData>
            </a:graphic>
          </wp:inline>
        </w:drawing>
      </w:r>
      <w:r w:rsidDel="00000000" w:rsidR="00000000" w:rsidRPr="00000000">
        <w:rPr/>
        <w:drawing>
          <wp:inline distB="114300" distT="114300" distL="114300" distR="114300">
            <wp:extent cx="2749388" cy="2890623"/>
            <wp:effectExtent b="0" l="0" r="0" t="0"/>
            <wp:docPr id="169015423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2749388" cy="2890623"/>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425" w:firstLine="0"/>
        <w:jc w:val="center"/>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425" w:firstLine="0"/>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Figure 3. PTs’ representative solution identification of (a) their own culture and (b) other cultures</w:t>
      </w:r>
    </w:p>
    <w:p w:rsidR="00000000" w:rsidDel="00000000" w:rsidP="00000000" w:rsidRDefault="00000000" w:rsidRPr="00000000" w14:paraId="00000047">
      <w:pPr>
        <w:rPr/>
      </w:pPr>
      <w:r w:rsidDel="00000000" w:rsidR="00000000" w:rsidRPr="00000000">
        <w:rPr>
          <w:rtl w:val="0"/>
        </w:rPr>
        <w:t xml:space="preserve">As seen in Figure 3b, there are also partially correct matching in the sense that the representative solutions from Ankara and Linköping were identified correctly but the solutions from Barcelona and Valencia were mismatched although recognized to be from the same country (Spain). 16% of Turkish PTs and 17% of Catalan PTs mismatched the representative solutions from Valencia and Barcelona. However, 43% of Swedish PTs did so, although they noticed and reported that both solutions took the same solution approach. The Catalan, Swedish, and Turkish PTs who mismatched the representative solutions from Valencia and Barcelona noticed that both solutions had a similar school structure. While Turkish PTs both noticed teabags and coffee capsules as cultural markers, Swedish PTs mentioned only coffee capsules as a common feature of these solutions.</w:t>
      </w:r>
    </w:p>
    <w:p w:rsidR="00000000" w:rsidDel="00000000" w:rsidP="00000000" w:rsidRDefault="00000000" w:rsidRPr="00000000" w14:paraId="00000048">
      <w:pPr>
        <w:rPr/>
      </w:pPr>
      <w:r w:rsidDel="00000000" w:rsidR="00000000" w:rsidRPr="00000000">
        <w:rPr>
          <w:rtl w:val="0"/>
        </w:rPr>
        <w:t xml:space="preserve">Moreover, we observed that the Catalan and Swedish PTs both noticed the tea culture in </w:t>
      </w:r>
      <w:bookmarkStart w:colFirst="0" w:colLast="0" w:name="bookmark=id.mshfsrxkkf1" w:id="0"/>
      <w:bookmarkEnd w:id="0"/>
      <w:r w:rsidDel="00000000" w:rsidR="00000000" w:rsidRPr="00000000">
        <w:rPr>
          <w:rtl w:val="0"/>
        </w:rPr>
        <w:t xml:space="preserve">Türkiye and correctly identified the representative solution that included more tea than coffee (see Table 3). It is important to note that these cultural markers were elicited from the written explanations of the PTs. For the representative solutions from Linköping, the Catalan and Turkish PTs identified cultural markers such as the use of coffee beans and grounded coffee, high prices, and guest consideration. In the case of Barcelona, both the Swedish and Turkish PTs recognized the use of coffee capsules. Furthermore, the Turkish PTs compared the representative solutions from Barcelona and Valencia, arguing that Valencia has fewer teachers and a lower budget, Barcelona has more teachers and a higher budget. Turkish PTs also noted that the Barcelona solution did not consider guests, indicating another noticed cultural marker.</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firstLine="0"/>
        <w:rPr/>
      </w:pPr>
      <w:r w:rsidDel="00000000" w:rsidR="00000000" w:rsidRPr="00000000">
        <w:rPr>
          <w:rtl w:val="0"/>
        </w:rPr>
        <w:br w:type="textWrapping"/>
      </w:r>
    </w:p>
    <w:p w:rsidR="00000000" w:rsidDel="00000000" w:rsidP="00000000" w:rsidRDefault="00000000" w:rsidRPr="00000000" w14:paraId="0000004B">
      <w:pPr>
        <w:ind w:firstLine="0"/>
        <w:rPr/>
      </w:pPr>
      <w:r w:rsidDel="00000000" w:rsidR="00000000" w:rsidRPr="00000000">
        <w:rPr>
          <w:rtl w:val="0"/>
        </w:rPr>
      </w:r>
    </w:p>
    <w:p w:rsidR="00000000" w:rsidDel="00000000" w:rsidP="00000000" w:rsidRDefault="00000000" w:rsidRPr="00000000" w14:paraId="0000004C">
      <w:pPr>
        <w:ind w:firstLine="0"/>
        <w:rPr/>
      </w:pPr>
      <w:r w:rsidDel="00000000" w:rsidR="00000000" w:rsidRPr="00000000">
        <w:rPr>
          <w:rtl w:val="0"/>
        </w:rPr>
      </w:r>
    </w:p>
    <w:p w:rsidR="00000000" w:rsidDel="00000000" w:rsidP="00000000" w:rsidRDefault="00000000" w:rsidRPr="00000000" w14:paraId="0000004D">
      <w:pPr>
        <w:ind w:firstLine="0"/>
        <w:rPr/>
      </w:pPr>
      <w:r w:rsidDel="00000000" w:rsidR="00000000" w:rsidRPr="00000000">
        <w:rPr>
          <w:rtl w:val="0"/>
        </w:rPr>
      </w:r>
    </w:p>
    <w:p w:rsidR="00000000" w:rsidDel="00000000" w:rsidP="00000000" w:rsidRDefault="00000000" w:rsidRPr="00000000" w14:paraId="0000004E">
      <w:pPr>
        <w:ind w:firstLine="0"/>
        <w:rPr/>
      </w:pPr>
      <w:r w:rsidDel="00000000" w:rsidR="00000000" w:rsidRPr="00000000">
        <w:rPr>
          <w:rtl w:val="0"/>
        </w:rPr>
        <w:t xml:space="preserve">Table 3. Cultural markers noticed by PTs in the representative solutions</w:t>
      </w:r>
    </w:p>
    <w:tbl>
      <w:tblPr>
        <w:tblStyle w:val="Table4"/>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7"/>
        <w:gridCol w:w="2344"/>
        <w:gridCol w:w="1984"/>
        <w:gridCol w:w="1985"/>
        <w:gridCol w:w="1842"/>
        <w:tblGridChange w:id="0">
          <w:tblGrid>
            <w:gridCol w:w="917"/>
            <w:gridCol w:w="2344"/>
            <w:gridCol w:w="1984"/>
            <w:gridCol w:w="1985"/>
            <w:gridCol w:w="1842"/>
          </w:tblGrid>
        </w:tblGridChange>
      </w:tblGrid>
      <w:tr>
        <w:trPr>
          <w:cantSplit w:val="0"/>
          <w:trHeight w:val="340" w:hRule="atLeast"/>
          <w:tblHeader w:val="0"/>
        </w:trPr>
        <w:tc>
          <w:tcPr>
            <w:tcBorders>
              <w:top w:color="000000" w:space="0" w:sz="0" w:val="nil"/>
              <w:left w:color="000000" w:space="0" w:sz="0" w:val="nil"/>
              <w:bottom w:color="000000" w:space="0" w:sz="0" w:val="nil"/>
            </w:tcBorders>
          </w:tcPr>
          <w:p w:rsidR="00000000" w:rsidDel="00000000" w:rsidP="00000000" w:rsidRDefault="00000000" w:rsidRPr="00000000" w14:paraId="0000004F">
            <w:pPr>
              <w:spacing w:line="240" w:lineRule="auto"/>
              <w:jc w:val="left"/>
              <w:rPr>
                <w:sz w:val="20"/>
                <w:szCs w:val="20"/>
              </w:rPr>
            </w:pPr>
            <w:r w:rsidDel="00000000" w:rsidR="00000000" w:rsidRPr="00000000">
              <w:rPr>
                <w:rtl w:val="0"/>
              </w:rPr>
            </w:r>
          </w:p>
        </w:tc>
        <w:tc>
          <w:tcPr>
            <w:gridSpan w:val="4"/>
            <w:tcBorders>
              <w:bottom w:color="000000" w:space="0" w:sz="0" w:val="nil"/>
            </w:tcBorders>
          </w:tcPr>
          <w:p w:rsidR="00000000" w:rsidDel="00000000" w:rsidP="00000000" w:rsidRDefault="00000000" w:rsidRPr="00000000" w14:paraId="00000050">
            <w:pPr>
              <w:spacing w:line="240" w:lineRule="auto"/>
              <w:ind w:firstLine="0"/>
              <w:rPr>
                <w:b w:val="1"/>
                <w:bCs w:val="1"/>
                <w:color w:val="000000"/>
                <w:sz w:val="20"/>
                <w:szCs w:val="20"/>
              </w:rPr>
            </w:pPr>
            <w:r w:rsidDel="00000000" w:rsidR="00000000" w:rsidRPr="00000000">
              <w:rPr>
                <w:b w:val="1"/>
                <w:bCs w:val="1"/>
                <w:color w:val="000000"/>
                <w:sz w:val="20"/>
                <w:szCs w:val="20"/>
                <w:rtl w:val="0"/>
              </w:rPr>
              <w:t xml:space="preserve">Cultural markers noticed in the representative solution of</w:t>
            </w:r>
          </w:p>
        </w:tc>
      </w:tr>
      <w:tr>
        <w:trPr>
          <w:cantSplit w:val="0"/>
          <w:trHeight w:val="264" w:hRule="atLeast"/>
          <w:tblHeader w:val="0"/>
        </w:trPr>
        <w:tc>
          <w:tcPr>
            <w:tcBorders>
              <w:top w:color="000000" w:space="0" w:sz="0" w:val="nil"/>
              <w:left w:color="000000" w:space="0" w:sz="0" w:val="nil"/>
            </w:tcBorders>
          </w:tcPr>
          <w:p w:rsidR="00000000" w:rsidDel="00000000" w:rsidP="00000000" w:rsidRDefault="00000000" w:rsidRPr="00000000" w14:paraId="00000054">
            <w:pPr>
              <w:spacing w:line="240" w:lineRule="auto"/>
              <w:jc w:val="left"/>
              <w:rPr>
                <w:sz w:val="20"/>
                <w:szCs w:val="20"/>
              </w:rPr>
            </w:pPr>
            <w:r w:rsidDel="00000000" w:rsidR="00000000" w:rsidRPr="00000000">
              <w:rPr>
                <w:rtl w:val="0"/>
              </w:rPr>
            </w:r>
          </w:p>
        </w:tc>
        <w:tc>
          <w:tcPr>
            <w:tcBorders>
              <w:top w:color="000000" w:space="0" w:sz="0" w:val="nil"/>
            </w:tcBorders>
          </w:tcPr>
          <w:p w:rsidR="00000000" w:rsidDel="00000000" w:rsidP="00000000" w:rsidRDefault="00000000" w:rsidRPr="00000000" w14:paraId="00000055">
            <w:pPr>
              <w:spacing w:line="240" w:lineRule="auto"/>
              <w:ind w:firstLine="0"/>
              <w:rPr>
                <w:b w:val="1"/>
                <w:bCs w:val="1"/>
                <w:color w:val="000000"/>
                <w:sz w:val="20"/>
                <w:szCs w:val="20"/>
              </w:rPr>
            </w:pPr>
            <w:r w:rsidDel="00000000" w:rsidR="00000000" w:rsidRPr="00000000">
              <w:rPr>
                <w:b w:val="1"/>
                <w:bCs w:val="1"/>
                <w:color w:val="000000"/>
                <w:sz w:val="20"/>
                <w:szCs w:val="20"/>
                <w:rtl w:val="0"/>
              </w:rPr>
              <w:t xml:space="preserve">Ankara</w:t>
            </w:r>
          </w:p>
        </w:tc>
        <w:tc>
          <w:tcPr>
            <w:tcBorders>
              <w:top w:color="000000" w:space="0" w:sz="0" w:val="nil"/>
            </w:tcBorders>
          </w:tcPr>
          <w:p w:rsidR="00000000" w:rsidDel="00000000" w:rsidP="00000000" w:rsidRDefault="00000000" w:rsidRPr="00000000" w14:paraId="00000056">
            <w:pPr>
              <w:spacing w:line="240" w:lineRule="auto"/>
              <w:ind w:firstLine="0"/>
              <w:rPr>
                <w:b w:val="1"/>
                <w:bCs w:val="1"/>
                <w:color w:val="000000"/>
                <w:sz w:val="20"/>
                <w:szCs w:val="20"/>
              </w:rPr>
            </w:pPr>
            <w:r w:rsidDel="00000000" w:rsidR="00000000" w:rsidRPr="00000000">
              <w:rPr>
                <w:b w:val="1"/>
                <w:bCs w:val="1"/>
                <w:color w:val="000000"/>
                <w:sz w:val="20"/>
                <w:szCs w:val="20"/>
                <w:rtl w:val="0"/>
              </w:rPr>
              <w:t xml:space="preserve">Linköping</w:t>
            </w:r>
          </w:p>
        </w:tc>
        <w:tc>
          <w:tcPr>
            <w:tcBorders>
              <w:top w:color="000000" w:space="0" w:sz="0" w:val="nil"/>
            </w:tcBorders>
          </w:tcPr>
          <w:p w:rsidR="00000000" w:rsidDel="00000000" w:rsidP="00000000" w:rsidRDefault="00000000" w:rsidRPr="00000000" w14:paraId="00000057">
            <w:pPr>
              <w:spacing w:line="240" w:lineRule="auto"/>
              <w:ind w:firstLine="0"/>
              <w:rPr>
                <w:b w:val="1"/>
                <w:bCs w:val="1"/>
                <w:color w:val="000000"/>
                <w:sz w:val="20"/>
                <w:szCs w:val="20"/>
              </w:rPr>
            </w:pPr>
            <w:r w:rsidDel="00000000" w:rsidR="00000000" w:rsidRPr="00000000">
              <w:rPr>
                <w:b w:val="1"/>
                <w:bCs w:val="1"/>
                <w:color w:val="000000"/>
                <w:sz w:val="20"/>
                <w:szCs w:val="20"/>
                <w:rtl w:val="0"/>
              </w:rPr>
              <w:t xml:space="preserve">Barcelona</w:t>
            </w:r>
          </w:p>
        </w:tc>
        <w:tc>
          <w:tcPr>
            <w:tcBorders>
              <w:top w:color="000000" w:space="0" w:sz="0" w:val="nil"/>
            </w:tcBorders>
          </w:tcPr>
          <w:p w:rsidR="00000000" w:rsidDel="00000000" w:rsidP="00000000" w:rsidRDefault="00000000" w:rsidRPr="00000000" w14:paraId="00000058">
            <w:pPr>
              <w:spacing w:line="240" w:lineRule="auto"/>
              <w:ind w:firstLine="0"/>
              <w:rPr>
                <w:b w:val="1"/>
                <w:bCs w:val="1"/>
                <w:color w:val="000000"/>
                <w:sz w:val="20"/>
                <w:szCs w:val="20"/>
              </w:rPr>
            </w:pPr>
            <w:r w:rsidDel="00000000" w:rsidR="00000000" w:rsidRPr="00000000">
              <w:rPr>
                <w:b w:val="1"/>
                <w:bCs w:val="1"/>
                <w:color w:val="000000"/>
                <w:sz w:val="20"/>
                <w:szCs w:val="20"/>
                <w:rtl w:val="0"/>
              </w:rPr>
              <w:t xml:space="preserve">Valencia</w:t>
            </w:r>
          </w:p>
        </w:tc>
      </w:tr>
      <w:tr>
        <w:trPr>
          <w:cantSplit w:val="0"/>
          <w:trHeight w:val="2913" w:hRule="atLeast"/>
          <w:tblHeader w:val="0"/>
        </w:trPr>
        <w:tc>
          <w:tcPr/>
          <w:p w:rsidR="00000000" w:rsidDel="00000000" w:rsidP="00000000" w:rsidRDefault="00000000" w:rsidRPr="00000000" w14:paraId="00000059">
            <w:pPr>
              <w:spacing w:line="240" w:lineRule="auto"/>
              <w:ind w:firstLine="0"/>
              <w:jc w:val="left"/>
              <w:rPr>
                <w:b w:val="1"/>
                <w:bCs w:val="1"/>
                <w:color w:val="000000"/>
                <w:sz w:val="20"/>
                <w:szCs w:val="20"/>
              </w:rPr>
            </w:pPr>
            <w:r w:rsidDel="00000000" w:rsidR="00000000" w:rsidRPr="00000000">
              <w:rPr>
                <w:b w:val="1"/>
                <w:bCs w:val="1"/>
                <w:color w:val="000000"/>
                <w:sz w:val="20"/>
                <w:szCs w:val="20"/>
                <w:rtl w:val="0"/>
              </w:rPr>
              <w:t xml:space="preserve">Turkish PSTs</w:t>
            </w:r>
          </w:p>
        </w:tc>
        <w:tc>
          <w:tcPr>
            <w:shd w:fill="eeece1" w:val="clear"/>
          </w:tcPr>
          <w:p w:rsidR="00000000" w:rsidDel="00000000" w:rsidP="00000000" w:rsidRDefault="00000000" w:rsidRPr="00000000" w14:paraId="0000005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0" w:hanging="2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more tea consumption</w:t>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0" w:hanging="2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variety and familiarity of brands</w:t>
            </w:r>
          </w:p>
          <w:p w:rsidR="00000000" w:rsidDel="00000000" w:rsidP="00000000" w:rsidRDefault="00000000" w:rsidRPr="00000000" w14:paraId="0000005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0" w:hanging="2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kg packages of tea for tea brewing, instead of tea bags</w:t>
            </w:r>
          </w:p>
          <w:p w:rsidR="00000000" w:rsidDel="00000000" w:rsidP="00000000" w:rsidRDefault="00000000" w:rsidRPr="00000000" w14:paraId="0000005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0" w:hanging="2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both tea and coffee consumption</w:t>
            </w:r>
          </w:p>
          <w:p w:rsidR="00000000" w:rsidDel="00000000" w:rsidP="00000000" w:rsidRDefault="00000000" w:rsidRPr="00000000" w14:paraId="0000005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0" w:hanging="2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no filtered coffee</w:t>
            </w:r>
          </w:p>
          <w:p w:rsidR="00000000" w:rsidDel="00000000" w:rsidP="00000000" w:rsidRDefault="00000000" w:rsidRPr="00000000" w14:paraId="0000005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207" w:right="0" w:hanging="207"/>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considering administrators, guests, and other school staff</w:t>
            </w:r>
          </w:p>
        </w:tc>
        <w:tc>
          <w:tcPr/>
          <w:p w:rsidR="00000000" w:rsidDel="00000000" w:rsidP="00000000" w:rsidRDefault="00000000" w:rsidRPr="00000000" w14:paraId="000000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more coffee than tea</w:t>
            </w:r>
          </w:p>
          <w:p w:rsidR="00000000" w:rsidDel="00000000" w:rsidP="00000000" w:rsidRDefault="00000000" w:rsidRPr="00000000" w14:paraId="000000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grounded coffee and coffee beans</w:t>
            </w:r>
          </w:p>
          <w:p w:rsidR="00000000" w:rsidDel="00000000" w:rsidP="00000000" w:rsidRDefault="00000000" w:rsidRPr="00000000" w14:paraId="000000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high budget (high tea and coffee prices)</w:t>
            </w:r>
          </w:p>
          <w:p w:rsidR="00000000" w:rsidDel="00000000" w:rsidP="00000000" w:rsidRDefault="00000000" w:rsidRPr="00000000" w14:paraId="000000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guests counted</w:t>
            </w:r>
          </w:p>
          <w:p w:rsidR="00000000" w:rsidDel="00000000" w:rsidP="00000000" w:rsidRDefault="00000000" w:rsidRPr="00000000" w14:paraId="000000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last choice left</w:t>
            </w:r>
          </w:p>
        </w:tc>
        <w:tc>
          <w:tcPr/>
          <w:p w:rsidR="00000000" w:rsidDel="00000000" w:rsidP="00000000" w:rsidRDefault="00000000" w:rsidRPr="00000000" w14:paraId="000000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tea bags and coffee capsules</w:t>
            </w:r>
          </w:p>
          <w:p w:rsidR="00000000" w:rsidDel="00000000" w:rsidP="00000000" w:rsidRDefault="00000000" w:rsidRPr="00000000" w14:paraId="000000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guests not counted</w:t>
            </w:r>
          </w:p>
          <w:p w:rsidR="00000000" w:rsidDel="00000000" w:rsidP="00000000" w:rsidRDefault="00000000" w:rsidRPr="00000000" w14:paraId="000000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more diverse community, possibility of less religious courses</w:t>
            </w:r>
          </w:p>
          <w:p w:rsidR="00000000" w:rsidDel="00000000" w:rsidP="00000000" w:rsidRDefault="00000000" w:rsidRPr="00000000" w14:paraId="000000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Relative to Valencia: </w:t>
            </w:r>
          </w:p>
          <w:p w:rsidR="00000000" w:rsidDel="00000000" w:rsidP="00000000" w:rsidRDefault="00000000" w:rsidRPr="00000000" w14:paraId="0000006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23" w:right="0" w:hanging="14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more population </w:t>
            </w:r>
          </w:p>
          <w:p w:rsidR="00000000" w:rsidDel="00000000" w:rsidP="00000000" w:rsidRDefault="00000000" w:rsidRPr="00000000" w14:paraId="0000006A">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23" w:right="0" w:hanging="14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more teachers </w:t>
            </w:r>
          </w:p>
          <w:p w:rsidR="00000000" w:rsidDel="00000000" w:rsidP="00000000" w:rsidRDefault="00000000" w:rsidRPr="00000000" w14:paraId="0000006B">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23" w:right="0" w:hanging="14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higher budget </w:t>
            </w:r>
          </w:p>
        </w:tc>
        <w:tc>
          <w:tcPr/>
          <w:p w:rsidR="00000000" w:rsidDel="00000000" w:rsidP="00000000" w:rsidRDefault="00000000" w:rsidRPr="00000000" w14:paraId="0000006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tea bags and coffee capsules</w:t>
            </w:r>
          </w:p>
          <w:p w:rsidR="00000000" w:rsidDel="00000000" w:rsidP="00000000" w:rsidRDefault="00000000" w:rsidRPr="00000000" w14:paraId="0000006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religious courses</w:t>
            </w:r>
          </w:p>
          <w:p w:rsidR="00000000" w:rsidDel="00000000" w:rsidP="00000000" w:rsidRDefault="00000000" w:rsidRPr="00000000" w14:paraId="0000006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guests not counted</w:t>
            </w:r>
          </w:p>
          <w:p w:rsidR="00000000" w:rsidDel="00000000" w:rsidP="00000000" w:rsidRDefault="00000000" w:rsidRPr="00000000" w14:paraId="0000006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emphasis on pedagogies</w:t>
            </w:r>
          </w:p>
          <w:p w:rsidR="00000000" w:rsidDel="00000000" w:rsidP="00000000" w:rsidRDefault="00000000" w:rsidRPr="00000000" w14:paraId="0000007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Relative to Barcelona: </w:t>
            </w:r>
          </w:p>
          <w:p w:rsidR="00000000" w:rsidDel="00000000" w:rsidP="00000000" w:rsidRDefault="00000000" w:rsidRPr="00000000" w14:paraId="00000071">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16" w:right="0" w:hanging="14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less population</w:t>
            </w:r>
          </w:p>
          <w:p w:rsidR="00000000" w:rsidDel="00000000" w:rsidP="00000000" w:rsidRDefault="00000000" w:rsidRPr="00000000" w14:paraId="00000072">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16" w:right="0" w:hanging="14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fewer teachers</w:t>
            </w:r>
          </w:p>
          <w:p w:rsidR="00000000" w:rsidDel="00000000" w:rsidP="00000000" w:rsidRDefault="00000000" w:rsidRPr="00000000" w14:paraId="00000073">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316" w:right="0" w:hanging="142"/>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lower budget </w:t>
            </w:r>
          </w:p>
        </w:tc>
      </w:tr>
      <w:tr>
        <w:trPr>
          <w:cantSplit w:val="0"/>
          <w:trHeight w:val="2121" w:hRule="atLeast"/>
          <w:tblHeader w:val="0"/>
        </w:trPr>
        <w:tc>
          <w:tcPr/>
          <w:p w:rsidR="00000000" w:rsidDel="00000000" w:rsidP="00000000" w:rsidRDefault="00000000" w:rsidRPr="00000000" w14:paraId="00000074">
            <w:pPr>
              <w:spacing w:line="240" w:lineRule="auto"/>
              <w:ind w:firstLine="0"/>
              <w:jc w:val="left"/>
              <w:rPr>
                <w:b w:val="1"/>
                <w:bCs w:val="1"/>
                <w:color w:val="000000"/>
                <w:sz w:val="20"/>
                <w:szCs w:val="20"/>
              </w:rPr>
            </w:pPr>
            <w:r w:rsidDel="00000000" w:rsidR="00000000" w:rsidRPr="00000000">
              <w:rPr>
                <w:b w:val="1"/>
                <w:bCs w:val="1"/>
                <w:color w:val="000000"/>
                <w:sz w:val="20"/>
                <w:szCs w:val="20"/>
                <w:rtl w:val="0"/>
              </w:rPr>
              <w:t xml:space="preserve">Swedish PSTs</w:t>
            </w:r>
          </w:p>
        </w:tc>
        <w:tc>
          <w:tcPr/>
          <w:p w:rsidR="00000000" w:rsidDel="00000000" w:rsidP="00000000" w:rsidRDefault="00000000" w:rsidRPr="00000000" w14:paraId="0000007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more tea consumption (tea culture)</w:t>
            </w:r>
          </w:p>
        </w:tc>
        <w:tc>
          <w:tcPr>
            <w:shd w:fill="eeece1" w:val="clear"/>
          </w:tcPr>
          <w:p w:rsidR="00000000" w:rsidDel="00000000" w:rsidP="00000000" w:rsidRDefault="00000000" w:rsidRPr="00000000" w14:paraId="0000007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68" w:right="0" w:hanging="168"/>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grounded coffee and coffee beans, not capsules</w:t>
            </w:r>
          </w:p>
          <w:p w:rsidR="00000000" w:rsidDel="00000000" w:rsidP="00000000" w:rsidRDefault="00000000" w:rsidRPr="00000000" w14:paraId="0000007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68" w:right="0" w:hanging="168"/>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cups of coffee per day is the average for Swedish people</w:t>
            </w:r>
          </w:p>
          <w:p w:rsidR="00000000" w:rsidDel="00000000" w:rsidP="00000000" w:rsidRDefault="00000000" w:rsidRPr="00000000" w14:paraId="0000007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68" w:right="0" w:hanging="168"/>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prices are familiar</w:t>
            </w:r>
          </w:p>
          <w:p w:rsidR="00000000" w:rsidDel="00000000" w:rsidP="00000000" w:rsidRDefault="00000000" w:rsidRPr="00000000" w14:paraId="0000007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68" w:right="0" w:hanging="168"/>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holidays are considered</w:t>
            </w:r>
          </w:p>
        </w:tc>
        <w:tc>
          <w:tcPr/>
          <w:p w:rsidR="00000000" w:rsidDel="00000000" w:rsidP="00000000" w:rsidRDefault="00000000" w:rsidRPr="00000000" w14:paraId="0000007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coffee capsules</w:t>
            </w:r>
          </w:p>
          <w:p w:rsidR="00000000" w:rsidDel="00000000" w:rsidP="00000000" w:rsidRDefault="00000000" w:rsidRPr="00000000" w14:paraId="0000007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last choice left</w:t>
            </w:r>
          </w:p>
        </w:tc>
        <w:tc>
          <w:tcPr/>
          <w:p w:rsidR="00000000" w:rsidDel="00000000" w:rsidP="00000000" w:rsidRDefault="00000000" w:rsidRPr="00000000" w14:paraId="0000007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cappucino likers</w:t>
            </w:r>
          </w:p>
        </w:tc>
      </w:tr>
      <w:tr>
        <w:trPr>
          <w:cantSplit w:val="0"/>
          <w:trHeight w:val="2402" w:hRule="atLeast"/>
          <w:tblHeader w:val="0"/>
        </w:trPr>
        <w:tc>
          <w:tcPr/>
          <w:p w:rsidR="00000000" w:rsidDel="00000000" w:rsidP="00000000" w:rsidRDefault="00000000" w:rsidRPr="00000000" w14:paraId="0000007D">
            <w:pPr>
              <w:spacing w:line="240" w:lineRule="auto"/>
              <w:ind w:firstLine="0"/>
              <w:jc w:val="left"/>
              <w:rPr>
                <w:b w:val="1"/>
                <w:bCs w:val="1"/>
                <w:color w:val="000000"/>
                <w:sz w:val="20"/>
                <w:szCs w:val="20"/>
              </w:rPr>
            </w:pPr>
            <w:r w:rsidDel="00000000" w:rsidR="00000000" w:rsidRPr="00000000">
              <w:rPr>
                <w:b w:val="1"/>
                <w:bCs w:val="1"/>
                <w:color w:val="000000"/>
                <w:sz w:val="20"/>
                <w:szCs w:val="20"/>
                <w:rtl w:val="0"/>
              </w:rPr>
              <w:t xml:space="preserve">Catalan PSTs</w:t>
            </w:r>
          </w:p>
        </w:tc>
        <w:tc>
          <w:tcPr/>
          <w:p w:rsidR="00000000" w:rsidDel="00000000" w:rsidP="00000000" w:rsidRDefault="00000000" w:rsidRPr="00000000" w14:paraId="0000007E">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more tea consumption (tea culture)</w:t>
            </w:r>
          </w:p>
          <w:p w:rsidR="00000000" w:rsidDel="00000000" w:rsidP="00000000" w:rsidRDefault="00000000" w:rsidRPr="00000000" w14:paraId="0000007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low prices</w:t>
            </w:r>
          </w:p>
          <w:p w:rsidR="00000000" w:rsidDel="00000000" w:rsidP="00000000" w:rsidRDefault="00000000" w:rsidRPr="00000000" w14:paraId="0000008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different school schedule </w:t>
            </w:r>
          </w:p>
        </w:tc>
        <w:tc>
          <w:tcPr/>
          <w:p w:rsidR="00000000" w:rsidDel="00000000" w:rsidP="00000000" w:rsidRDefault="00000000" w:rsidRPr="00000000" w14:paraId="0000008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School structure (higher teacher quantity)</w:t>
            </w:r>
          </w:p>
          <w:p w:rsidR="00000000" w:rsidDel="00000000" w:rsidP="00000000" w:rsidRDefault="00000000" w:rsidRPr="00000000" w14:paraId="0000008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coffee beans, not capsules</w:t>
            </w:r>
          </w:p>
          <w:p w:rsidR="00000000" w:rsidDel="00000000" w:rsidP="00000000" w:rsidRDefault="00000000" w:rsidRPr="00000000" w14:paraId="0000008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visiting teachers and other staff </w:t>
            </w:r>
          </w:p>
          <w:p w:rsidR="00000000" w:rsidDel="00000000" w:rsidP="00000000" w:rsidRDefault="00000000" w:rsidRPr="00000000" w14:paraId="0000008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high prices</w:t>
            </w:r>
          </w:p>
          <w:p w:rsidR="00000000" w:rsidDel="00000000" w:rsidP="00000000" w:rsidRDefault="00000000" w:rsidRPr="00000000" w14:paraId="0000008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professional development</w:t>
            </w:r>
          </w:p>
        </w:tc>
        <w:tc>
          <w:tcPr>
            <w:shd w:fill="eeece1" w:val="clear"/>
          </w:tcPr>
          <w:p w:rsidR="00000000" w:rsidDel="00000000" w:rsidP="00000000" w:rsidRDefault="00000000" w:rsidRPr="00000000" w14:paraId="0000008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7" w:right="0" w:hanging="14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More coffee consumption </w:t>
            </w:r>
          </w:p>
          <w:p w:rsidR="00000000" w:rsidDel="00000000" w:rsidP="00000000" w:rsidRDefault="00000000" w:rsidRPr="00000000" w14:paraId="0000008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7" w:right="0" w:hanging="14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number of teachers</w:t>
            </w:r>
          </w:p>
          <w:p w:rsidR="00000000" w:rsidDel="00000000" w:rsidP="00000000" w:rsidRDefault="00000000" w:rsidRPr="00000000" w14:paraId="0000008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77" w:right="0" w:hanging="14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length of internships</w:t>
            </w:r>
          </w:p>
        </w:tc>
        <w:tc>
          <w:tcPr/>
          <w:p w:rsidR="00000000" w:rsidDel="00000000" w:rsidP="00000000" w:rsidRDefault="00000000" w:rsidRPr="00000000" w14:paraId="0000008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organization of Spanish school system</w:t>
            </w:r>
          </w:p>
          <w:p w:rsidR="00000000" w:rsidDel="00000000" w:rsidP="00000000" w:rsidRDefault="00000000" w:rsidRPr="00000000" w14:paraId="0000008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familiar school schedule</w:t>
            </w:r>
          </w:p>
          <w:p w:rsidR="00000000" w:rsidDel="00000000" w:rsidP="00000000" w:rsidRDefault="00000000" w:rsidRPr="00000000" w14:paraId="0000008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holly week considered</w:t>
            </w:r>
          </w:p>
          <w:p w:rsidR="00000000" w:rsidDel="00000000" w:rsidP="00000000" w:rsidRDefault="00000000" w:rsidRPr="00000000" w14:paraId="0000008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215" w:right="0" w:hanging="215"/>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last choice left</w:t>
            </w:r>
          </w:p>
        </w:tc>
      </w:tr>
    </w:tbl>
    <w:p w:rsidR="00000000" w:rsidDel="00000000" w:rsidP="00000000" w:rsidRDefault="00000000" w:rsidRPr="00000000" w14:paraId="0000008D">
      <w:pPr>
        <w:pStyle w:val="Heading3"/>
        <w:rPr/>
      </w:pPr>
      <w:r w:rsidDel="00000000" w:rsidR="00000000" w:rsidRPr="00000000">
        <w:rPr>
          <w:rtl w:val="0"/>
        </w:rPr>
        <w:t xml:space="preserve">Discussion and Conclusion</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The findings showed that the Catalan, Swedish, and Turkish PTs could readily identify cultural markers from their own context, although a small percentage failed to do so. This indicates basic cultural awareness, which remains important because the PTs recognised that the solutions to the Fermi problem were embedded with cultural markers. This observation aligns with the ethnomodelling perspective (Orey &amp; Rosa, 2021). Although the PTs did not consciously consider these cultural markers while solving the problem, the mathematical modelling process enabled the interpretation of culturally induced behaviours, such as tea and coffee drinking habits in different countries, and whether tea or coffee are routinely offered to the guests visiting schools. This suggests that a possible approach in the mathematics classroom to address the goals related to “international perspectives” emphasized in curricula (cf. Lgr22 and Gy25), is to engage in comparing and contrasting representative solutions of Fermi problems.</w:t>
      </w:r>
    </w:p>
    <w:p w:rsidR="00000000" w:rsidDel="00000000" w:rsidP="00000000" w:rsidRDefault="00000000" w:rsidRPr="00000000" w14:paraId="0000008F">
      <w:pPr>
        <w:rPr/>
      </w:pPr>
      <w:r w:rsidDel="00000000" w:rsidR="00000000" w:rsidRPr="00000000">
        <w:rPr>
          <w:rtl w:val="0"/>
        </w:rPr>
        <w:t xml:space="preserve">All PTs could identify solutions representative of other cultures to some extent. For the Swedish and Turkish PTs, this percentage was nearly half that of their basic cultural awareness performance. Catalan PTs performed twice as well as their Swedish and Turkish counterparts, perhaps because Barcelona is a more metropolitan city that provides opportunities to interact with people from different cultures. For mathematics education this indicates, that for the local sites that do not have the advantage of encountering various cultures, then mathematical tasks may offer such possibilities.</w:t>
      </w:r>
    </w:p>
    <w:p w:rsidR="00000000" w:rsidDel="00000000" w:rsidP="00000000" w:rsidRDefault="00000000" w:rsidRPr="00000000" w14:paraId="00000090">
      <w:pPr>
        <w:rPr/>
      </w:pPr>
      <w:r w:rsidDel="00000000" w:rsidR="00000000" w:rsidRPr="00000000">
        <w:rPr>
          <w:rtl w:val="0"/>
        </w:rPr>
        <w:t xml:space="preserve">Although we do not have direct evidence that the PTs acknowledged the provisional nature of culture, their explanations for each representative solution suggested that they considered cultural markers to be relative (cf. Baker, 2011). Furthermore, different solutions to the Fermi problem entailed distinct cultural assumptions and constraints that influenced the solution (Ärlebäck et al., 2024a). This was possible through the interpretation and mathematisation of the situation during the problem-solving stage of the FerMICA project. Moreover, the analysis of the representative solutions stage, the focal point of this paper, required a reinterpreting of the situation. This reinterpretation enabled the identification of the cultural markers involved in both the context and the solution process. Specifically, PTs engaged in hypothetical intercultural communication with their peers about solutions developed by their Catalan, Spanish, Swedish, and Turkish counterparts. This interaction represents an important step in extending advanced cultural awareness to intercultural awareness. Therefore, we find this experience promising for developing the intercultural awareness of future teachers in the global educational context of the 21</w:t>
      </w:r>
      <w:r w:rsidDel="00000000" w:rsidR="00000000" w:rsidRPr="00000000">
        <w:rPr>
          <w:vertAlign w:val="superscript"/>
          <w:rtl w:val="0"/>
        </w:rPr>
        <w:t xml:space="preserve">st</w:t>
      </w:r>
      <w:r w:rsidDel="00000000" w:rsidR="00000000" w:rsidRPr="00000000">
        <w:rPr>
          <w:rtl w:val="0"/>
        </w:rPr>
        <w:t xml:space="preserve"> century. </w:t>
      </w:r>
    </w:p>
    <w:p w:rsidR="00000000" w:rsidDel="00000000" w:rsidP="00000000" w:rsidRDefault="00000000" w:rsidRPr="00000000" w14:paraId="00000091">
      <w:pPr>
        <w:rPr/>
      </w:pPr>
      <w:r w:rsidDel="00000000" w:rsidR="00000000" w:rsidRPr="00000000">
        <w:rPr>
          <w:rtl w:val="0"/>
        </w:rPr>
        <w:t xml:space="preserve">We also acknowledge several limitations of this study, such as the small number of participants involved in each research site and the diversity of their educational backgrounds. Although our Fermi problem addressed a global issue, the mathematics and modelling courses that PTs took in their teacher education programs, as well as their familiarity with Fermi problems, were factors that we could not control. For example, the Catalan PTs were more familiar with Fermi problems than the Swedish PTs, while the Turkish PTs had no prior experience with Fermi problems. Additionally, our analysis relied solely on the written responses of the PTs, which were limited by their self-expression skills and the time they devoted to reporting after the peer analysis of the representative solutions. Therefore, we suggest a more thorough data collection session supported by audio and/or video records of peer discussions.</w:t>
      </w:r>
    </w:p>
    <w:p w:rsidR="00000000" w:rsidDel="00000000" w:rsidP="00000000" w:rsidRDefault="00000000" w:rsidRPr="00000000" w14:paraId="00000092">
      <w:pPr>
        <w:rPr/>
      </w:pPr>
      <w:r w:rsidDel="00000000" w:rsidR="00000000" w:rsidRPr="00000000">
        <w:rPr>
          <w:rtl w:val="0"/>
        </w:rPr>
        <w:t xml:space="preserve">As a final remark, we emphasise that mathematical modelling is not only the mathematisation of real-life situations but also the mathematisation of cultural situations. In this regard, our study shows that the development and peer analysis of representative solutions offer a valuable opportunity to implicit elicit cultural markers that are embedded and manifested in, and come to the fore in, the modelling process. Lastly, in the context of Fermi problems, this study highlighted the value of analysing the solutions of peers alongside the problem-solving experiences. By engaging in the analysis of others’ solutions students can be prompted to attend to (inter)cultural-, contextual-, interdisciplinary-, mathematical-, and creative-dimension of the work. This in turn, can support students in developing awareness across these multiple dimensions of modelling and problem solving in mathematics classrooms.</w:t>
      </w:r>
    </w:p>
    <w:p w:rsidR="00000000" w:rsidDel="00000000" w:rsidP="00000000" w:rsidRDefault="00000000" w:rsidRPr="00000000" w14:paraId="00000093">
      <w:pPr>
        <w:pStyle w:val="Heading2"/>
        <w:rPr/>
      </w:pPr>
      <w:r w:rsidDel="00000000" w:rsidR="00000000" w:rsidRPr="00000000">
        <w:rPr>
          <w:rtl w:val="0"/>
        </w:rPr>
        <w:t xml:space="preserve">References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Albarracín, L., Bergman Ärlebäck, J., Sevinc, S., Irene, F. (2025). Developing local representative solutions to fermi problems. In Ikeda, T., Saeki, A., Geiger, V., Kaiser, G. (eds) I</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nternational Horizons in Mathematics Modelling Education. International Perspectives on the Teaching and Learning of Mathematical Modelling.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Springer, Cham. </w:t>
      </w: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https://doi.org/10.1007/978-3-031-53533-8_7</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Ärlebäck, J. B. (2009). On the use of realistic Fermi problems for introducing mathematical modelling in school.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Montana Mathematics Enthusiast, 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331–364.</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Ärlebäck, J. B., &amp; Albarracín, L. (2019). The use and potential of Fermi problems in the STEM disciplines to support the development of 21st century competencies.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ZDM Mathematics Education, 51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 979–990. </w:t>
      </w: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https://doi.org/10.1007/s11858-019-01075-3</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Ärlebäck, J. B., Albarracín, L., Orey, D. C., Rosa, M., &amp; Sevinc, S. (2024a). Exploring the potential of using Fermi problems to elicit and develop cultural aspects in modelling processes. In V. Geiger, G. Kaiser, &amp; H.-S. Siller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Researching mathematical modelling education in disruptive times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525–535). Springer.</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Ärlebäck, J. B., Albarracín, L., &amp; Sevinc, S. (2024b). Model-based estimation: Stressing the role of estimation in STEM projects. Paper presented at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15</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International Congress on Mathematical Education,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Sydney.</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color w:val="55585d"/>
          <w:sz w:val="24"/>
          <w:szCs w:val="24"/>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Baker, W. (2011). From cultural awareness to intercultural awareness: Culture in ELT.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ETL Journal, 66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62–7</w:t>
      </w:r>
      <w:r w:rsidDel="00000000" w:rsidR="00000000" w:rsidRPr="00000000">
        <w:rPr>
          <w:i w:val="0"/>
          <w:iCs w:val="0"/>
          <w:smallCaps w:val="0"/>
          <w:strike w:val="0"/>
          <w:color w:val="000000"/>
          <w:sz w:val="24"/>
          <w:szCs w:val="24"/>
          <w:u w:val="none"/>
          <w:shd w:fill="auto" w:val="clear"/>
          <w:vertAlign w:val="baseline"/>
          <w:rtl w:val="0"/>
        </w:rPr>
        <w:t xml:space="preserve">0. </w:t>
      </w:r>
      <w:r w:rsidDel="00000000" w:rsidR="00000000" w:rsidRPr="00000000">
        <w:rPr>
          <w:sz w:val="24"/>
          <w:szCs w:val="24"/>
          <w:rtl w:val="0"/>
        </w:rPr>
        <w:t xml:space="preserve">https:</w:t>
      </w:r>
      <w:hyperlink r:id="rId12">
        <w:r w:rsidDel="00000000" w:rsidR="00000000" w:rsidRPr="00000000">
          <w:rPr>
            <w:color w:val="1155cc"/>
            <w:sz w:val="24"/>
            <w:szCs w:val="24"/>
            <w:u w:val="single"/>
            <w:rtl w:val="0"/>
          </w:rPr>
          <w:t xml:space="preserve">doi.org/10.1093/elt/ccr017</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Cobb, P. &amp; Yackel, E. (1996). Constructivist, emergent, and sociocultural perspectives in the context of developmental research.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Educational Psychologist, 31,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175-90.</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Läroplan för grundskolan, förskoleklassen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och fritidshemmet [Lgr22]</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(2022). Skolverket. </w:t>
      </w:r>
      <w:hyperlink r:id="rId13">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https://www.skolverket.se/undervisning/grundskolan/laroplan-lgr22-for-grundskolan-samt-for-forskoleklassen-och-fritidshemmet</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Läroplan för gymnasieskolan [Gy25]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(2025). Skolverket. </w:t>
      </w:r>
      <w:hyperlink r:id="rId14">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https://www.skolverket.se/</w:t>
          <w:br w:type="textWrapping"/>
          <w:t xml:space="preserve">undervisning/gymnasieskolan/laroplan-gy25-for-gymnasieskolan</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Lesh, R. A., &amp; Doerr, H. M. (Eds.). (2003).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Beyond constructivism: Models and modeling perspectives on mathematics problem solving, learning, and teaching</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L. Erlbaum.</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Lesh, R. A., Hoover, M., Hole, B., Kelly, A. E., &amp; Post, T. (2000). Principles for developing thought revealing activities for students and teachers. In A. E. Kelly &amp; R. A. Lesh (Eds.),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Handbook of research design in mathematics and science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591–645). L. Erlbaum.</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Lincoln, Y. S., &amp; Guba, E. G. (1985).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Naturalistic Inquiry.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Beverly Hills, CA: Sage Publications.</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Nikson, M. (1994). The culture of the mathematics classroom: An unknown quantity? In S. Lerman (Ed.),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Cultural perspectives on the mathematics classroom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(pp. 7-35). Kluwer.</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Orey, D. C., &amp; Rosa, M. (2021). Ethnomodelling as a glocalization process of mathematical practices through cultural dynamism.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The Mathematics Enthusiast, 18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439–468.</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Rosa, M., &amp; Orey, D. C. (2013). The mathematics of the curves on the wall of the colégio arquidiocesano and its mathematical models: a case for ethnomodeling.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Journal of Mathematical Modelling and Application,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 42–62.</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Sriraman, B., &amp; Lesh, R. A. (2006). Modeling conceptions revisited.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ZDM, 38</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247–254.</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hanging="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Stenhouse, L. (1967).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Culture and education.</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Weybright &amp; Talley.</w:t>
      </w:r>
    </w:p>
    <w:sectPr>
      <w:headerReference r:id="rId15" w:type="default"/>
      <w:footerReference r:id="rId16" w:type="default"/>
      <w:footerReference r:id="rId17" w:type="even"/>
      <w:pgSz w:h="16838" w:w="11906" w:orient="portrait"/>
      <w:pgMar w:bottom="1418" w:top="1701"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center"/>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425"/>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jc w:val="right"/>
      <w:rPr/>
    </w:pPr>
    <w:r w:rsidDel="00000000" w:rsidR="00000000" w:rsidRPr="00000000">
      <w:rPr>
        <w:rtl w:val="0"/>
      </w:rPr>
    </w:r>
  </w:p>
  <w:p w:rsidR="00000000" w:rsidDel="00000000" w:rsidP="00000000" w:rsidRDefault="00000000" w:rsidRPr="00000000" w14:paraId="000000A6">
    <w:pPr>
      <w:ind w:right="36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1145" w:hanging="360"/>
      </w:pPr>
      <w:rPr/>
    </w:lvl>
    <w:lvl w:ilvl="1">
      <w:start w:val="1"/>
      <w:numFmt w:val="lowerLetter"/>
      <w:lvlText w:val="%2."/>
      <w:lvlJc w:val="left"/>
      <w:pPr>
        <w:ind w:left="1865" w:hanging="360"/>
      </w:pPr>
      <w:rPr/>
    </w:lvl>
    <w:lvl w:ilvl="2">
      <w:start w:val="1"/>
      <w:numFmt w:val="lowerRoman"/>
      <w:lvlText w:val="%3."/>
      <w:lvlJc w:val="right"/>
      <w:pPr>
        <w:ind w:left="2585" w:hanging="180"/>
      </w:pPr>
      <w:rPr/>
    </w:lvl>
    <w:lvl w:ilvl="3">
      <w:start w:val="1"/>
      <w:numFmt w:val="decimal"/>
      <w:lvlText w:val="%4."/>
      <w:lvlJc w:val="left"/>
      <w:pPr>
        <w:ind w:left="3305" w:hanging="360"/>
      </w:pPr>
      <w:rPr/>
    </w:lvl>
    <w:lvl w:ilvl="4">
      <w:start w:val="1"/>
      <w:numFmt w:val="lowerLetter"/>
      <w:lvlText w:val="%5."/>
      <w:lvlJc w:val="left"/>
      <w:pPr>
        <w:ind w:left="4025" w:hanging="360"/>
      </w:pPr>
      <w:rPr/>
    </w:lvl>
    <w:lvl w:ilvl="5">
      <w:start w:val="1"/>
      <w:numFmt w:val="lowerRoman"/>
      <w:lvlText w:val="%6."/>
      <w:lvlJc w:val="right"/>
      <w:pPr>
        <w:ind w:left="4745" w:hanging="180"/>
      </w:pPr>
      <w:rPr/>
    </w:lvl>
    <w:lvl w:ilvl="6">
      <w:start w:val="1"/>
      <w:numFmt w:val="decimal"/>
      <w:lvlText w:val="%7."/>
      <w:lvlJc w:val="left"/>
      <w:pPr>
        <w:ind w:left="5465" w:hanging="360"/>
      </w:pPr>
      <w:rPr/>
    </w:lvl>
    <w:lvl w:ilvl="7">
      <w:start w:val="1"/>
      <w:numFmt w:val="lowerLetter"/>
      <w:lvlText w:val="%8."/>
      <w:lvlJc w:val="left"/>
      <w:pPr>
        <w:ind w:left="6185" w:hanging="360"/>
      </w:pPr>
      <w:rPr/>
    </w:lvl>
    <w:lvl w:ilvl="8">
      <w:start w:val="1"/>
      <w:numFmt w:val="lowerRoman"/>
      <w:lvlText w:val="%9."/>
      <w:lvlJc w:val="right"/>
      <w:pPr>
        <w:ind w:left="6905"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_GB"/>
      </w:rPr>
    </w:rPrDefault>
    <w:pPrDefault>
      <w:pPr>
        <w:ind w:firstLine="425"/>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before="0" w:lineRule="auto"/>
      <w:ind w:firstLine="0"/>
      <w:jc w:val="center"/>
    </w:pPr>
    <w:rPr>
      <w:rFonts w:ascii="Times New Roman" w:cs="Times New Roman" w:eastAsia="Times New Roman" w:hAnsi="Times New Roman"/>
      <w:b w:val="0"/>
      <w:bCs w:val="0"/>
      <w:sz w:val="44"/>
      <w:szCs w:val="44"/>
    </w:rPr>
  </w:style>
  <w:style w:type="paragraph" w:styleId="Heading2">
    <w:name w:val="heading 2"/>
    <w:basedOn w:val="Normal"/>
    <w:next w:val="Normal"/>
    <w:pPr>
      <w:keepNext w:val="1"/>
      <w:spacing w:after="0" w:before="360" w:lineRule="auto"/>
      <w:ind w:firstLine="0"/>
      <w:jc w:val="left"/>
    </w:pPr>
    <w:rPr>
      <w:rFonts w:ascii="Times New Roman" w:cs="Times New Roman" w:eastAsia="Times New Roman" w:hAnsi="Times New Roman"/>
      <w:b w:val="1"/>
      <w:bCs w:val="1"/>
      <w:sz w:val="28"/>
      <w:szCs w:val="28"/>
    </w:rPr>
  </w:style>
  <w:style w:type="paragraph" w:styleId="Heading3">
    <w:name w:val="heading 3"/>
    <w:basedOn w:val="Normal"/>
    <w:next w:val="Normal"/>
    <w:pPr>
      <w:keepNext w:val="1"/>
      <w:spacing w:before="240" w:lineRule="auto"/>
      <w:ind w:firstLine="0"/>
      <w:jc w:val="left"/>
    </w:pPr>
    <w:rPr>
      <w:b w:val="1"/>
      <w:bCs w:val="1"/>
    </w:rPr>
  </w:style>
  <w:style w:type="paragraph" w:styleId="Heading4">
    <w:name w:val="heading 4"/>
    <w:basedOn w:val="Normal"/>
    <w:next w:val="Normal"/>
    <w:pPr>
      <w:keepNext w:val="1"/>
      <w:spacing w:after="0" w:before="120" w:lineRule="auto"/>
      <w:ind w:firstLine="0"/>
      <w:jc w:val="left"/>
    </w:pPr>
    <w:rPr>
      <w:rFonts w:ascii="Times New Roman" w:cs="Times New Roman" w:eastAsia="Times New Roman" w:hAnsi="Times New Roman"/>
      <w:b w:val="1"/>
      <w:bCs w:val="1"/>
      <w:i w:val="1"/>
      <w:iCs w:val="1"/>
      <w:sz w:val="26"/>
      <w:szCs w:val="26"/>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after="60" w:before="240" w:lineRule="auto"/>
      <w:jc w:val="center"/>
    </w:pPr>
    <w:rPr>
      <w:rFonts w:ascii="Calibri" w:cs="Calibri" w:eastAsia="Calibri" w:hAnsi="Calibri"/>
      <w:b w:val="1"/>
      <w:bCs w:val="1"/>
      <w:sz w:val="32"/>
      <w:szCs w:val="3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8">
    <w:name w:val="heading 8"/>
    <w:aliases w:val="Authors"/>
    <w:basedOn w:val="Title"/>
    <w:next w:val="Normal"/>
    <w:link w:val="Heading8Char"/>
    <w:uiPriority w:val="9"/>
    <w:unhideWhenUsed w:val="1"/>
    <w:qFormat w:val="1"/>
    <w:rsid w:val="000C4CBD"/>
    <w:pPr>
      <w:spacing w:after="0" w:before="360"/>
      <w:ind w:firstLine="0"/>
      <w:outlineLvl w:val="7"/>
    </w:pPr>
    <w:rPr>
      <w:rFonts w:ascii="Times New Roman" w:hAnsi="Times New Roman"/>
      <w:iCs w:val="1"/>
      <w:sz w:val="28"/>
      <w:szCs w:val="24"/>
    </w:rPr>
  </w:style>
  <w:style w:type="paragraph" w:styleId="Heading9">
    <w:name w:val="heading 9"/>
    <w:aliases w:val="Institution"/>
    <w:basedOn w:val="Title"/>
    <w:next w:val="Normal"/>
    <w:link w:val="Heading9Char"/>
    <w:uiPriority w:val="9"/>
    <w:unhideWhenUsed w:val="1"/>
    <w:qFormat w:val="1"/>
    <w:rsid w:val="000C4CBD"/>
    <w:pPr>
      <w:spacing w:after="720" w:before="0"/>
      <w:ind w:firstLine="0"/>
      <w:outlineLvl w:val="8"/>
    </w:pPr>
    <w:rPr>
      <w:rFonts w:ascii="Times New Roman" w:hAnsi="Times New Roman"/>
      <w:b w:val="0"/>
      <w:sz w:val="28"/>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TitleChar" w:customStyle="1">
    <w:name w:val="Title Char"/>
    <w:link w:val="Title"/>
    <w:uiPriority w:val="10"/>
    <w:rsid w:val="009D176C"/>
    <w:rPr>
      <w:rFonts w:ascii="Calibri" w:cs="Times New Roman" w:eastAsia="Times New Roman" w:hAnsi="Calibri"/>
      <w:b w:val="1"/>
      <w:bCs w:val="1"/>
      <w:kern w:val="28"/>
      <w:sz w:val="32"/>
      <w:szCs w:val="32"/>
      <w:lang w:eastAsia="en-US" w:val="en-GB"/>
    </w:rPr>
  </w:style>
  <w:style w:type="character" w:styleId="Heading8Char" w:customStyle="1">
    <w:name w:val="Heading 8 Char"/>
    <w:aliases w:val="Authors Char"/>
    <w:link w:val="Heading8"/>
    <w:uiPriority w:val="9"/>
    <w:rsid w:val="000C4CBD"/>
    <w:rPr>
      <w:rFonts w:cs="Times New Roman" w:eastAsia="Times New Roman"/>
      <w:b w:val="1"/>
      <w:bCs w:val="1"/>
      <w:iCs w:val="1"/>
      <w:kern w:val="28"/>
      <w:sz w:val="28"/>
      <w:szCs w:val="24"/>
      <w:lang w:eastAsia="en-US" w:val="en-GB"/>
    </w:rPr>
  </w:style>
  <w:style w:type="paragraph" w:styleId="BodyText">
    <w:name w:val="Body Text"/>
    <w:aliases w:val="Bread 1"/>
    <w:basedOn w:val="Normal"/>
    <w:next w:val="Normal"/>
    <w:link w:val="BodyTextChar"/>
    <w:uiPriority w:val="99"/>
    <w:unhideWhenUsed w:val="1"/>
    <w:qFormat w:val="1"/>
    <w:rsid w:val="00FD5842"/>
    <w:pPr>
      <w:ind w:firstLine="0"/>
    </w:pPr>
  </w:style>
  <w:style w:type="character" w:styleId="BodyTextChar" w:customStyle="1">
    <w:name w:val="Body Text Char"/>
    <w:aliases w:val="Bread 1 Char"/>
    <w:link w:val="BodyText"/>
    <w:uiPriority w:val="99"/>
    <w:rsid w:val="00FD5842"/>
    <w:rPr>
      <w:sz w:val="26"/>
      <w:szCs w:val="28"/>
      <w:lang w:eastAsia="en-US" w:val="en-GB"/>
    </w:rPr>
  </w:style>
  <w:style w:type="character" w:styleId="Heading4Char" w:customStyle="1">
    <w:name w:val="Heading 4 Char"/>
    <w:aliases w:val="Head 3 Char"/>
    <w:link w:val="Heading4"/>
    <w:uiPriority w:val="9"/>
    <w:rsid w:val="00101D8A"/>
    <w:rPr>
      <w:rFonts w:cs="Times New Roman" w:eastAsia="Times New Roman"/>
      <w:b w:val="1"/>
      <w:i w:val="1"/>
      <w:kern w:val="28"/>
      <w:sz w:val="26"/>
      <w:szCs w:val="32"/>
      <w:lang w:eastAsia="en-US" w:val="en-GB"/>
    </w:rPr>
  </w:style>
  <w:style w:type="character" w:styleId="Heading9Char" w:customStyle="1">
    <w:name w:val="Heading 9 Char"/>
    <w:aliases w:val="Institution Char"/>
    <w:link w:val="Heading9"/>
    <w:uiPriority w:val="9"/>
    <w:rsid w:val="000C4CBD"/>
    <w:rPr>
      <w:rFonts w:cs="Times New Roman" w:eastAsia="Times New Roman"/>
      <w:bCs w:val="1"/>
      <w:kern w:val="28"/>
      <w:sz w:val="28"/>
      <w:szCs w:val="22"/>
      <w:lang w:eastAsia="en-US" w:val="en-GB"/>
    </w:rPr>
  </w:style>
  <w:style w:type="paragraph" w:styleId="Numberedtranscript" w:customStyle="1">
    <w:name w:val="Numbered transcript"/>
    <w:basedOn w:val="Normal"/>
    <w:qFormat w:val="1"/>
    <w:rsid w:val="00575777"/>
    <w:pPr>
      <w:tabs>
        <w:tab w:val="left" w:pos="1134"/>
      </w:tabs>
      <w:spacing w:after="60" w:before="60" w:line="300" w:lineRule="atLeast"/>
      <w:ind w:left="2693" w:right="425" w:hanging="2268"/>
    </w:pPr>
    <w:rPr>
      <w:szCs w:val="26"/>
    </w:rPr>
  </w:style>
  <w:style w:type="paragraph" w:styleId="Citat1" w:customStyle="1">
    <w:name w:val="Citat1"/>
    <w:basedOn w:val="BodyText"/>
    <w:qFormat w:val="1"/>
    <w:rsid w:val="00D40F30"/>
    <w:pPr>
      <w:spacing w:after="120" w:before="120"/>
      <w:ind w:left="425" w:right="425"/>
    </w:pPr>
    <w:rPr>
      <w:sz w:val="24"/>
      <w:szCs w:val="26"/>
    </w:rPr>
  </w:style>
  <w:style w:type="paragraph" w:styleId="References" w:customStyle="1">
    <w:name w:val="References"/>
    <w:basedOn w:val="BodyText"/>
    <w:qFormat w:val="1"/>
    <w:rsid w:val="002A0C36"/>
    <w:pPr>
      <w:spacing w:line="300" w:lineRule="atLeast"/>
      <w:ind w:left="425" w:hanging="425"/>
    </w:pPr>
    <w:rPr>
      <w:sz w:val="24"/>
    </w:rPr>
  </w:style>
  <w:style w:type="paragraph" w:styleId="Endnote" w:customStyle="1">
    <w:name w:val="Endnote"/>
    <w:basedOn w:val="Normal"/>
    <w:qFormat w:val="1"/>
    <w:rsid w:val="002A0C36"/>
    <w:pPr>
      <w:spacing w:line="300" w:lineRule="atLeast"/>
      <w:ind w:firstLine="0"/>
    </w:pPr>
    <w:rPr>
      <w:sz w:val="24"/>
      <w:szCs w:val="24"/>
    </w:rPr>
  </w:style>
  <w:style w:type="paragraph" w:styleId="Footer">
    <w:name w:val="footer"/>
    <w:basedOn w:val="Normal"/>
    <w:rsid w:val="008914F1"/>
    <w:pPr>
      <w:tabs>
        <w:tab w:val="center" w:pos="4320"/>
        <w:tab w:val="right" w:pos="8640"/>
      </w:tabs>
    </w:pPr>
  </w:style>
  <w:style w:type="paragraph" w:styleId="Transcript" w:customStyle="1">
    <w:name w:val="Transcript"/>
    <w:basedOn w:val="Normal"/>
    <w:qFormat w:val="1"/>
    <w:rsid w:val="00575777"/>
    <w:pPr>
      <w:spacing w:after="60" w:before="60" w:line="300" w:lineRule="atLeast"/>
      <w:ind w:left="1843" w:right="425" w:hanging="1418"/>
    </w:pPr>
    <w:rPr>
      <w:sz w:val="24"/>
      <w:szCs w:val="26"/>
    </w:rPr>
  </w:style>
  <w:style w:type="character" w:styleId="PageNumber">
    <w:name w:val="page number"/>
    <w:basedOn w:val="DefaultParagraphFont"/>
    <w:rsid w:val="008914F1"/>
  </w:style>
  <w:style w:type="character" w:styleId="HeadtableChar" w:customStyle="1">
    <w:name w:val="Head table Char"/>
    <w:link w:val="Headtable"/>
    <w:rsid w:val="008B3B99"/>
    <w:rPr>
      <w:sz w:val="26"/>
      <w:szCs w:val="28"/>
      <w:lang w:eastAsia="en-US" w:val="en-GB"/>
    </w:rPr>
  </w:style>
  <w:style w:type="paragraph" w:styleId="Headtable" w:customStyle="1">
    <w:name w:val="Head table"/>
    <w:basedOn w:val="Normal"/>
    <w:next w:val="BodyText"/>
    <w:link w:val="HeadtableChar"/>
    <w:qFormat w:val="1"/>
    <w:rsid w:val="008B3B99"/>
    <w:pPr>
      <w:spacing w:after="120" w:before="120"/>
      <w:ind w:left="425" w:right="425" w:firstLine="0"/>
      <w:jc w:val="left"/>
    </w:pPr>
  </w:style>
  <w:style w:type="paragraph" w:styleId="Abstract" w:customStyle="1">
    <w:name w:val="Abstract"/>
    <w:basedOn w:val="BodyText"/>
    <w:link w:val="AbstractChar"/>
    <w:qFormat w:val="1"/>
    <w:rsid w:val="00084739"/>
    <w:rPr>
      <w:i w:val="1"/>
    </w:rPr>
  </w:style>
  <w:style w:type="character" w:styleId="AbstractChar" w:customStyle="1">
    <w:name w:val="Abstract Char"/>
    <w:basedOn w:val="BodyTextChar"/>
    <w:link w:val="Abstract"/>
    <w:rsid w:val="00084739"/>
    <w:rPr>
      <w:i w:val="1"/>
      <w:sz w:val="26"/>
      <w:szCs w:val="28"/>
      <w:lang w:eastAsia="en-US" w:val="en-GB"/>
    </w:rPr>
  </w:style>
  <w:style w:type="character" w:styleId="CommentReference">
    <w:name w:val="annotation reference"/>
    <w:basedOn w:val="DefaultParagraphFont"/>
    <w:semiHidden w:val="1"/>
    <w:unhideWhenUsed w:val="1"/>
    <w:rsid w:val="00BF44E7"/>
    <w:rPr>
      <w:sz w:val="16"/>
      <w:szCs w:val="16"/>
    </w:rPr>
  </w:style>
  <w:style w:type="paragraph" w:styleId="CommentText">
    <w:name w:val="annotation text"/>
    <w:basedOn w:val="Normal"/>
    <w:link w:val="CommentTextChar"/>
    <w:semiHidden w:val="1"/>
    <w:unhideWhenUsed w:val="1"/>
    <w:rsid w:val="00BF44E7"/>
    <w:pPr>
      <w:spacing w:line="240" w:lineRule="auto"/>
    </w:pPr>
    <w:rPr>
      <w:sz w:val="20"/>
      <w:szCs w:val="20"/>
    </w:rPr>
  </w:style>
  <w:style w:type="character" w:styleId="CommentTextChar" w:customStyle="1">
    <w:name w:val="Comment Text Char"/>
    <w:basedOn w:val="DefaultParagraphFont"/>
    <w:link w:val="CommentText"/>
    <w:semiHidden w:val="1"/>
    <w:rsid w:val="00BF44E7"/>
    <w:rPr>
      <w:lang w:eastAsia="en-US" w:val="en-GB"/>
    </w:rPr>
  </w:style>
  <w:style w:type="paragraph" w:styleId="CommentSubject">
    <w:name w:val="annotation subject"/>
    <w:basedOn w:val="CommentText"/>
    <w:next w:val="CommentText"/>
    <w:link w:val="CommentSubjectChar"/>
    <w:semiHidden w:val="1"/>
    <w:unhideWhenUsed w:val="1"/>
    <w:rsid w:val="00BF44E7"/>
    <w:rPr>
      <w:b w:val="1"/>
      <w:bCs w:val="1"/>
    </w:rPr>
  </w:style>
  <w:style w:type="character" w:styleId="CommentSubjectChar" w:customStyle="1">
    <w:name w:val="Comment Subject Char"/>
    <w:basedOn w:val="CommentTextChar"/>
    <w:link w:val="CommentSubject"/>
    <w:semiHidden w:val="1"/>
    <w:rsid w:val="00BF44E7"/>
    <w:rPr>
      <w:b w:val="1"/>
      <w:bCs w:val="1"/>
      <w:lang w:eastAsia="en-US" w:val="en-GB"/>
    </w:rPr>
  </w:style>
  <w:style w:type="paragraph" w:styleId="Revision">
    <w:name w:val="Revision"/>
    <w:hidden w:val="1"/>
    <w:semiHidden w:val="1"/>
    <w:rsid w:val="002752B6"/>
    <w:rPr>
      <w:sz w:val="26"/>
      <w:szCs w:val="28"/>
      <w:lang w:eastAsia="en-US" w:val="en-GB"/>
    </w:rPr>
  </w:style>
  <w:style w:type="paragraph" w:styleId="ListParagraph">
    <w:name w:val="List Paragraph"/>
    <w:basedOn w:val="Normal"/>
    <w:uiPriority w:val="34"/>
    <w:qFormat w:val="1"/>
    <w:rsid w:val="002328CE"/>
    <w:pPr>
      <w:ind w:left="720"/>
      <w:contextualSpacing w:val="1"/>
    </w:pPr>
  </w:style>
  <w:style w:type="table" w:styleId="TableGrid">
    <w:name w:val="Table Grid"/>
    <w:basedOn w:val="TableNormal"/>
    <w:rsid w:val="0092391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semiHidden w:val="1"/>
    <w:unhideWhenUsed w:val="1"/>
    <w:rsid w:val="00FE2E5C"/>
    <w:pPr>
      <w:tabs>
        <w:tab w:val="center" w:pos="4513"/>
        <w:tab w:val="right" w:pos="9026"/>
      </w:tabs>
      <w:spacing w:line="240" w:lineRule="auto"/>
    </w:pPr>
  </w:style>
  <w:style w:type="character" w:styleId="HeaderChar" w:customStyle="1">
    <w:name w:val="Header Char"/>
    <w:basedOn w:val="DefaultParagraphFont"/>
    <w:link w:val="Header"/>
    <w:semiHidden w:val="1"/>
    <w:rsid w:val="00FE2E5C"/>
    <w:rPr>
      <w:sz w:val="26"/>
      <w:szCs w:val="28"/>
      <w:lang w:eastAsia="en-US" w:val="en-GB"/>
    </w:rPr>
  </w:style>
  <w:style w:type="character" w:styleId="Hyperlink">
    <w:name w:val="Hyperlink"/>
    <w:basedOn w:val="DefaultParagraphFont"/>
    <w:unhideWhenUsed w:val="1"/>
    <w:rsid w:val="00B11DF4"/>
    <w:rPr>
      <w:color w:val="0000ff" w:themeColor="hyperlink"/>
      <w:u w:val="single"/>
    </w:rPr>
  </w:style>
  <w:style w:type="character" w:styleId="UnresolvedMention">
    <w:name w:val="Unresolved Mention"/>
    <w:basedOn w:val="DefaultParagraphFont"/>
    <w:uiPriority w:val="99"/>
    <w:semiHidden w:val="1"/>
    <w:unhideWhenUsed w:val="1"/>
    <w:rsid w:val="00DB2EB6"/>
    <w:rPr>
      <w:color w:val="605e5c"/>
      <w:shd w:color="auto" w:fill="e1dfdd" w:val="clear"/>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i.org/10.1007/s11858-019-01075-3" TargetMode="External"/><Relationship Id="rId10" Type="http://schemas.openxmlformats.org/officeDocument/2006/relationships/hyperlink" Target="https://doi.org/10.1007/978-3-031-53533-8_7" TargetMode="External"/><Relationship Id="rId13" Type="http://schemas.openxmlformats.org/officeDocument/2006/relationships/hyperlink" Target="https://www.skolverket.se/undervisning/grundskolan/laroplan-lgr22-for-grundskolan-samt-for-forskoleklassen-och-fritidshemmet" TargetMode="External"/><Relationship Id="rId12" Type="http://schemas.openxmlformats.org/officeDocument/2006/relationships/hyperlink" Target="http://doi.org/10.1093/elt/ccr017"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hyperlink" Target="https://www.skolverket.se/undervisning/gymnasieskolan/laroplan-gy25-for-gymnasieskolan" TargetMode="Externa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r0xcV7JsOMWSCRblGi+jh4KW+Q==">CgMxLjAyDmlkLm1zaGZzcnhra2YxOAByITFHWVBld3VNTzQwRnl5THVFTkhGSTRSVG5zZzBSQlA4Rg==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2025-12-01T23:36:00Z</dcterms:created>
</cp:coreProperties>
</file>