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7219" w14:textId="6E938B63" w:rsidR="00F5400D" w:rsidRPr="00226EDB" w:rsidRDefault="00304D05" w:rsidP="00304D05">
      <w:pPr>
        <w:pStyle w:val="Rubrik1"/>
      </w:pPr>
      <w:r w:rsidRPr="00226EDB">
        <w:t xml:space="preserve">Designing and validating a test for </w:t>
      </w:r>
      <w:r w:rsidR="00076041" w:rsidRPr="00226EDB">
        <w:t xml:space="preserve">the </w:t>
      </w:r>
      <w:r w:rsidRPr="00226EDB">
        <w:t>assessment of Algebra-Monday</w:t>
      </w:r>
    </w:p>
    <w:p w14:paraId="080E0699" w14:textId="690135B1" w:rsidR="00CE6A6A" w:rsidRPr="00226EDB" w:rsidRDefault="00A434CA" w:rsidP="00CE6A6A">
      <w:pPr>
        <w:pStyle w:val="Rubrik8"/>
      </w:pPr>
      <w:r w:rsidRPr="00226EDB">
        <w:t>Julia Tsygan</w:t>
      </w:r>
      <w:r w:rsidRPr="00226EDB">
        <w:rPr>
          <w:vertAlign w:val="superscript"/>
        </w:rPr>
        <w:t>a</w:t>
      </w:r>
      <w:r w:rsidR="00304D05" w:rsidRPr="00226EDB">
        <w:t xml:space="preserve">, </w:t>
      </w:r>
      <w:r w:rsidRPr="00226EDB">
        <w:t>Ola Helenius</w:t>
      </w:r>
      <w:r w:rsidR="004D51AC" w:rsidRPr="00226EDB">
        <w:rPr>
          <w:vertAlign w:val="superscript"/>
        </w:rPr>
        <w:t>a</w:t>
      </w:r>
      <w:r w:rsidR="00304D05" w:rsidRPr="00226EDB">
        <w:t>, Simon Skau</w:t>
      </w:r>
      <w:r w:rsidR="004D51AC" w:rsidRPr="00226EDB">
        <w:rPr>
          <w:vertAlign w:val="superscript"/>
        </w:rPr>
        <w:t>b</w:t>
      </w:r>
      <w:r w:rsidR="00304D05" w:rsidRPr="00226EDB">
        <w:t xml:space="preserve"> &amp; Linda Marie Ahl</w:t>
      </w:r>
      <w:r w:rsidR="004D51AC" w:rsidRPr="00226EDB">
        <w:rPr>
          <w:vertAlign w:val="superscript"/>
        </w:rPr>
        <w:t>a</w:t>
      </w:r>
    </w:p>
    <w:p w14:paraId="65C507C0" w14:textId="33853098" w:rsidR="00ED2199" w:rsidRPr="00226EDB" w:rsidRDefault="004D51AC" w:rsidP="00304D05">
      <w:pPr>
        <w:pStyle w:val="Rubrik9"/>
      </w:pPr>
      <w:r w:rsidRPr="00226EDB">
        <w:rPr>
          <w:vertAlign w:val="superscript"/>
        </w:rPr>
        <w:t>a</w:t>
      </w:r>
      <w:r w:rsidR="00304D05" w:rsidRPr="00226EDB">
        <w:t xml:space="preserve">University of Gothenburg, </w:t>
      </w:r>
      <w:r w:rsidRPr="00226EDB">
        <w:rPr>
          <w:vertAlign w:val="superscript"/>
        </w:rPr>
        <w:t>b</w:t>
      </w:r>
      <w:r w:rsidR="00304D05" w:rsidRPr="00226EDB">
        <w:t>Karlstad University</w:t>
      </w:r>
    </w:p>
    <w:p w14:paraId="0F3ADE74" w14:textId="48DCD402" w:rsidR="00CE6A6A" w:rsidRPr="00794D6F" w:rsidRDefault="00304D05" w:rsidP="00794D6F">
      <w:pPr>
        <w:pStyle w:val="Abstract"/>
      </w:pPr>
      <w:r w:rsidRPr="00794D6F">
        <w:t>We report on the design and validation of a 34-item algebra test intended as an outcome measure for Algebra Monday, a long-term, structural-algebra intervention.</w:t>
      </w:r>
      <w:r w:rsidR="00076041" w:rsidRPr="00794D6F">
        <w:t xml:space="preserve"> </w:t>
      </w:r>
      <w:r w:rsidRPr="00794D6F">
        <w:t>The test design operationalizes algebra as structure, operations on symbols, and functional thinking, aligning the conceptualization of algebra with the intervention focus of Algebra Monday.</w:t>
      </w:r>
      <w:r w:rsidR="00076041" w:rsidRPr="00794D6F">
        <w:t xml:space="preserve"> </w:t>
      </w:r>
      <w:r w:rsidRPr="00794D6F">
        <w:t>Administered in regular</w:t>
      </w:r>
      <w:r w:rsidR="00406F48" w:rsidRPr="00794D6F">
        <w:t xml:space="preserve"> eighth-</w:t>
      </w:r>
      <w:r w:rsidR="00612EA9">
        <w:t xml:space="preserve"> and ninth-</w:t>
      </w:r>
      <w:r w:rsidR="00406F48" w:rsidRPr="00794D6F">
        <w:t>grade</w:t>
      </w:r>
      <w:r w:rsidRPr="00794D6F">
        <w:t xml:space="preserve"> lessons </w:t>
      </w:r>
      <w:r w:rsidR="00076041" w:rsidRPr="00794D6F">
        <w:t>from</w:t>
      </w:r>
      <w:r w:rsidRPr="00794D6F">
        <w:t xml:space="preserve"> May</w:t>
      </w:r>
      <w:r w:rsidR="00076041" w:rsidRPr="00794D6F">
        <w:t xml:space="preserve"> to </w:t>
      </w:r>
      <w:r w:rsidRPr="00794D6F">
        <w:t xml:space="preserve">June 2025, the instrument </w:t>
      </w:r>
      <w:r w:rsidR="00076041" w:rsidRPr="00794D6F">
        <w:t>demonstrated</w:t>
      </w:r>
      <w:r w:rsidRPr="00794D6F">
        <w:t xml:space="preserve"> good reliability, appropriate difficulty coverage, and minimal construct-irrelevant variance.</w:t>
      </w:r>
      <w:r w:rsidR="00076041" w:rsidRPr="00794D6F">
        <w:t xml:space="preserve"> </w:t>
      </w:r>
      <w:r w:rsidRPr="00794D6F">
        <w:t xml:space="preserve">These findings support its use for </w:t>
      </w:r>
      <w:r w:rsidR="00076041" w:rsidRPr="00794D6F">
        <w:t>evaluating</w:t>
      </w:r>
      <w:r w:rsidRPr="00794D6F">
        <w:t xml:space="preserve"> Algebra </w:t>
      </w:r>
      <w:r w:rsidR="00076041" w:rsidRPr="00794D6F">
        <w:t>Monday's</w:t>
      </w:r>
      <w:r w:rsidRPr="00794D6F">
        <w:t xml:space="preserve"> effectiveness</w:t>
      </w:r>
      <w:r w:rsidR="00076041" w:rsidRPr="00794D6F">
        <w:t xml:space="preserve"> at the group level</w:t>
      </w:r>
      <w:r w:rsidR="00BE23D5" w:rsidRPr="00794D6F">
        <w:t xml:space="preserve"> and </w:t>
      </w:r>
      <w:r w:rsidR="00A91FBF" w:rsidRPr="00794D6F">
        <w:t xml:space="preserve">point to </w:t>
      </w:r>
      <w:r w:rsidR="00EE06D1" w:rsidRPr="00794D6F">
        <w:t xml:space="preserve">opportunities for further research on the nature of students’ algebra </w:t>
      </w:r>
      <w:r w:rsidR="00134A3B" w:rsidRPr="00794D6F">
        <w:t>difficultie</w:t>
      </w:r>
      <w:r w:rsidR="00226EDB" w:rsidRPr="00794D6F">
        <w:t xml:space="preserve">s </w:t>
      </w:r>
      <w:r w:rsidR="00406F48" w:rsidRPr="00794D6F">
        <w:t>and on validation of tests used in intervention studies.</w:t>
      </w:r>
    </w:p>
    <w:p w14:paraId="6074C7E7" w14:textId="341DCE6C" w:rsidR="00CE6A6A" w:rsidRPr="00226EDB" w:rsidRDefault="00304D05" w:rsidP="00CE6A6A">
      <w:pPr>
        <w:pStyle w:val="Rubrik2"/>
      </w:pPr>
      <w:r w:rsidRPr="00226EDB">
        <w:t>Introduction</w:t>
      </w:r>
    </w:p>
    <w:p w14:paraId="302DD3AF" w14:textId="65AC9914" w:rsidR="00304D05" w:rsidRPr="00226EDB" w:rsidRDefault="00304D05" w:rsidP="00304D05">
      <w:pPr>
        <w:pStyle w:val="Brdtext"/>
        <w:rPr>
          <w:sz w:val="24"/>
          <w:szCs w:val="24"/>
          <w:lang w:eastAsia="sv-SE"/>
        </w:rPr>
      </w:pPr>
      <w:r w:rsidRPr="00226EDB">
        <w:rPr>
          <w:shd w:val="clear" w:color="auto" w:fill="FFFFFF"/>
        </w:rPr>
        <w:t xml:space="preserve">Algebra </w:t>
      </w:r>
      <w:r w:rsidR="00217CEA" w:rsidRPr="00226EDB">
        <w:rPr>
          <w:shd w:val="clear" w:color="auto" w:fill="FFFFFF"/>
        </w:rPr>
        <w:t>is</w:t>
      </w:r>
      <w:r w:rsidRPr="00226EDB">
        <w:rPr>
          <w:shd w:val="clear" w:color="auto" w:fill="FFFFFF"/>
        </w:rPr>
        <w:t xml:space="preserve"> a major constituent of mathematics</w:t>
      </w:r>
      <w:r w:rsidR="006E5C6B" w:rsidRPr="00226EDB">
        <w:rPr>
          <w:shd w:val="clear" w:color="auto" w:fill="FFFFFF"/>
        </w:rPr>
        <w:t xml:space="preserve">. It </w:t>
      </w:r>
      <w:r w:rsidR="00B51636" w:rsidRPr="00226EDB">
        <w:rPr>
          <w:shd w:val="clear" w:color="auto" w:fill="FFFFFF"/>
        </w:rPr>
        <w:t>has historical</w:t>
      </w:r>
      <w:r w:rsidRPr="00226EDB">
        <w:rPr>
          <w:shd w:val="clear" w:color="auto" w:fill="FFFFFF"/>
        </w:rPr>
        <w:t xml:space="preserve"> roots in arithmetic calculations involving unknown quantities.</w:t>
      </w:r>
      <w:r w:rsidR="00076041" w:rsidRPr="00226EDB">
        <w:rPr>
          <w:shd w:val="clear" w:color="auto" w:fill="FFFFFF"/>
        </w:rPr>
        <w:t xml:space="preserve"> </w:t>
      </w:r>
      <w:r w:rsidRPr="00226EDB">
        <w:rPr>
          <w:shd w:val="clear" w:color="auto" w:fill="FFFFFF"/>
        </w:rPr>
        <w:t>In the modern era, algebra denotes the study of abstract systems in the form of algebraic structures.</w:t>
      </w:r>
      <w:r w:rsidR="00076041" w:rsidRPr="00226EDB">
        <w:rPr>
          <w:shd w:val="clear" w:color="auto" w:fill="FFFFFF"/>
        </w:rPr>
        <w:t xml:space="preserve"> </w:t>
      </w:r>
      <w:r w:rsidRPr="00226EDB">
        <w:rPr>
          <w:shd w:val="clear" w:color="auto" w:fill="FFFFFF"/>
        </w:rPr>
        <w:t xml:space="preserve">In school, algebra has traditionally </w:t>
      </w:r>
      <w:r w:rsidR="00076041" w:rsidRPr="00226EDB">
        <w:rPr>
          <w:shd w:val="clear" w:color="auto" w:fill="FFFFFF"/>
        </w:rPr>
        <w:t>played</w:t>
      </w:r>
      <w:r w:rsidRPr="00226EDB">
        <w:rPr>
          <w:shd w:val="clear" w:color="auto" w:fill="FFFFFF"/>
        </w:rPr>
        <w:t xml:space="preserve"> a </w:t>
      </w:r>
      <w:r w:rsidR="00076041" w:rsidRPr="00226EDB">
        <w:rPr>
          <w:shd w:val="clear" w:color="auto" w:fill="FFFFFF"/>
        </w:rPr>
        <w:t>significant</w:t>
      </w:r>
      <w:r w:rsidRPr="00226EDB">
        <w:rPr>
          <w:shd w:val="clear" w:color="auto" w:fill="FFFFFF"/>
        </w:rPr>
        <w:t xml:space="preserve"> role in secondary education, often </w:t>
      </w:r>
      <w:r w:rsidR="00076041" w:rsidRPr="00226EDB">
        <w:rPr>
          <w:shd w:val="clear" w:color="auto" w:fill="FFFFFF"/>
        </w:rPr>
        <w:t>serving</w:t>
      </w:r>
      <w:r w:rsidRPr="00226EDB">
        <w:rPr>
          <w:shd w:val="clear" w:color="auto" w:fill="FFFFFF"/>
        </w:rPr>
        <w:t xml:space="preserve"> as a gatekeeper </w:t>
      </w:r>
      <w:r w:rsidR="00076041" w:rsidRPr="00226EDB">
        <w:rPr>
          <w:shd w:val="clear" w:color="auto" w:fill="FFFFFF"/>
        </w:rPr>
        <w:t>that marks</w:t>
      </w:r>
      <w:r w:rsidRPr="00226EDB">
        <w:rPr>
          <w:shd w:val="clear" w:color="auto" w:fill="FFFFFF"/>
        </w:rPr>
        <w:t xml:space="preserve"> the point at which students either gain access to advanced mathematical studies or begin to disengage from the subject.</w:t>
      </w:r>
      <w:r w:rsidR="00076041" w:rsidRPr="00226EDB">
        <w:rPr>
          <w:shd w:val="clear" w:color="auto" w:fill="FFFFFF"/>
        </w:rPr>
        <w:t xml:space="preserve"> </w:t>
      </w:r>
      <w:r w:rsidRPr="00226EDB">
        <w:rPr>
          <w:shd w:val="clear" w:color="auto" w:fill="FFFFFF"/>
        </w:rPr>
        <w:t>For a few decades, research in mathematics education has therefore focused on early algebra as a way of fostering algebraic thinking already in the early grades, hopefully making the transition into formal algebra in secondary education less harsh (Kieran 20</w:t>
      </w:r>
      <w:r w:rsidR="002C156C" w:rsidRPr="00226EDB">
        <w:rPr>
          <w:shd w:val="clear" w:color="auto" w:fill="FFFFFF"/>
        </w:rPr>
        <w:t>04</w:t>
      </w:r>
      <w:r w:rsidRPr="00226EDB">
        <w:rPr>
          <w:shd w:val="clear" w:color="auto" w:fill="FFFFFF"/>
        </w:rPr>
        <w:t>). </w:t>
      </w:r>
    </w:p>
    <w:p w14:paraId="691EB398" w14:textId="47713ACC" w:rsidR="00304D05" w:rsidRPr="00226EDB" w:rsidRDefault="00746BB2" w:rsidP="00304D05">
      <w:r w:rsidRPr="00226EDB">
        <w:t>R</w:t>
      </w:r>
      <w:r w:rsidR="00792F26" w:rsidRPr="00226EDB">
        <w:t xml:space="preserve">esearch </w:t>
      </w:r>
      <w:r w:rsidR="00304D05" w:rsidRPr="00226EDB">
        <w:t xml:space="preserve">on school algebra and early algebra has traditionally focused on </w:t>
      </w:r>
      <w:r w:rsidR="00076041" w:rsidRPr="00226EDB">
        <w:t>students'</w:t>
      </w:r>
      <w:r w:rsidR="00304D05" w:rsidRPr="00226EDB">
        <w:t xml:space="preserve"> </w:t>
      </w:r>
      <w:r w:rsidR="003B2370" w:rsidRPr="00226EDB">
        <w:t>(mis)</w:t>
      </w:r>
      <w:r w:rsidR="00304D05" w:rsidRPr="00226EDB">
        <w:t>understandings of algebraic concepts.</w:t>
      </w:r>
      <w:r w:rsidR="00076041" w:rsidRPr="00226EDB">
        <w:t xml:space="preserve"> Additionally</w:t>
      </w:r>
      <w:r w:rsidR="00304D05" w:rsidRPr="00226EDB">
        <w:t xml:space="preserve">, complex frameworks </w:t>
      </w:r>
      <w:r w:rsidR="00076041" w:rsidRPr="00226EDB">
        <w:t>are presented</w:t>
      </w:r>
      <w:r w:rsidR="00304D05" w:rsidRPr="00226EDB">
        <w:t xml:space="preserve"> to </w:t>
      </w:r>
      <w:r w:rsidR="00076041" w:rsidRPr="00226EDB">
        <w:t xml:space="preserve">help </w:t>
      </w:r>
      <w:r w:rsidR="00304D05" w:rsidRPr="00226EDB">
        <w:t>understand early algebra and algebraic thinking.</w:t>
      </w:r>
      <w:r w:rsidR="00076041" w:rsidRPr="00226EDB">
        <w:t xml:space="preserve"> </w:t>
      </w:r>
      <w:r w:rsidR="00304D05" w:rsidRPr="00226EDB">
        <w:t xml:space="preserve">Some of these frameworks have also </w:t>
      </w:r>
      <w:r w:rsidR="00CA69BC" w:rsidRPr="00226EDB">
        <w:t>served as</w:t>
      </w:r>
      <w:r w:rsidR="00304D05" w:rsidRPr="00226EDB">
        <w:t xml:space="preserve"> the </w:t>
      </w:r>
      <w:r w:rsidR="00CA69BC" w:rsidRPr="00226EDB">
        <w:t>basis</w:t>
      </w:r>
      <w:r w:rsidR="00304D05" w:rsidRPr="00226EDB">
        <w:t xml:space="preserve"> for systematic intervention work.</w:t>
      </w:r>
      <w:r w:rsidR="00076041" w:rsidRPr="00226EDB">
        <w:t xml:space="preserve"> </w:t>
      </w:r>
      <w:r w:rsidR="00CA69BC" w:rsidRPr="00226EDB">
        <w:t>Notably,</w:t>
      </w:r>
      <w:r w:rsidR="00304D05" w:rsidRPr="00226EDB">
        <w:t xml:space="preserve"> the work </w:t>
      </w:r>
      <w:r w:rsidR="00CA69BC" w:rsidRPr="00226EDB">
        <w:t>of</w:t>
      </w:r>
      <w:r w:rsidR="00304D05" w:rsidRPr="00226EDB">
        <w:t xml:space="preserve"> Blanton and colleagues</w:t>
      </w:r>
      <w:r w:rsidR="00CA69BC" w:rsidRPr="00226EDB">
        <w:t>,</w:t>
      </w:r>
      <w:r w:rsidR="00304D05" w:rsidRPr="00226EDB">
        <w:t xml:space="preserve"> who </w:t>
      </w:r>
      <w:r w:rsidR="00CA69BC" w:rsidRPr="00226EDB">
        <w:t>built upon</w:t>
      </w:r>
      <w:r w:rsidR="00304D05" w:rsidRPr="00226EDB">
        <w:t xml:space="preserve"> an algebra framework </w:t>
      </w:r>
      <w:r w:rsidR="00CA69BC" w:rsidRPr="00226EDB">
        <w:t>developed by</w:t>
      </w:r>
      <w:r w:rsidR="00304D05" w:rsidRPr="00226EDB">
        <w:t xml:space="preserve"> Kaput </w:t>
      </w:r>
      <w:r w:rsidR="00304D05" w:rsidRPr="00226EDB">
        <w:rPr>
          <w:szCs w:val="26"/>
        </w:rPr>
        <w:t>(2008)</w:t>
      </w:r>
      <w:r w:rsidR="00CA69BC" w:rsidRPr="00226EDB">
        <w:rPr>
          <w:szCs w:val="26"/>
        </w:rPr>
        <w:t>,</w:t>
      </w:r>
      <w:r w:rsidR="00304D05" w:rsidRPr="00226EDB">
        <w:t xml:space="preserve"> </w:t>
      </w:r>
      <w:r w:rsidR="00CA69BC" w:rsidRPr="00226EDB">
        <w:t>resulted in</w:t>
      </w:r>
      <w:r w:rsidR="00304D05" w:rsidRPr="00226EDB">
        <w:t xml:space="preserve"> a</w:t>
      </w:r>
      <w:r w:rsidR="00BC3838" w:rsidRPr="00226EDB">
        <w:t xml:space="preserve"> new</w:t>
      </w:r>
      <w:r w:rsidR="00304D05" w:rsidRPr="00226EDB">
        <w:t xml:space="preserve"> framework</w:t>
      </w:r>
      <w:r w:rsidR="00BC3838" w:rsidRPr="00226EDB">
        <w:t>. Blanton et al.</w:t>
      </w:r>
      <w:r w:rsidR="00304D05" w:rsidRPr="00226EDB">
        <w:t xml:space="preserve"> included the components </w:t>
      </w:r>
      <w:r w:rsidR="00CA69BC" w:rsidRPr="00226EDB">
        <w:t xml:space="preserve">of </w:t>
      </w:r>
      <w:r w:rsidR="00304D05" w:rsidRPr="00226EDB">
        <w:t>generalized arithmetic</w:t>
      </w:r>
      <w:r w:rsidR="00CA69BC" w:rsidRPr="00226EDB">
        <w:t>,</w:t>
      </w:r>
      <w:r w:rsidR="00304D05" w:rsidRPr="00226EDB">
        <w:t xml:space="preserve"> equivalence, expressions, equations, and inequalities</w:t>
      </w:r>
      <w:r w:rsidR="00CA69BC" w:rsidRPr="00226EDB">
        <w:t>,</w:t>
      </w:r>
      <w:r w:rsidR="00304D05" w:rsidRPr="00226EDB">
        <w:t xml:space="preserve"> </w:t>
      </w:r>
      <w:r w:rsidR="00C36D3B" w:rsidRPr="00226EDB">
        <w:t>and</w:t>
      </w:r>
      <w:r w:rsidR="00304D05" w:rsidRPr="00226EDB">
        <w:t xml:space="preserve"> functional thinking </w:t>
      </w:r>
      <w:r w:rsidR="00304D05" w:rsidRPr="00226EDB">
        <w:rPr>
          <w:szCs w:val="26"/>
        </w:rPr>
        <w:t>(Blanton et al., 201</w:t>
      </w:r>
      <w:r w:rsidR="005C34DA" w:rsidRPr="00226EDB">
        <w:rPr>
          <w:szCs w:val="26"/>
        </w:rPr>
        <w:t>5</w:t>
      </w:r>
      <w:r w:rsidR="00304D05" w:rsidRPr="00226EDB">
        <w:rPr>
          <w:szCs w:val="26"/>
        </w:rPr>
        <w:t>)</w:t>
      </w:r>
      <w:r w:rsidR="00304D05" w:rsidRPr="00226EDB">
        <w:t>.</w:t>
      </w:r>
      <w:r w:rsidR="00076041" w:rsidRPr="00226EDB">
        <w:t xml:space="preserve"> </w:t>
      </w:r>
      <w:r w:rsidR="00304D05" w:rsidRPr="00226EDB">
        <w:t xml:space="preserve">The group then moved on </w:t>
      </w:r>
      <w:r w:rsidR="007E4E50" w:rsidRPr="00226EDB">
        <w:t>to conduct</w:t>
      </w:r>
      <w:r w:rsidR="00304D05" w:rsidRPr="00226EDB">
        <w:t xml:space="preserve"> a series of interventions </w:t>
      </w:r>
      <w:r w:rsidR="00CA69BC" w:rsidRPr="00226EDB">
        <w:t>from</w:t>
      </w:r>
      <w:r w:rsidR="00304D05" w:rsidRPr="00226EDB">
        <w:t xml:space="preserve"> a K-6 perspective, </w:t>
      </w:r>
      <w:r w:rsidR="00CA69BC" w:rsidRPr="00226EDB">
        <w:t>with</w:t>
      </w:r>
      <w:r w:rsidR="00304D05" w:rsidRPr="00226EDB">
        <w:t xml:space="preserve"> the randomized controlled trial of the </w:t>
      </w:r>
      <w:r w:rsidR="00076041" w:rsidRPr="00226EDB">
        <w:t>group's</w:t>
      </w:r>
      <w:r w:rsidR="00304D05" w:rsidRPr="00226EDB">
        <w:t xml:space="preserve"> 3-5 intervention</w:t>
      </w:r>
      <w:r w:rsidR="00CA69BC" w:rsidRPr="00226EDB">
        <w:t>,</w:t>
      </w:r>
      <w:r w:rsidR="00304D05" w:rsidRPr="00226EDB">
        <w:t xml:space="preserve"> </w:t>
      </w:r>
      <w:r w:rsidR="00CA69BC" w:rsidRPr="00226EDB">
        <w:t>involving approximately 3,000</w:t>
      </w:r>
      <w:r w:rsidR="00304D05" w:rsidRPr="00226EDB">
        <w:t xml:space="preserve"> students</w:t>
      </w:r>
      <w:r w:rsidR="00CA69BC" w:rsidRPr="00226EDB">
        <w:t>,</w:t>
      </w:r>
      <w:r w:rsidR="00304D05" w:rsidRPr="00226EDB">
        <w:t xml:space="preserve"> </w:t>
      </w:r>
      <w:r w:rsidR="00CA69BC" w:rsidRPr="00226EDB">
        <w:t>being</w:t>
      </w:r>
      <w:r w:rsidR="00304D05" w:rsidRPr="00226EDB">
        <w:t xml:space="preserve"> the most notable effort </w:t>
      </w:r>
      <w:r w:rsidR="00304D05" w:rsidRPr="00226EDB">
        <w:rPr>
          <w:szCs w:val="26"/>
        </w:rPr>
        <w:t>(Blanton et al., 2019)</w:t>
      </w:r>
      <w:r w:rsidR="00304D05" w:rsidRPr="00226EDB">
        <w:t>.</w:t>
      </w:r>
      <w:r w:rsidR="00076041" w:rsidRPr="00226EDB">
        <w:t xml:space="preserve"> </w:t>
      </w:r>
      <w:r w:rsidR="00304D05" w:rsidRPr="00226EDB">
        <w:t>Unfortunately</w:t>
      </w:r>
      <w:r w:rsidR="00CA69BC" w:rsidRPr="00226EDB">
        <w:t>,</w:t>
      </w:r>
      <w:r w:rsidR="00304D05" w:rsidRPr="00226EDB">
        <w:t xml:space="preserve"> a </w:t>
      </w:r>
      <w:r w:rsidR="00CA69BC" w:rsidRPr="00226EDB">
        <w:t>follow-up</w:t>
      </w:r>
      <w:r w:rsidR="00304D05" w:rsidRPr="00226EDB">
        <w:t xml:space="preserve"> study in grade 6 </w:t>
      </w:r>
      <w:r w:rsidR="00CA69BC" w:rsidRPr="00226EDB">
        <w:t>revealed</w:t>
      </w:r>
      <w:r w:rsidR="00304D05" w:rsidRPr="00226EDB">
        <w:t xml:space="preserve"> that the advantage gained by the experimental group in grade 5 had vanished one year </w:t>
      </w:r>
      <w:r w:rsidR="00CA69BC" w:rsidRPr="00226EDB">
        <w:t>later</w:t>
      </w:r>
      <w:r w:rsidR="00304D05" w:rsidRPr="00226EDB">
        <w:t xml:space="preserve">, when a retention study was </w:t>
      </w:r>
      <w:r w:rsidR="00CA69BC" w:rsidRPr="00226EDB">
        <w:t>conducted</w:t>
      </w:r>
      <w:r w:rsidR="00304D05" w:rsidRPr="00226EDB">
        <w:t xml:space="preserve"> </w:t>
      </w:r>
      <w:r w:rsidR="00304D05" w:rsidRPr="00226EDB">
        <w:rPr>
          <w:szCs w:val="26"/>
        </w:rPr>
        <w:t>(Stephens et al., 2021)</w:t>
      </w:r>
      <w:r w:rsidR="00304D05" w:rsidRPr="00226EDB">
        <w:t>. </w:t>
      </w:r>
    </w:p>
    <w:p w14:paraId="68C4B10C" w14:textId="5FA8FAEF" w:rsidR="00AE1726" w:rsidRPr="00226EDB" w:rsidRDefault="00304D05" w:rsidP="00AE1726">
      <w:proofErr w:type="gramStart"/>
      <w:r w:rsidRPr="00226EDB">
        <w:lastRenderedPageBreak/>
        <w:t>In an effort to</w:t>
      </w:r>
      <w:proofErr w:type="gramEnd"/>
      <w:r w:rsidRPr="00226EDB">
        <w:t xml:space="preserve"> enhance </w:t>
      </w:r>
      <w:r w:rsidR="00CA69BC" w:rsidRPr="00226EDB">
        <w:t>the long-term</w:t>
      </w:r>
      <w:r w:rsidRPr="00226EDB">
        <w:t xml:space="preserve"> positive effects of an increased algebra focus, we have designed the project Algebra Monday.</w:t>
      </w:r>
      <w:r w:rsidR="00076041" w:rsidRPr="00226EDB">
        <w:t xml:space="preserve"> </w:t>
      </w:r>
      <w:r w:rsidR="00CA69BC" w:rsidRPr="00226EDB">
        <w:t>On</w:t>
      </w:r>
      <w:r w:rsidRPr="00226EDB">
        <w:t xml:space="preserve"> Algebra </w:t>
      </w:r>
      <w:r w:rsidR="00CA69BC" w:rsidRPr="00226EDB">
        <w:t>Mondays</w:t>
      </w:r>
      <w:r w:rsidRPr="00226EDB">
        <w:t>, all teachers from K (</w:t>
      </w:r>
      <w:r w:rsidR="00B25D0C" w:rsidRPr="00226EDB">
        <w:t>6-year-olds</w:t>
      </w:r>
      <w:r w:rsidRPr="00226EDB">
        <w:t>) to 9 (16</w:t>
      </w:r>
      <w:r w:rsidR="00B25D0C" w:rsidRPr="00226EDB">
        <w:t>-</w:t>
      </w:r>
      <w:r w:rsidRPr="00226EDB">
        <w:t>year</w:t>
      </w:r>
      <w:r w:rsidR="00B25D0C" w:rsidRPr="00226EDB">
        <w:t>-</w:t>
      </w:r>
      <w:r w:rsidRPr="00226EDB">
        <w:t xml:space="preserve">olds) teach specifically designed algebra lessons once a week, not only for </w:t>
      </w:r>
      <w:r w:rsidR="00CA69BC" w:rsidRPr="00226EDB">
        <w:t>a</w:t>
      </w:r>
      <w:r w:rsidRPr="00226EDB">
        <w:t xml:space="preserve"> specified number of weeks, but indefinitely.</w:t>
      </w:r>
      <w:r w:rsidR="00076041" w:rsidRPr="00226EDB">
        <w:t xml:space="preserve"> </w:t>
      </w:r>
      <w:r w:rsidR="00C62F7D" w:rsidRPr="00226EDB">
        <w:t>I</w:t>
      </w:r>
      <w:r w:rsidRPr="00226EDB">
        <w:t xml:space="preserve">n each participating municipality, we first work with pilot teachers for </w:t>
      </w:r>
      <w:r w:rsidR="00CA69BC" w:rsidRPr="00226EDB">
        <w:t>a minimum of</w:t>
      </w:r>
      <w:r w:rsidRPr="00226EDB">
        <w:t xml:space="preserve"> 20 weeks.</w:t>
      </w:r>
      <w:r w:rsidR="00076041" w:rsidRPr="00226EDB">
        <w:t xml:space="preserve"> </w:t>
      </w:r>
      <w:r w:rsidR="00340B3A" w:rsidRPr="00226EDB">
        <w:t>T</w:t>
      </w:r>
      <w:r w:rsidRPr="00226EDB">
        <w:t xml:space="preserve">hese pilot teachers </w:t>
      </w:r>
      <w:r w:rsidR="00340B3A" w:rsidRPr="00226EDB">
        <w:t xml:space="preserve">later </w:t>
      </w:r>
      <w:r w:rsidRPr="00226EDB">
        <w:t xml:space="preserve">act as facilitators in collegial collaborations </w:t>
      </w:r>
      <w:r w:rsidRPr="00226EDB">
        <w:rPr>
          <w:szCs w:val="26"/>
        </w:rPr>
        <w:t>(Roesken-Winter et al., 2021)</w:t>
      </w:r>
      <w:r w:rsidRPr="00226EDB">
        <w:t xml:space="preserve">. </w:t>
      </w:r>
    </w:p>
    <w:p w14:paraId="21338A37" w14:textId="5A832455" w:rsidR="00AE1726" w:rsidRPr="00226EDB" w:rsidRDefault="00964C1D" w:rsidP="00AE1726">
      <w:r w:rsidRPr="00226EDB">
        <w:t xml:space="preserve">In Algebra Monday, we are particularly interested in promoting structural algebraic or arithmetic reasoning. By </w:t>
      </w:r>
      <w:r w:rsidRPr="00226EDB">
        <w:rPr>
          <w:b/>
          <w:bCs/>
        </w:rPr>
        <w:t>algebra as a structure,</w:t>
      </w:r>
      <w:r w:rsidRPr="00226EDB">
        <w:t xml:space="preserve"> we mean ways of discovering, explicating, symbolizing, and using general relationships among, primarily arithmetic, operations </w:t>
      </w:r>
      <w:r w:rsidRPr="00226EDB">
        <w:rPr>
          <w:szCs w:val="26"/>
        </w:rPr>
        <w:t>(e.g., Section 4.2.2 in Kieran, 2018a)</w:t>
      </w:r>
      <w:r w:rsidRPr="00226EDB">
        <w:t>.</w:t>
      </w:r>
      <w:r w:rsidR="006E5C6B" w:rsidRPr="00226EDB">
        <w:t xml:space="preserve"> Examples include knowledge</w:t>
      </w:r>
      <w:r w:rsidR="003F186E" w:rsidRPr="00226EDB">
        <w:t xml:space="preserve"> that</w:t>
      </w:r>
      <w:r w:rsidR="006E5C6B" w:rsidRPr="00226EDB">
        <w:t xml:space="preserve"> </w:t>
      </w:r>
      <m:oMath>
        <m:r>
          <w:rPr>
            <w:rFonts w:ascii="Cambria Math" w:hAnsi="Cambria Math"/>
          </w:rPr>
          <m:t>a</m:t>
        </m:r>
        <m:r>
          <m:rPr>
            <m:sty m:val="p"/>
          </m:rPr>
          <w:rPr>
            <w:rFonts w:ascii="Cambria Math" w:hAnsi="Cambria Math"/>
          </w:rPr>
          <m:t>⋅</m:t>
        </m:r>
        <m:r>
          <w:rPr>
            <w:rFonts w:ascii="Cambria Math" w:hAnsi="Cambria Math"/>
          </w:rPr>
          <m:t>b=c</m:t>
        </m:r>
      </m:oMath>
      <w:r w:rsidRPr="00226EDB">
        <w:t xml:space="preserve">, </w:t>
      </w:r>
      <m:oMath>
        <m:r>
          <w:rPr>
            <w:rFonts w:ascii="Cambria Math" w:hAnsi="Cambria Math"/>
          </w:rPr>
          <m:t>a=c</m:t>
        </m:r>
        <m:r>
          <m:rPr>
            <m:lit/>
          </m:rPr>
          <w:rPr>
            <w:rFonts w:ascii="Cambria Math" w:hAnsi="Cambria Math"/>
          </w:rPr>
          <m:t>/</m:t>
        </m:r>
        <m:r>
          <w:rPr>
            <w:rFonts w:ascii="Cambria Math" w:hAnsi="Cambria Math"/>
          </w:rPr>
          <m:t>b</m:t>
        </m:r>
      </m:oMath>
      <w:r w:rsidRPr="00226EDB">
        <w:t xml:space="preserve">, and </w:t>
      </w:r>
      <m:oMath>
        <m:r>
          <w:rPr>
            <w:rFonts w:ascii="Cambria Math" w:hAnsi="Cambria Math"/>
          </w:rPr>
          <m:t>b=c</m:t>
        </m:r>
        <m:r>
          <m:rPr>
            <m:lit/>
          </m:rPr>
          <w:rPr>
            <w:rFonts w:ascii="Cambria Math" w:hAnsi="Cambria Math"/>
          </w:rPr>
          <m:t>/</m:t>
        </m:r>
        <m:r>
          <w:rPr>
            <w:rFonts w:ascii="Cambria Math" w:hAnsi="Cambria Math"/>
          </w:rPr>
          <m:t>a</m:t>
        </m:r>
      </m:oMath>
      <w:r w:rsidRPr="00226EDB">
        <w:t xml:space="preserve"> will all hold </w:t>
      </w:r>
      <w:r w:rsidR="001019F7" w:rsidRPr="00226EDB">
        <w:t xml:space="preserve">simultaneously </w:t>
      </w:r>
      <w:r w:rsidRPr="00226EDB">
        <w:t>(unless zeroes are involved). Since this category of algebra cuts across</w:t>
      </w:r>
      <w:r w:rsidR="00AE1726" w:rsidRPr="00226EDB">
        <w:t xml:space="preserve"> several of, for example, Blanton’s categories, we constructed an algebra framework of our own that we will briefly mention here</w:t>
      </w:r>
      <w:r w:rsidR="00C95A71" w:rsidRPr="00226EDB">
        <w:t>,</w:t>
      </w:r>
      <w:r w:rsidR="00AE1726" w:rsidRPr="00226EDB">
        <w:t xml:space="preserve"> with three</w:t>
      </w:r>
      <w:r w:rsidR="00C95A71" w:rsidRPr="00226EDB">
        <w:t xml:space="preserve"> categories</w:t>
      </w:r>
      <w:r w:rsidR="00AE1726" w:rsidRPr="00226EDB">
        <w:t xml:space="preserve"> in addition to the main category algebra as structure. </w:t>
      </w:r>
    </w:p>
    <w:p w14:paraId="7218E345" w14:textId="66A44807" w:rsidR="00AE1726" w:rsidRPr="00226EDB" w:rsidRDefault="00AE1726" w:rsidP="00AE1726">
      <w:r w:rsidRPr="00226EDB">
        <w:rPr>
          <w:b/>
          <w:bCs/>
        </w:rPr>
        <w:t>Algebra as operations on non-numeric symbols</w:t>
      </w:r>
      <w:r w:rsidRPr="00226EDB">
        <w:t xml:space="preserve"> concerns operations on symbols that represent numerical </w:t>
      </w:r>
      <w:r w:rsidR="00C95A71" w:rsidRPr="00226EDB">
        <w:t>entities but</w:t>
      </w:r>
      <w:r w:rsidRPr="00226EDB">
        <w:t xml:space="preserve"> are not themselves numerical symbols. </w:t>
      </w:r>
      <w:r w:rsidR="002204BD" w:rsidRPr="00226EDB">
        <w:t>This involves typical solutions of linear equations</w:t>
      </w:r>
      <w:r w:rsidR="0012554F" w:rsidRPr="00226EDB">
        <w:t>. We</w:t>
      </w:r>
      <w:r w:rsidRPr="00226EDB">
        <w:t xml:space="preserve"> also consider tasks like </w:t>
      </w:r>
      <m:oMath>
        <m:r>
          <w:rPr>
            <w:rFonts w:ascii="Cambria Math" w:hAnsi="Cambria Math"/>
          </w:rPr>
          <m:t>8+</m:t>
        </m:r>
        <m:r>
          <m:rPr>
            <m:lit/>
          </m:rPr>
          <w:rPr>
            <w:rFonts w:ascii="Cambria Math" w:hAnsi="Cambria Math"/>
          </w:rPr>
          <m:t>_</m:t>
        </m:r>
        <m:r>
          <w:rPr>
            <w:rFonts w:ascii="Cambria Math" w:hAnsi="Cambria Math"/>
          </w:rPr>
          <m:t>=3</m:t>
        </m:r>
      </m:oMath>
      <w:r w:rsidRPr="00226EDB">
        <w:t xml:space="preserve"> to belong in this category, as well as tasks such as simplifying </w:t>
      </w:r>
      <m:oMath>
        <m:r>
          <w:rPr>
            <w:rFonts w:ascii="Cambria Math" w:hAnsi="Cambria Math"/>
            <w:color w:val="000000"/>
            <w:szCs w:val="26"/>
          </w:rPr>
          <m:t>4</m:t>
        </m:r>
        <m:sSup>
          <m:sSupPr>
            <m:ctrlPr>
              <w:rPr>
                <w:rFonts w:ascii="Cambria Math" w:hAnsi="Cambria Math"/>
                <w:i/>
                <w:color w:val="000000"/>
                <w:szCs w:val="26"/>
              </w:rPr>
            </m:ctrlPr>
          </m:sSupPr>
          <m:e>
            <m:r>
              <w:rPr>
                <w:rFonts w:ascii="Cambria Math" w:hAnsi="Cambria Math"/>
                <w:color w:val="000000"/>
                <w:szCs w:val="26"/>
              </w:rPr>
              <m:t>a</m:t>
            </m:r>
          </m:e>
          <m:sup>
            <m:r>
              <w:rPr>
                <w:rFonts w:ascii="Cambria Math" w:hAnsi="Cambria Math"/>
                <w:color w:val="000000"/>
                <w:szCs w:val="26"/>
              </w:rPr>
              <m:t>3</m:t>
            </m:r>
          </m:sup>
        </m:sSup>
        <m:r>
          <w:rPr>
            <w:rFonts w:ascii="Cambria Math" w:hAnsi="Cambria Math"/>
            <w:color w:val="000000"/>
            <w:szCs w:val="26"/>
          </w:rPr>
          <m:t>+4a+2</m:t>
        </m:r>
        <m:sSup>
          <m:sSupPr>
            <m:ctrlPr>
              <w:rPr>
                <w:rFonts w:ascii="Cambria Math" w:hAnsi="Cambria Math"/>
                <w:i/>
                <w:color w:val="000000"/>
                <w:szCs w:val="26"/>
              </w:rPr>
            </m:ctrlPr>
          </m:sSupPr>
          <m:e>
            <m:r>
              <w:rPr>
                <w:rFonts w:ascii="Cambria Math" w:hAnsi="Cambria Math"/>
                <w:color w:val="000000"/>
                <w:szCs w:val="26"/>
              </w:rPr>
              <m:t>a</m:t>
            </m:r>
          </m:e>
          <m:sup>
            <m:r>
              <w:rPr>
                <w:rFonts w:ascii="Cambria Math" w:hAnsi="Cambria Math"/>
                <w:color w:val="000000"/>
                <w:szCs w:val="26"/>
              </w:rPr>
              <m:t>3</m:t>
            </m:r>
          </m:sup>
        </m:sSup>
        <m:r>
          <w:rPr>
            <w:rFonts w:ascii="Cambria Math" w:hAnsi="Cambria Math"/>
            <w:color w:val="000000"/>
            <w:szCs w:val="26"/>
          </w:rPr>
          <m:t>+3a</m:t>
        </m:r>
      </m:oMath>
      <w:r w:rsidRPr="00226EDB">
        <w:t>.</w:t>
      </w:r>
    </w:p>
    <w:p w14:paraId="2F59FD27" w14:textId="4FD37450" w:rsidR="00AE1726" w:rsidRPr="00226EDB" w:rsidRDefault="00AE1726" w:rsidP="00AE1726">
      <w:r w:rsidRPr="00226EDB">
        <w:rPr>
          <w:b/>
          <w:bCs/>
        </w:rPr>
        <w:t xml:space="preserve">Algebra as variables and functional thinking. </w:t>
      </w:r>
      <w:r w:rsidRPr="00226EDB">
        <w:t xml:space="preserve">Functional thinking is centered around using a symbol that can stand for any number (for which the function is defined), i.e., function as a variable. </w:t>
      </w:r>
      <w:r w:rsidR="002142B2" w:rsidRPr="00226EDB">
        <w:t xml:space="preserve">Functional thinking also includes graphical representation of </w:t>
      </w:r>
      <w:r w:rsidRPr="00226EDB">
        <w:t>covariation between variables</w:t>
      </w:r>
      <w:r w:rsidR="002142B2" w:rsidRPr="00226EDB">
        <w:t xml:space="preserve">. </w:t>
      </w:r>
      <w:r w:rsidRPr="00226EDB">
        <w:t xml:space="preserve">We also include modeling, i.e., when a function is created to represent some phenomenon, in the functional thinking category. </w:t>
      </w:r>
    </w:p>
    <w:p w14:paraId="3C3049B7" w14:textId="7415AF70" w:rsidR="00927AB3" w:rsidRPr="00226EDB" w:rsidRDefault="00AE1726" w:rsidP="00B51636">
      <w:r w:rsidRPr="00226EDB">
        <w:rPr>
          <w:b/>
          <w:bCs/>
        </w:rPr>
        <w:t>Algebra as patterns.</w:t>
      </w:r>
      <w:r w:rsidRPr="00226EDB">
        <w:t xml:space="preserve"> Working with figural or geometric patterns has been </w:t>
      </w:r>
      <w:r w:rsidR="0045165F" w:rsidRPr="00226EDB">
        <w:t xml:space="preserve">proposed </w:t>
      </w:r>
      <w:proofErr w:type="gramStart"/>
      <w:r w:rsidRPr="00226EDB">
        <w:t>as a way to</w:t>
      </w:r>
      <w:proofErr w:type="gramEnd"/>
      <w:r w:rsidRPr="00226EDB">
        <w:t xml:space="preserve"> get acquainted with certain forms of algebraic thinking. Tasks in this class typically involve continuing and representing growing </w:t>
      </w:r>
      <w:r w:rsidR="00FD496B" w:rsidRPr="00226EDB">
        <w:t xml:space="preserve">or repeating </w:t>
      </w:r>
      <w:r w:rsidRPr="00226EDB">
        <w:t xml:space="preserve">patterns </w:t>
      </w:r>
      <w:r w:rsidRPr="00226EDB">
        <w:rPr>
          <w:szCs w:val="26"/>
        </w:rPr>
        <w:t>(section 4.2.3 in Kieran, 2018b)</w:t>
      </w:r>
      <w:r w:rsidRPr="00226EDB">
        <w:t>. This category is not a main priority in Algebra Monday</w:t>
      </w:r>
      <w:r w:rsidR="002C15EE" w:rsidRPr="00226EDB">
        <w:t xml:space="preserve"> because we </w:t>
      </w:r>
      <w:r w:rsidR="002A4450" w:rsidRPr="00226EDB">
        <w:t>do not see proficiency with pattern work as generative for other algebraic proficiency in the same way as</w:t>
      </w:r>
      <w:r w:rsidR="00FE5FDC" w:rsidRPr="00226EDB">
        <w:t xml:space="preserve"> </w:t>
      </w:r>
      <w:r w:rsidR="00793ADE" w:rsidRPr="00226EDB">
        <w:t xml:space="preserve">we see </w:t>
      </w:r>
      <w:r w:rsidR="00FE5FDC" w:rsidRPr="00226EDB">
        <w:t>algebra</w:t>
      </w:r>
      <w:r w:rsidR="002A4450" w:rsidRPr="00226EDB">
        <w:t xml:space="preserve"> as structure </w:t>
      </w:r>
      <w:r w:rsidR="00793ADE" w:rsidRPr="00226EDB">
        <w:t>as generative</w:t>
      </w:r>
      <w:r w:rsidR="002A4450" w:rsidRPr="00226EDB">
        <w:t>. This is a design hypothesis we will not delve deeper into here</w:t>
      </w:r>
      <w:r w:rsidR="00927AB3" w:rsidRPr="00226EDB">
        <w:t>. F</w:t>
      </w:r>
      <w:r w:rsidR="002469C4" w:rsidRPr="00226EDB">
        <w:t>or more info</w:t>
      </w:r>
      <w:r w:rsidR="00927AB3" w:rsidRPr="00226EDB">
        <w:t>rmation</w:t>
      </w:r>
      <w:r w:rsidR="002469C4" w:rsidRPr="00226EDB">
        <w:t xml:space="preserve"> on the four categories above, including how they are currently represented in Swedish textbooks, see Helenius &amp; Ahl (2024). </w:t>
      </w:r>
    </w:p>
    <w:p w14:paraId="542B4BD2" w14:textId="105C25EE" w:rsidR="00355D2C" w:rsidRPr="00226EDB" w:rsidRDefault="002A4450" w:rsidP="00205D8C">
      <w:r w:rsidRPr="00226EDB">
        <w:t xml:space="preserve">The functioning of Algebra Monday will be evaluated mainly </w:t>
      </w:r>
      <w:r w:rsidR="00A616DC" w:rsidRPr="00226EDB">
        <w:t xml:space="preserve">by </w:t>
      </w:r>
      <w:r w:rsidRPr="00226EDB">
        <w:t>its effects on students’ algebra knowledge development. For this we need a test</w:t>
      </w:r>
      <w:r w:rsidR="00BA085D" w:rsidRPr="00226EDB">
        <w:t xml:space="preserve">. </w:t>
      </w:r>
      <w:r w:rsidR="002D5A7F" w:rsidRPr="00226EDB">
        <w:t>There</w:t>
      </w:r>
      <w:r w:rsidR="006D463A" w:rsidRPr="00226EDB">
        <w:t xml:space="preserve"> are</w:t>
      </w:r>
      <w:r w:rsidR="00205D8C" w:rsidRPr="00226EDB">
        <w:t xml:space="preserve"> mandatory</w:t>
      </w:r>
      <w:r w:rsidR="006D463A" w:rsidRPr="00226EDB">
        <w:t xml:space="preserve"> national tests </w:t>
      </w:r>
      <w:r w:rsidR="00793ADE" w:rsidRPr="00226EDB">
        <w:t xml:space="preserve">in Sweden </w:t>
      </w:r>
      <w:r w:rsidR="006D463A" w:rsidRPr="00226EDB">
        <w:t xml:space="preserve">in grades 3, 6, and 9, </w:t>
      </w:r>
      <w:r w:rsidR="00205D8C" w:rsidRPr="00226EDB">
        <w:t>w</w:t>
      </w:r>
      <w:r w:rsidR="10AB5D36" w:rsidRPr="00226EDB">
        <w:t xml:space="preserve">hich will also </w:t>
      </w:r>
      <w:r w:rsidR="280F33D1" w:rsidRPr="00226EDB">
        <w:t>help assess</w:t>
      </w:r>
      <w:r w:rsidR="10AB5D36" w:rsidRPr="00226EDB">
        <w:t xml:space="preserve"> the effectiveness of Algebra Monday.</w:t>
      </w:r>
      <w:r w:rsidR="6538CD77" w:rsidRPr="00226EDB">
        <w:t xml:space="preserve"> These test</w:t>
      </w:r>
      <w:r w:rsidR="00344D97" w:rsidRPr="00226EDB">
        <w:t>s</w:t>
      </w:r>
      <w:r w:rsidR="6538CD77" w:rsidRPr="00226EDB">
        <w:t xml:space="preserve"> are</w:t>
      </w:r>
      <w:r w:rsidR="00792F26" w:rsidRPr="00226EDB">
        <w:t>,</w:t>
      </w:r>
      <w:r w:rsidR="6538CD77" w:rsidRPr="00226EDB">
        <w:t xml:space="preserve"> however</w:t>
      </w:r>
      <w:r w:rsidR="00792F26" w:rsidRPr="00226EDB">
        <w:t>,</w:t>
      </w:r>
      <w:r w:rsidR="6538CD77" w:rsidRPr="00226EDB">
        <w:t xml:space="preserve"> not algebra specific, and individual tasks cannot be shared openly, meaning</w:t>
      </w:r>
      <w:r w:rsidR="55D609CE" w:rsidRPr="00226EDB">
        <w:t xml:space="preserve"> they are of limited use for sharing research results.</w:t>
      </w:r>
      <w:r w:rsidR="6538CD77" w:rsidRPr="00226EDB">
        <w:t xml:space="preserve"> </w:t>
      </w:r>
      <w:r w:rsidR="002D61AC" w:rsidRPr="00226EDB">
        <w:t xml:space="preserve">In targeted interventions such as that of Blanton et al. (2019), </w:t>
      </w:r>
      <w:r w:rsidR="00CD096C" w:rsidRPr="00226EDB">
        <w:t xml:space="preserve">researchers </w:t>
      </w:r>
      <w:r w:rsidR="00AE5865" w:rsidRPr="00226EDB">
        <w:t xml:space="preserve">may design their own assessments based on </w:t>
      </w:r>
      <w:r w:rsidR="007502BB" w:rsidRPr="00226EDB">
        <w:t xml:space="preserve">pre-existing </w:t>
      </w:r>
      <w:r w:rsidR="00226EDB" w:rsidRPr="00226EDB">
        <w:t>assessments and</w:t>
      </w:r>
      <w:r w:rsidR="0010101E" w:rsidRPr="00226EDB">
        <w:t xml:space="preserve"> may put them through various validation processes</w:t>
      </w:r>
      <w:r w:rsidR="006A5203" w:rsidRPr="00226EDB">
        <w:t xml:space="preserve"> such as establishing reliability and ascertaining item </w:t>
      </w:r>
      <w:r w:rsidR="00403336" w:rsidRPr="00226EDB">
        <w:t>difficulties.</w:t>
      </w:r>
      <w:r w:rsidR="00E1264D" w:rsidRPr="00226EDB">
        <w:t xml:space="preserve"> To our knowledge, there is little or no research on or recommendations for how such validation of test use for intervention research are done.</w:t>
      </w:r>
    </w:p>
    <w:p w14:paraId="23FE516B" w14:textId="6C1307EF" w:rsidR="003D4644" w:rsidRPr="00226EDB" w:rsidRDefault="10AB5D36" w:rsidP="00BF3CC9">
      <w:pPr>
        <w:pStyle w:val="Brdtext"/>
      </w:pPr>
      <w:r w:rsidRPr="00226EDB">
        <w:lastRenderedPageBreak/>
        <w:t>In this paper</w:t>
      </w:r>
      <w:r w:rsidR="280F33D1" w:rsidRPr="00226EDB">
        <w:t>,</w:t>
      </w:r>
      <w:r w:rsidRPr="00226EDB">
        <w:t xml:space="preserve"> we </w:t>
      </w:r>
      <w:r w:rsidR="00226EDB" w:rsidRPr="00226EDB">
        <w:t>report on</w:t>
      </w:r>
      <w:r w:rsidRPr="00226EDB">
        <w:t xml:space="preserve"> the design of an algebra test for grade 8</w:t>
      </w:r>
      <w:r w:rsidR="00612EA9">
        <w:t xml:space="preserve"> and</w:t>
      </w:r>
      <w:r w:rsidRPr="00226EDB">
        <w:t xml:space="preserve"> 9</w:t>
      </w:r>
      <w:r w:rsidR="002B05E7">
        <w:t>,</w:t>
      </w:r>
      <w:r w:rsidR="002704AD" w:rsidRPr="00226EDB">
        <w:t xml:space="preserve"> intended for evaluating the Algebra Monday intervention</w:t>
      </w:r>
      <w:r w:rsidRPr="00226EDB">
        <w:t>.</w:t>
      </w:r>
      <w:r w:rsidR="003C623D" w:rsidRPr="00226EDB">
        <w:t xml:space="preserve"> </w:t>
      </w:r>
      <w:r w:rsidR="002704AD" w:rsidRPr="00226EDB">
        <w:t>Beyond this specific purpose, however, w</w:t>
      </w:r>
      <w:r w:rsidR="00420510" w:rsidRPr="00226EDB">
        <w:t xml:space="preserve">e hope to use it as an illustration through which to initiate a conversation with the wider mathematics education research community about how we design instruments for ascertaining the efficacy of our innovations, and how the interpretation and use of such instruments may be validated. </w:t>
      </w:r>
      <w:r w:rsidR="001454C0" w:rsidRPr="00226EDB">
        <w:t xml:space="preserve">Additionally, the test is made available upon </w:t>
      </w:r>
      <w:r w:rsidR="00C261D1" w:rsidRPr="00226EDB">
        <w:t>request</w:t>
      </w:r>
      <w:r w:rsidR="004611BF" w:rsidRPr="00226EDB">
        <w:rPr>
          <w:rStyle w:val="Fotnotsreferens"/>
        </w:rPr>
        <w:footnoteReference w:id="1"/>
      </w:r>
      <w:r w:rsidR="00D951D8" w:rsidRPr="00226EDB">
        <w:t xml:space="preserve"> </w:t>
      </w:r>
      <w:r w:rsidR="00E20A0D" w:rsidRPr="00226EDB">
        <w:t>in the hope that other researchers and teachers may find it useful</w:t>
      </w:r>
      <w:r w:rsidR="00C261D1" w:rsidRPr="00226EDB">
        <w:t>.</w:t>
      </w:r>
    </w:p>
    <w:p w14:paraId="02A3880E" w14:textId="3AA9CD28" w:rsidR="00304D05" w:rsidRPr="00226EDB" w:rsidRDefault="001454C0" w:rsidP="00304D05">
      <w:pPr>
        <w:pStyle w:val="Rubrik2"/>
      </w:pPr>
      <w:r w:rsidRPr="00226EDB">
        <w:t>Design</w:t>
      </w:r>
    </w:p>
    <w:p w14:paraId="071663CA" w14:textId="5344F2BC" w:rsidR="002A4450" w:rsidRPr="00226EDB" w:rsidRDefault="00304D05" w:rsidP="00DA4CAC">
      <w:pPr>
        <w:ind w:firstLine="0"/>
      </w:pPr>
      <w:r w:rsidRPr="00226EDB">
        <w:t>We had two design purposes.</w:t>
      </w:r>
      <w:r w:rsidR="00076041" w:rsidRPr="00226EDB">
        <w:t xml:space="preserve"> </w:t>
      </w:r>
      <w:r w:rsidRPr="00226EDB">
        <w:t xml:space="preserve">First, we wanted the test to distinguish between algebra </w:t>
      </w:r>
      <w:r w:rsidR="00F2430B" w:rsidRPr="00226EDB">
        <w:t>abilities</w:t>
      </w:r>
      <w:r w:rsidRPr="00226EDB">
        <w:t xml:space="preserve"> in a population of Swedish </w:t>
      </w:r>
      <w:r w:rsidR="00CA69BC" w:rsidRPr="00226EDB">
        <w:t>8th</w:t>
      </w:r>
      <w:r w:rsidR="00855291">
        <w:t>- and</w:t>
      </w:r>
      <w:r w:rsidRPr="00226EDB">
        <w:t xml:space="preserve"> </w:t>
      </w:r>
      <w:r w:rsidR="00CA69BC" w:rsidRPr="00226EDB">
        <w:t>9th-grade</w:t>
      </w:r>
      <w:r w:rsidRPr="00226EDB">
        <w:t xml:space="preserve"> students who had not received any special treatment.</w:t>
      </w:r>
      <w:r w:rsidR="00076041" w:rsidRPr="00226EDB">
        <w:t xml:space="preserve"> </w:t>
      </w:r>
      <w:r w:rsidRPr="00226EDB">
        <w:t>Second, we wanted the test to measure aspects of algebra</w:t>
      </w:r>
      <w:r w:rsidR="00DB0BE9" w:rsidRPr="00226EDB">
        <w:t xml:space="preserve"> teaching</w:t>
      </w:r>
      <w:r w:rsidRPr="00226EDB">
        <w:t xml:space="preserve"> that we were focusing on in our intervention, Algebra Monday</w:t>
      </w:r>
      <w:r w:rsidR="00FA49C0" w:rsidRPr="00226EDB">
        <w:t xml:space="preserve"> but we were </w:t>
      </w:r>
      <w:r w:rsidR="00FA49C0" w:rsidRPr="00226EDB">
        <w:rPr>
          <w:i/>
          <w:iCs/>
        </w:rPr>
        <w:t>not</w:t>
      </w:r>
      <w:r w:rsidR="00FA49C0" w:rsidRPr="00226EDB">
        <w:t xml:space="preserve"> trying to presuppose cognitive subconstructs that can form the basis for latent variables in an assessment, as Zhang et al. </w:t>
      </w:r>
      <w:r w:rsidR="00FA49C0" w:rsidRPr="00226EDB">
        <w:rPr>
          <w:szCs w:val="26"/>
        </w:rPr>
        <w:t>(2018)</w:t>
      </w:r>
      <w:r w:rsidR="00FA49C0" w:rsidRPr="00226EDB">
        <w:t xml:space="preserve"> do</w:t>
      </w:r>
      <w:r w:rsidRPr="00226EDB">
        <w:t>.</w:t>
      </w:r>
      <w:r w:rsidR="00344D97" w:rsidRPr="00226EDB">
        <w:t xml:space="preserve"> </w:t>
      </w:r>
      <w:r w:rsidR="002A4450" w:rsidRPr="00226EDB">
        <w:t xml:space="preserve">In addition, we </w:t>
      </w:r>
      <w:r w:rsidR="002469C4" w:rsidRPr="00226EDB">
        <w:t>included</w:t>
      </w:r>
      <w:r w:rsidR="002A4450" w:rsidRPr="00226EDB">
        <w:t xml:space="preserve"> items that had either been proven in previous tests or were otherwise well-known in the mathematics education community. </w:t>
      </w:r>
      <w:r w:rsidR="00726325" w:rsidRPr="00226EDB">
        <w:t>For example, t</w:t>
      </w:r>
      <w:r w:rsidR="00AA6DE7" w:rsidRPr="00226EDB">
        <w:t xml:space="preserve">he </w:t>
      </w:r>
      <w:r w:rsidR="002A4450" w:rsidRPr="00226EDB">
        <w:t xml:space="preserve">task </w:t>
      </w:r>
      <m:oMath>
        <m:r>
          <w:rPr>
            <w:rFonts w:ascii="Cambria Math" w:hAnsi="Cambria Math"/>
          </w:rPr>
          <m:t>14-5=</m:t>
        </m:r>
        <m:r>
          <m:rPr>
            <m:lit/>
          </m:rPr>
          <w:rPr>
            <w:rFonts w:ascii="Cambria Math" w:hAnsi="Cambria Math"/>
          </w:rPr>
          <m:t>_</m:t>
        </m:r>
        <m:r>
          <w:rPr>
            <w:rFonts w:ascii="Cambria Math" w:hAnsi="Cambria Math"/>
          </w:rPr>
          <m:t>+7</m:t>
        </m:r>
      </m:oMath>
      <w:r w:rsidR="003C7C6F" w:rsidRPr="00226EDB">
        <w:t xml:space="preserve"> is</w:t>
      </w:r>
      <w:r w:rsidR="002A4450" w:rsidRPr="00226EDB">
        <w:t xml:space="preserve"> a well-known type of task in the mathematics education research literature, which tests a relational understanding of the equal sign. There are known typical errors that are helpful when designing multiple-choice items. The proportion of pupils of different ages that can correctly handle this task is well known both internationally and in the Nordic perspective </w:t>
      </w:r>
      <w:r w:rsidR="002A4450" w:rsidRPr="00226EDB">
        <w:rPr>
          <w:szCs w:val="26"/>
        </w:rPr>
        <w:t>(see Opsal &amp; Topphol, 2023, for an overview)</w:t>
      </w:r>
      <w:r w:rsidR="002A4450" w:rsidRPr="00226EDB">
        <w:t xml:space="preserve">. Using established tasks like this also makes it easier to build a future discussion based on previous research. In this limited format, we cannot describe the origins of all items, but several tasks are related to the following references </w:t>
      </w:r>
      <w:r w:rsidR="002A4450" w:rsidRPr="00226EDB">
        <w:rPr>
          <w:szCs w:val="26"/>
        </w:rPr>
        <w:t xml:space="preserve">(Hackenberg &amp; </w:t>
      </w:r>
      <w:r w:rsidR="002A4450" w:rsidRPr="00226EDB">
        <w:t>Sevinc</w:t>
      </w:r>
      <w:r w:rsidR="002A4450" w:rsidRPr="00226EDB">
        <w:rPr>
          <w:szCs w:val="26"/>
        </w:rPr>
        <w:t>, 2022; Hilton et al., 2013; Niss &amp; Jankvist, 2013)</w:t>
      </w:r>
      <w:r w:rsidR="002A4450" w:rsidRPr="00226EDB">
        <w:t xml:space="preserve">. A few tasks also come from older national tests </w:t>
      </w:r>
      <w:r w:rsidR="00406F48">
        <w:t>for</w:t>
      </w:r>
      <w:r w:rsidR="002A4450" w:rsidRPr="00226EDB">
        <w:t xml:space="preserve"> grade 9 in Sweden. </w:t>
      </w:r>
    </w:p>
    <w:p w14:paraId="7ED5386D" w14:textId="1A167269" w:rsidR="00F73B39" w:rsidRPr="00226EDB" w:rsidRDefault="00F73B39" w:rsidP="000D0F02">
      <w:r w:rsidRPr="00226EDB">
        <w:t>The test was trialed in two schools during March and April 2025, with 68 students ranging from grade 7 to the third course in upper secondary school. Based on this pilot trial, 11 questions were removed to make the test shorter, based on low point-biserial correlation with the overall test result, inappropriate difficulty level, and technical difficulties in the testing platform. Moreover, test questions were reordered by difficulty. While the initial test consisted of 45 questions, the final test contained 34 questions. </w:t>
      </w:r>
    </w:p>
    <w:p w14:paraId="58F8565D" w14:textId="2C358003" w:rsidR="00304D05" w:rsidRPr="00226EDB" w:rsidRDefault="002469C4" w:rsidP="003B28B6">
      <w:r w:rsidRPr="00226EDB">
        <w:t>We based the test construction loosely on the three focused categories in Algebra Monday: algebra as structure, as operations on non-numerical symbols, and as variables and functional thinking. Table 1 shows the distribution of tasks between the three categories</w:t>
      </w:r>
      <w:r w:rsidR="00194A6D" w:rsidRPr="00226EDB">
        <w:t xml:space="preserve">. </w:t>
      </w:r>
      <w:r w:rsidR="00385C43">
        <w:t>26 of the</w:t>
      </w:r>
      <w:r w:rsidR="00AB3DAE" w:rsidRPr="00226EDB">
        <w:t xml:space="preserve"> 3</w:t>
      </w:r>
      <w:r w:rsidR="00304D05" w:rsidRPr="00226EDB">
        <w:t xml:space="preserve">4 </w:t>
      </w:r>
      <w:r w:rsidR="00385C43">
        <w:t xml:space="preserve">items were </w:t>
      </w:r>
      <w:r w:rsidR="00AB3DAE" w:rsidRPr="00226EDB">
        <w:t xml:space="preserve">multiple-choice </w:t>
      </w:r>
      <w:r w:rsidR="00385C43">
        <w:t>and</w:t>
      </w:r>
      <w:r w:rsidR="00AB3DAE" w:rsidRPr="00226EDB">
        <w:t xml:space="preserve"> had</w:t>
      </w:r>
      <w:r w:rsidR="00304D05" w:rsidRPr="00226EDB">
        <w:t xml:space="preserve"> one option </w:t>
      </w:r>
      <w:r w:rsidR="00304D05" w:rsidRPr="00226EDB">
        <w:rPr>
          <w:i/>
          <w:iCs/>
        </w:rPr>
        <w:t xml:space="preserve">I </w:t>
      </w:r>
      <w:r w:rsidR="00076041" w:rsidRPr="00226EDB">
        <w:rPr>
          <w:i/>
          <w:iCs/>
        </w:rPr>
        <w:t>don't</w:t>
      </w:r>
      <w:r w:rsidR="00304D05" w:rsidRPr="00226EDB">
        <w:rPr>
          <w:i/>
          <w:iCs/>
        </w:rPr>
        <w:t xml:space="preserve"> know</w:t>
      </w:r>
      <w:r w:rsidR="00AB3DAE" w:rsidRPr="00226EDB">
        <w:t xml:space="preserve"> which was included </w:t>
      </w:r>
      <w:r w:rsidR="00226EDB" w:rsidRPr="00226EDB">
        <w:t>to</w:t>
      </w:r>
      <w:r w:rsidR="00AB3DAE" w:rsidRPr="00226EDB">
        <w:t xml:space="preserve"> avoid students guessing</w:t>
      </w:r>
      <w:r w:rsidR="00304D05" w:rsidRPr="00226EDB">
        <w:t>.</w:t>
      </w:r>
      <w:r w:rsidR="00076041" w:rsidRPr="00226EDB">
        <w:t xml:space="preserve"> </w:t>
      </w:r>
      <w:r w:rsidR="00385C43">
        <w:t xml:space="preserve">A reason to have an open answer format on 8 items was that we wanted to avoid trial and error type solutions for some equations type items. </w:t>
      </w:r>
      <w:proofErr w:type="spellStart"/>
      <w:r w:rsidR="004B2C94" w:rsidRPr="00226EDB">
        <w:t>A</w:t>
      </w:r>
      <w:proofErr w:type="spellEnd"/>
      <w:r w:rsidR="004B2C94" w:rsidRPr="00226EDB">
        <w:t xml:space="preserve"> test blueprint is presented in Table 1.</w:t>
      </w:r>
    </w:p>
    <w:p w14:paraId="10AD81E0" w14:textId="77777777" w:rsidR="0015502B" w:rsidRPr="00226EDB" w:rsidRDefault="0015502B" w:rsidP="003B28B6"/>
    <w:tbl>
      <w:tblPr>
        <w:tblStyle w:val="Oformateradtabell2"/>
        <w:tblW w:w="0" w:type="auto"/>
        <w:jc w:val="center"/>
        <w:tblLook w:val="04A0" w:firstRow="1" w:lastRow="0" w:firstColumn="1" w:lastColumn="0" w:noHBand="0" w:noVBand="1"/>
      </w:tblPr>
      <w:tblGrid>
        <w:gridCol w:w="1701"/>
        <w:gridCol w:w="2552"/>
        <w:gridCol w:w="3685"/>
        <w:gridCol w:w="1132"/>
      </w:tblGrid>
      <w:tr w:rsidR="00C15497" w:rsidRPr="00226EDB" w14:paraId="6D3CAB28" w14:textId="77777777" w:rsidTr="00DA4CAC">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75730CC2" w14:textId="77777777" w:rsidR="00F73B39" w:rsidRPr="00226EDB" w:rsidRDefault="00F73B39" w:rsidP="0015502B">
            <w:pPr>
              <w:pStyle w:val="Normalwebb"/>
              <w:spacing w:before="0" w:beforeAutospacing="0" w:after="0" w:afterAutospacing="0"/>
              <w:rPr>
                <w:lang w:val="en-US"/>
              </w:rPr>
            </w:pPr>
            <w:r w:rsidRPr="00226EDB">
              <w:rPr>
                <w:color w:val="000000"/>
                <w:lang w:val="en-US"/>
              </w:rPr>
              <w:lastRenderedPageBreak/>
              <w:t>Category</w:t>
            </w:r>
          </w:p>
        </w:tc>
        <w:tc>
          <w:tcPr>
            <w:tcW w:w="2552" w:type="dxa"/>
            <w:vAlign w:val="center"/>
            <w:hideMark/>
          </w:tcPr>
          <w:p w14:paraId="59BD5DD2" w14:textId="77777777" w:rsidR="00F73B39" w:rsidRPr="00226EDB" w:rsidRDefault="00F73B39" w:rsidP="0015502B">
            <w:pPr>
              <w:pStyle w:val="Normalwebb"/>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bCs w:val="0"/>
                <w:lang w:val="en-US"/>
              </w:rPr>
            </w:pPr>
            <w:r w:rsidRPr="00226EDB">
              <w:rPr>
                <w:color w:val="000000"/>
                <w:lang w:val="en-US"/>
              </w:rPr>
              <w:t>Target skills</w:t>
            </w:r>
          </w:p>
        </w:tc>
        <w:tc>
          <w:tcPr>
            <w:tcW w:w="3685" w:type="dxa"/>
            <w:vAlign w:val="center"/>
            <w:hideMark/>
          </w:tcPr>
          <w:p w14:paraId="50C51821" w14:textId="77777777" w:rsidR="00F73B39" w:rsidRPr="00226EDB" w:rsidRDefault="00F73B39" w:rsidP="0015502B">
            <w:pPr>
              <w:pStyle w:val="Normalweb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226EDB">
              <w:rPr>
                <w:color w:val="000000"/>
                <w:lang w:val="en-US"/>
              </w:rPr>
              <w:t>Examples</w:t>
            </w:r>
          </w:p>
        </w:tc>
        <w:tc>
          <w:tcPr>
            <w:tcW w:w="1132" w:type="dxa"/>
            <w:vAlign w:val="center"/>
            <w:hideMark/>
          </w:tcPr>
          <w:p w14:paraId="343B97D6" w14:textId="77777777" w:rsidR="00F73B39" w:rsidRPr="00226EDB" w:rsidRDefault="00F73B39" w:rsidP="0015502B">
            <w:pPr>
              <w:pStyle w:val="Normalweb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226EDB">
              <w:rPr>
                <w:color w:val="000000"/>
                <w:lang w:val="en-US"/>
              </w:rPr>
              <w:t>Number of items</w:t>
            </w:r>
          </w:p>
        </w:tc>
      </w:tr>
      <w:tr w:rsidR="00F1110B" w:rsidRPr="00226EDB" w14:paraId="684B38D8" w14:textId="77777777" w:rsidTr="00DA4CAC">
        <w:trPr>
          <w:cnfStyle w:val="000000100000" w:firstRow="0" w:lastRow="0" w:firstColumn="0" w:lastColumn="0" w:oddVBand="0" w:evenVBand="0" w:oddHBand="1" w:evenHBand="0" w:firstRowFirstColumn="0" w:firstRowLastColumn="0" w:lastRowFirstColumn="0" w:lastRowLastColumn="0"/>
          <w:trHeight w:val="803"/>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4B7F0322" w14:textId="77777777" w:rsidR="00F73B39" w:rsidRPr="00226EDB" w:rsidRDefault="00F73B39" w:rsidP="0015502B">
            <w:pPr>
              <w:pStyle w:val="Brdtext"/>
              <w:jc w:val="left"/>
              <w:rPr>
                <w:sz w:val="24"/>
                <w:szCs w:val="24"/>
              </w:rPr>
            </w:pPr>
            <w:r w:rsidRPr="00226EDB">
              <w:rPr>
                <w:sz w:val="24"/>
                <w:szCs w:val="24"/>
              </w:rPr>
              <w:t>Structure</w:t>
            </w:r>
          </w:p>
        </w:tc>
        <w:tc>
          <w:tcPr>
            <w:tcW w:w="2552" w:type="dxa"/>
            <w:hideMark/>
          </w:tcPr>
          <w:p w14:paraId="62A814E1" w14:textId="77777777" w:rsidR="00F73B39" w:rsidRPr="00226EDB" w:rsidRDefault="00F73B39" w:rsidP="0015502B">
            <w:pPr>
              <w:pStyle w:val="Brdtext"/>
              <w:jc w:val="left"/>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 xml:space="preserve">General arithmetic facts, such as </w:t>
            </w:r>
            <m:oMath>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m</m:t>
                  </m:r>
                </m:den>
              </m:f>
              <m:r>
                <w:rPr>
                  <w:rFonts w:ascii="Cambria Math" w:hAnsi="Cambria Math"/>
                  <w:sz w:val="24"/>
                  <w:szCs w:val="24"/>
                </w:rPr>
                <m:t>=1</m:t>
              </m:r>
            </m:oMath>
          </w:p>
        </w:tc>
        <w:tc>
          <w:tcPr>
            <w:tcW w:w="3685" w:type="dxa"/>
            <w:hideMark/>
          </w:tcPr>
          <w:p w14:paraId="6535DA4C" w14:textId="36607173" w:rsidR="00F73B39" w:rsidRPr="00226EDB" w:rsidRDefault="00F73B39" w:rsidP="0015502B">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 xml:space="preserve">What should </w:t>
            </w:r>
            <w:r w:rsidR="004674CC" w:rsidRPr="00226EDB">
              <w:rPr>
                <w:sz w:val="24"/>
                <w:szCs w:val="24"/>
              </w:rPr>
              <w:t xml:space="preserve">be </w:t>
            </w:r>
            <w:r w:rsidRPr="00226EDB">
              <w:rPr>
                <w:sz w:val="24"/>
                <w:szCs w:val="24"/>
              </w:rPr>
              <w:t>on the empty line?</w:t>
            </w:r>
          </w:p>
          <w:p w14:paraId="5E04784A" w14:textId="77777777" w:rsidR="00F73B39" w:rsidRPr="00226EDB" w:rsidRDefault="00F73B39" w:rsidP="0015502B">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m:oMathPara>
              <m:oMath>
                <m:r>
                  <w:rPr>
                    <w:rFonts w:ascii="Cambria Math" w:hAnsi="Cambria Math"/>
                    <w:sz w:val="24"/>
                    <w:szCs w:val="24"/>
                  </w:rPr>
                  <m:t>a+b+</m:t>
                </m:r>
                <m:r>
                  <m:rPr>
                    <m:lit/>
                  </m:rPr>
                  <w:rPr>
                    <w:rFonts w:ascii="Cambria Math" w:hAnsi="Cambria Math"/>
                    <w:sz w:val="24"/>
                    <w:szCs w:val="24"/>
                  </w:rPr>
                  <m:t>_</m:t>
                </m:r>
                <m:r>
                  <w:rPr>
                    <w:rFonts w:ascii="Cambria Math" w:hAnsi="Cambria Math"/>
                    <w:sz w:val="24"/>
                    <w:szCs w:val="24"/>
                  </w:rPr>
                  <m:t>=a+c</m:t>
                </m:r>
              </m:oMath>
            </m:oMathPara>
          </w:p>
          <w:p w14:paraId="6C879130" w14:textId="77777777" w:rsidR="00F73B39" w:rsidRPr="00226EDB" w:rsidRDefault="00F73B39" w:rsidP="0015502B">
            <w:pPr>
              <w:pStyle w:val="Brdtext"/>
              <w:cnfStyle w:val="000000100000" w:firstRow="0" w:lastRow="0" w:firstColumn="0" w:lastColumn="0" w:oddVBand="0" w:evenVBand="0" w:oddHBand="1" w:evenHBand="0" w:firstRowFirstColumn="0" w:firstRowLastColumn="0" w:lastRowFirstColumn="0" w:lastRowLastColumn="0"/>
              <w:rPr>
                <w:sz w:val="24"/>
                <w:szCs w:val="24"/>
              </w:rPr>
            </w:pPr>
          </w:p>
        </w:tc>
        <w:tc>
          <w:tcPr>
            <w:tcW w:w="1132" w:type="dxa"/>
            <w:hideMark/>
          </w:tcPr>
          <w:p w14:paraId="27D9C444" w14:textId="2CED2850" w:rsidR="00F73B39" w:rsidRPr="00226EDB" w:rsidRDefault="00F73B39" w:rsidP="0015502B">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15</w:t>
            </w:r>
          </w:p>
        </w:tc>
      </w:tr>
      <w:tr w:rsidR="00F1110B" w:rsidRPr="00226EDB" w14:paraId="7C1112CC" w14:textId="77777777" w:rsidTr="00DA4CAC">
        <w:trPr>
          <w:trHeight w:val="1109"/>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28D0B600" w14:textId="77777777" w:rsidR="00F73B39" w:rsidRPr="00226EDB" w:rsidRDefault="00F73B39" w:rsidP="0015502B">
            <w:pPr>
              <w:pStyle w:val="Brdtext"/>
              <w:jc w:val="left"/>
              <w:rPr>
                <w:sz w:val="24"/>
                <w:szCs w:val="24"/>
              </w:rPr>
            </w:pPr>
            <w:r w:rsidRPr="00226EDB">
              <w:rPr>
                <w:sz w:val="24"/>
                <w:szCs w:val="24"/>
              </w:rPr>
              <w:t>Functional thinking</w:t>
            </w:r>
          </w:p>
        </w:tc>
        <w:tc>
          <w:tcPr>
            <w:tcW w:w="2552" w:type="dxa"/>
            <w:hideMark/>
          </w:tcPr>
          <w:p w14:paraId="69E2D751" w14:textId="77777777" w:rsidR="00F73B39" w:rsidRPr="00226EDB" w:rsidRDefault="00F73B39" w:rsidP="0015502B">
            <w:pPr>
              <w:pStyle w:val="Brdtext"/>
              <w:jc w:val="left"/>
              <w:cnfStyle w:val="000000000000" w:firstRow="0" w:lastRow="0" w:firstColumn="0" w:lastColumn="0" w:oddVBand="0" w:evenVBand="0" w:oddHBand="0" w:evenHBand="0" w:firstRowFirstColumn="0" w:firstRowLastColumn="0" w:lastRowFirstColumn="0" w:lastRowLastColumn="0"/>
              <w:rPr>
                <w:sz w:val="24"/>
                <w:szCs w:val="24"/>
              </w:rPr>
            </w:pPr>
            <w:r w:rsidRPr="00226EDB">
              <w:rPr>
                <w:sz w:val="24"/>
                <w:szCs w:val="24"/>
              </w:rPr>
              <w:t>Using algebra to model worldly situations</w:t>
            </w:r>
          </w:p>
        </w:tc>
        <w:tc>
          <w:tcPr>
            <w:tcW w:w="3685" w:type="dxa"/>
            <w:hideMark/>
          </w:tcPr>
          <w:p w14:paraId="18F1E6AD" w14:textId="1C05F278" w:rsidR="004674CC" w:rsidRPr="00226EDB" w:rsidRDefault="00F73B39" w:rsidP="0015502B">
            <w:pPr>
              <w:pStyle w:val="Brdtext"/>
              <w:jc w:val="center"/>
              <w:cnfStyle w:val="000000000000" w:firstRow="0" w:lastRow="0" w:firstColumn="0" w:lastColumn="0" w:oddVBand="0" w:evenVBand="0" w:oddHBand="0" w:evenHBand="0" w:firstRowFirstColumn="0" w:firstRowLastColumn="0" w:lastRowFirstColumn="0" w:lastRowLastColumn="0"/>
              <w:rPr>
                <w:sz w:val="24"/>
                <w:szCs w:val="24"/>
              </w:rPr>
            </w:pPr>
            <w:r w:rsidRPr="00226EDB">
              <w:rPr>
                <w:sz w:val="24"/>
                <w:szCs w:val="24"/>
              </w:rPr>
              <w:t>The blue flower’s height (B) is </w:t>
            </w:r>
            <m:oMath>
              <m:f>
                <m:fPr>
                  <m:ctrlPr>
                    <w:rPr>
                      <w:rFonts w:ascii="Cambria Math" w:hAnsi="Cambria Math"/>
                      <w:sz w:val="24"/>
                      <w:szCs w:val="24"/>
                    </w:rPr>
                  </m:ctrlPr>
                </m:fPr>
                <m:num>
                  <m:r>
                    <w:rPr>
                      <w:rFonts w:ascii="Cambria Math" w:hAnsi="Cambria Math"/>
                      <w:sz w:val="24"/>
                      <w:szCs w:val="24"/>
                    </w:rPr>
                    <m:t>2</m:t>
                  </m:r>
                </m:num>
                <m:den>
                  <m:r>
                    <w:rPr>
                      <w:rFonts w:ascii="Cambria Math" w:hAnsi="Cambria Math"/>
                      <w:sz w:val="24"/>
                      <w:szCs w:val="24"/>
                    </w:rPr>
                    <m:t>5</m:t>
                  </m:r>
                </m:den>
              </m:f>
            </m:oMath>
            <w:r w:rsidRPr="00226EDB">
              <w:rPr>
                <w:sz w:val="24"/>
                <w:szCs w:val="24"/>
              </w:rPr>
              <w:t> of the red flower’s height (R).</w:t>
            </w:r>
          </w:p>
          <w:p w14:paraId="3E6B3CE8" w14:textId="0F93174F" w:rsidR="00F73B39" w:rsidRPr="00226EDB" w:rsidRDefault="00F73B39" w:rsidP="0015502B">
            <w:pPr>
              <w:pStyle w:val="Brdtext"/>
              <w:jc w:val="center"/>
              <w:cnfStyle w:val="000000000000" w:firstRow="0" w:lastRow="0" w:firstColumn="0" w:lastColumn="0" w:oddVBand="0" w:evenVBand="0" w:oddHBand="0" w:evenHBand="0" w:firstRowFirstColumn="0" w:firstRowLastColumn="0" w:lastRowFirstColumn="0" w:lastRowLastColumn="0"/>
              <w:rPr>
                <w:sz w:val="24"/>
                <w:szCs w:val="24"/>
              </w:rPr>
            </w:pPr>
            <w:r w:rsidRPr="00226EDB">
              <w:rPr>
                <w:sz w:val="24"/>
                <w:szCs w:val="24"/>
              </w:rPr>
              <w:t>Which equality is true?</w:t>
            </w:r>
          </w:p>
        </w:tc>
        <w:tc>
          <w:tcPr>
            <w:tcW w:w="1132" w:type="dxa"/>
            <w:hideMark/>
          </w:tcPr>
          <w:p w14:paraId="330C5B23" w14:textId="77777777" w:rsidR="00F73B39" w:rsidRPr="00226EDB" w:rsidRDefault="00F73B39" w:rsidP="0015502B">
            <w:pPr>
              <w:pStyle w:val="Brdtext"/>
              <w:jc w:val="center"/>
              <w:cnfStyle w:val="000000000000" w:firstRow="0" w:lastRow="0" w:firstColumn="0" w:lastColumn="0" w:oddVBand="0" w:evenVBand="0" w:oddHBand="0" w:evenHBand="0" w:firstRowFirstColumn="0" w:firstRowLastColumn="0" w:lastRowFirstColumn="0" w:lastRowLastColumn="0"/>
              <w:rPr>
                <w:sz w:val="24"/>
                <w:szCs w:val="24"/>
              </w:rPr>
            </w:pPr>
            <w:r w:rsidRPr="00226EDB">
              <w:rPr>
                <w:sz w:val="24"/>
                <w:szCs w:val="24"/>
              </w:rPr>
              <w:t>8</w:t>
            </w:r>
          </w:p>
        </w:tc>
      </w:tr>
      <w:tr w:rsidR="00F1110B" w:rsidRPr="00226EDB" w14:paraId="6F73C695" w14:textId="77777777" w:rsidTr="00DA4CAC">
        <w:trPr>
          <w:cnfStyle w:val="000000100000" w:firstRow="0" w:lastRow="0" w:firstColumn="0" w:lastColumn="0" w:oddVBand="0" w:evenVBand="0" w:oddHBand="1"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60B0815" w14:textId="77777777" w:rsidR="00F73B39" w:rsidRPr="00226EDB" w:rsidRDefault="00F73B39" w:rsidP="0015502B">
            <w:pPr>
              <w:pStyle w:val="Brdtext"/>
              <w:jc w:val="left"/>
              <w:rPr>
                <w:sz w:val="24"/>
                <w:szCs w:val="24"/>
              </w:rPr>
            </w:pPr>
            <w:r w:rsidRPr="00226EDB">
              <w:rPr>
                <w:sz w:val="24"/>
                <w:szCs w:val="24"/>
              </w:rPr>
              <w:t>Non-numeric symbols</w:t>
            </w:r>
          </w:p>
        </w:tc>
        <w:tc>
          <w:tcPr>
            <w:tcW w:w="2552" w:type="dxa"/>
            <w:hideMark/>
          </w:tcPr>
          <w:p w14:paraId="6041DDBA" w14:textId="21304F3E" w:rsidR="00F73B39" w:rsidRPr="00226EDB" w:rsidRDefault="00F73B39" w:rsidP="0015502B">
            <w:pPr>
              <w:pStyle w:val="Brdtext"/>
              <w:jc w:val="left"/>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Operations on variables</w:t>
            </w:r>
          </w:p>
        </w:tc>
        <w:tc>
          <w:tcPr>
            <w:tcW w:w="3685" w:type="dxa"/>
            <w:hideMark/>
          </w:tcPr>
          <w:p w14:paraId="59E40914" w14:textId="77777777" w:rsidR="00F73B39" w:rsidRPr="00226EDB" w:rsidRDefault="00F73B39" w:rsidP="0015502B">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w:r w:rsidRPr="00226EDB">
              <w:rPr>
                <w:color w:val="33334D"/>
                <w:sz w:val="24"/>
                <w:szCs w:val="24"/>
              </w:rPr>
              <w:t xml:space="preserve">Solve the equation </w:t>
            </w:r>
            <w:r w:rsidRPr="00226EDB">
              <w:rPr>
                <w:color w:val="33334D"/>
                <w:sz w:val="24"/>
                <w:szCs w:val="24"/>
              </w:rPr>
              <w:br/>
            </w:r>
            <m:oMathPara>
              <m:oMath>
                <m:r>
                  <w:rPr>
                    <w:rFonts w:ascii="Cambria Math" w:hAnsi="Cambria Math"/>
                    <w:color w:val="33334D"/>
                    <w:sz w:val="24"/>
                    <w:szCs w:val="24"/>
                  </w:rPr>
                  <m:t>x-1=3x+5-8x</m:t>
                </m:r>
              </m:oMath>
            </m:oMathPara>
          </w:p>
        </w:tc>
        <w:tc>
          <w:tcPr>
            <w:tcW w:w="1132" w:type="dxa"/>
            <w:hideMark/>
          </w:tcPr>
          <w:p w14:paraId="1C3D1C4F" w14:textId="77777777" w:rsidR="00F73B39" w:rsidRPr="00226EDB" w:rsidRDefault="00F73B39" w:rsidP="0015502B">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11</w:t>
            </w:r>
          </w:p>
        </w:tc>
      </w:tr>
    </w:tbl>
    <w:p w14:paraId="3F28E9C0" w14:textId="0E65F3AE" w:rsidR="0015502B" w:rsidRPr="00226EDB" w:rsidRDefault="0015502B" w:rsidP="0015502B">
      <w:pPr>
        <w:pStyle w:val="Headtable"/>
      </w:pPr>
      <w:r w:rsidRPr="00226EDB">
        <w:t xml:space="preserve">Table 1. Test Blueprint. </w:t>
      </w:r>
    </w:p>
    <w:p w14:paraId="21D1F0B3" w14:textId="1013EB44" w:rsidR="0063364B" w:rsidRPr="00226EDB" w:rsidRDefault="004459A0" w:rsidP="0015502B">
      <w:pPr>
        <w:ind w:firstLine="0"/>
      </w:pPr>
      <w:r w:rsidRPr="00226EDB">
        <w:t>The test contains</w:t>
      </w:r>
      <w:r w:rsidR="00B61E84" w:rsidRPr="00226EDB">
        <w:t xml:space="preserve"> groups of </w:t>
      </w:r>
      <w:r w:rsidRPr="00226EDB">
        <w:t>items</w:t>
      </w:r>
      <w:r w:rsidR="00B61E84" w:rsidRPr="00226EDB">
        <w:t xml:space="preserve"> </w:t>
      </w:r>
      <w:r w:rsidR="00FB24AB" w:rsidRPr="00226EDB">
        <w:t>within which items</w:t>
      </w:r>
      <w:r w:rsidR="00B61E84" w:rsidRPr="00226EDB">
        <w:t xml:space="preserve"> will likely appear quite different</w:t>
      </w:r>
      <w:r w:rsidR="00DC663A" w:rsidRPr="00226EDB">
        <w:t xml:space="preserve">ly difficult </w:t>
      </w:r>
      <w:r w:rsidR="00B61E84" w:rsidRPr="00226EDB">
        <w:t xml:space="preserve">to typical students. According to the design hypothesis of Algebra Monday, students who have experienced teaching focused on structural relationships should instead see many of these items as variants of the same task, in the sense that a unified principle can be used to deal with them. For example, we strongly advocate that operations often described as simplifying or expanding fractions should be understood via the neutral element in multiplication, in the form of </w:t>
      </w:r>
      <m:oMath>
        <m:r>
          <w:rPr>
            <w:rFonts w:ascii="Cambria Math" w:hAnsi="Cambria Math"/>
          </w:rPr>
          <m:t>m</m:t>
        </m:r>
        <m:r>
          <m:rPr>
            <m:sty m:val="p"/>
          </m:rPr>
          <w:rPr>
            <w:rFonts w:ascii="Cambria Math" w:hAnsi="Cambria Math"/>
          </w:rPr>
          <m:t>/</m:t>
        </m:r>
        <m:r>
          <w:rPr>
            <w:rFonts w:ascii="Cambria Math" w:hAnsi="Cambria Math"/>
          </w:rPr>
          <m:t>m=1</m:t>
        </m:r>
      </m:oMath>
      <w:r w:rsidR="00B61E84" w:rsidRPr="00226EDB">
        <w:t xml:space="preserve">: simplifying is always done by factorising, identifying a common factor </w:t>
      </w:r>
      <m:oMath>
        <m:r>
          <w:rPr>
            <w:rFonts w:ascii="Cambria Math" w:hAnsi="Cambria Math"/>
          </w:rPr>
          <m:t>m</m:t>
        </m:r>
      </m:oMath>
      <w:r w:rsidR="0003134B" w:rsidRPr="00226EDB">
        <w:t xml:space="preserve"> </w:t>
      </w:r>
      <w:r w:rsidR="00B61E84" w:rsidRPr="00226EDB">
        <w:t xml:space="preserve">in numerator and denominator, and then removing </w:t>
      </w:r>
      <m:oMath>
        <m:r>
          <w:rPr>
            <w:rFonts w:ascii="Cambria Math" w:hAnsi="Cambria Math"/>
          </w:rPr>
          <m:t>1=m</m:t>
        </m:r>
        <m:r>
          <m:rPr>
            <m:sty m:val="p"/>
          </m:rPr>
          <w:rPr>
            <w:rFonts w:ascii="Cambria Math" w:hAnsi="Cambria Math"/>
          </w:rPr>
          <m:t>/</m:t>
        </m:r>
        <m:r>
          <w:rPr>
            <w:rFonts w:ascii="Cambria Math" w:hAnsi="Cambria Math"/>
          </w:rPr>
          <m:t>m</m:t>
        </m:r>
      </m:oMath>
      <w:r w:rsidR="00B61E84" w:rsidRPr="00226EDB">
        <w:t xml:space="preserve">. </w:t>
      </w:r>
      <w:r w:rsidR="00226EDB" w:rsidRPr="00226EDB">
        <w:t>So,</w:t>
      </w:r>
      <w:r w:rsidR="00E230A2" w:rsidRPr="00226EDB">
        <w:t xml:space="preserve"> t</w:t>
      </w:r>
      <w:r w:rsidR="00B61E84" w:rsidRPr="00226EDB">
        <w:t xml:space="preserve">he tasks in Figure 1 should differ markedly in difficulty for standard </w:t>
      </w:r>
      <w:r w:rsidR="00226EDB" w:rsidRPr="00226EDB">
        <w:t>students but</w:t>
      </w:r>
      <w:r w:rsidR="00B61E84" w:rsidRPr="00226EDB">
        <w:t xml:space="preserve"> be more similar in difficulty for Algebra Monday students</w:t>
      </w:r>
      <w:r w:rsidR="00385C43">
        <w:t xml:space="preserve">, according to the hypotheses behind the Algebra Monday intervention. </w:t>
      </w:r>
    </w:p>
    <w:p w14:paraId="7EB661C3" w14:textId="36EC3359" w:rsidR="00304D05" w:rsidRPr="00226EDB" w:rsidRDefault="608EB064" w:rsidP="3A805014">
      <w:pPr>
        <w:pStyle w:val="Normalwebb"/>
        <w:spacing w:before="0" w:beforeAutospacing="0" w:after="0" w:afterAutospacing="0"/>
        <w:jc w:val="center"/>
        <w:rPr>
          <w:lang w:val="en-US"/>
        </w:rPr>
      </w:pPr>
      <w:r w:rsidRPr="00226EDB">
        <w:rPr>
          <w:noProof/>
          <w:lang w:val="en-US"/>
        </w:rPr>
        <w:drawing>
          <wp:inline distT="0" distB="0" distL="0" distR="0" wp14:anchorId="649353DE" wp14:editId="18033C12">
            <wp:extent cx="5762625" cy="3067050"/>
            <wp:effectExtent l="0" t="0" r="0" b="0"/>
            <wp:docPr id="8989038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03861" name="Picture 898903861"/>
                    <pic:cNvPicPr/>
                  </pic:nvPicPr>
                  <pic:blipFill>
                    <a:blip r:embed="rId11">
                      <a:extLst>
                        <a:ext uri="{28A0092B-C50C-407E-A947-70E740481C1C}">
                          <a14:useLocalDpi xmlns:a14="http://schemas.microsoft.com/office/drawing/2010/main"/>
                        </a:ext>
                      </a:extLst>
                    </a:blip>
                    <a:stretch>
                      <a:fillRect/>
                    </a:stretch>
                  </pic:blipFill>
                  <pic:spPr>
                    <a:xfrm>
                      <a:off x="0" y="0"/>
                      <a:ext cx="5762625" cy="3067050"/>
                    </a:xfrm>
                    <a:prstGeom prst="rect">
                      <a:avLst/>
                    </a:prstGeom>
                  </pic:spPr>
                </pic:pic>
              </a:graphicData>
            </a:graphic>
          </wp:inline>
        </w:drawing>
      </w:r>
    </w:p>
    <w:p w14:paraId="35D167E2" w14:textId="4246A584" w:rsidR="00304D05" w:rsidRPr="00226EDB" w:rsidRDefault="00304D05" w:rsidP="00B25D0C">
      <w:pPr>
        <w:pStyle w:val="Headtable"/>
      </w:pPr>
      <w:r w:rsidRPr="00226EDB">
        <w:t xml:space="preserve">Figure 1. Five items that can be solved by repeated usage of </w:t>
      </w:r>
      <m:oMath>
        <m:r>
          <w:rPr>
            <w:rFonts w:ascii="Cambria Math" w:hAnsi="Cambria Math"/>
          </w:rPr>
          <m:t>m</m:t>
        </m:r>
        <m:r>
          <m:rPr>
            <m:lit/>
          </m:rPr>
          <w:rPr>
            <w:rFonts w:ascii="Cambria Math" w:hAnsi="Cambria Math"/>
          </w:rPr>
          <m:t>/</m:t>
        </m:r>
        <m:r>
          <w:rPr>
            <w:rFonts w:ascii="Cambria Math" w:hAnsi="Cambria Math"/>
          </w:rPr>
          <m:t>m=1</m:t>
        </m:r>
      </m:oMath>
      <w:r w:rsidRPr="00226EDB">
        <w:t xml:space="preserve"> and one (</w:t>
      </w:r>
      <w:r w:rsidR="00CE4799" w:rsidRPr="00226EDB">
        <w:t>Q</w:t>
      </w:r>
      <w:r w:rsidRPr="00226EDB">
        <w:t xml:space="preserve">31) designed to capture erroneous usage of </w:t>
      </w:r>
      <m:oMath>
        <m:r>
          <w:rPr>
            <w:rFonts w:ascii="Cambria Math" w:hAnsi="Cambria Math"/>
          </w:rPr>
          <m:t>m</m:t>
        </m:r>
        <m:r>
          <m:rPr>
            <m:lit/>
          </m:rPr>
          <w:rPr>
            <w:rFonts w:ascii="Cambria Math" w:hAnsi="Cambria Math"/>
          </w:rPr>
          <m:t>/</m:t>
        </m:r>
        <m:r>
          <w:rPr>
            <w:rFonts w:ascii="Cambria Math" w:hAnsi="Cambria Math"/>
          </w:rPr>
          <m:t>m=1</m:t>
        </m:r>
      </m:oMath>
      <w:r w:rsidRPr="00226EDB">
        <w:t>.</w:t>
      </w:r>
      <w:r w:rsidR="00076041" w:rsidRPr="00226EDB">
        <w:t xml:space="preserve"> </w:t>
      </w:r>
      <w:r w:rsidRPr="00226EDB">
        <w:t xml:space="preserve">Items here are presented in a </w:t>
      </w:r>
      <w:r w:rsidR="00980F3C" w:rsidRPr="00226EDB">
        <w:t>compact</w:t>
      </w:r>
      <w:r w:rsidRPr="00226EDB">
        <w:t xml:space="preserve"> form, </w:t>
      </w:r>
      <w:r w:rsidR="00AC62F7" w:rsidRPr="00226EDB">
        <w:t xml:space="preserve">slightly </w:t>
      </w:r>
      <w:r w:rsidRPr="00226EDB">
        <w:t>different from the actual test</w:t>
      </w:r>
      <w:r w:rsidR="00007F3E" w:rsidRPr="00226EDB">
        <w:t xml:space="preserve"> layout</w:t>
      </w:r>
      <w:r w:rsidRPr="00226EDB">
        <w:t>.</w:t>
      </w:r>
    </w:p>
    <w:p w14:paraId="65B80855" w14:textId="0BB1010A" w:rsidR="00B51636" w:rsidRPr="00226EDB" w:rsidRDefault="00B51636" w:rsidP="00B51636">
      <w:pPr>
        <w:pStyle w:val="Rubrik2"/>
      </w:pPr>
      <w:r w:rsidRPr="00226EDB">
        <w:rPr>
          <w:color w:val="000000"/>
          <w:szCs w:val="28"/>
        </w:rPr>
        <w:lastRenderedPageBreak/>
        <w:t>Validation</w:t>
      </w:r>
    </w:p>
    <w:p w14:paraId="30FF6C58" w14:textId="43C900D4" w:rsidR="00AB3DAE" w:rsidRPr="00226EDB" w:rsidRDefault="00B51636" w:rsidP="00B51636">
      <w:pPr>
        <w:pStyle w:val="Brdtext"/>
      </w:pPr>
      <w:r w:rsidRPr="00226EDB">
        <w:t xml:space="preserve">We approach validation </w:t>
      </w:r>
      <w:r w:rsidR="00205724" w:rsidRPr="00226EDB">
        <w:t xml:space="preserve">loosely </w:t>
      </w:r>
      <w:r w:rsidRPr="00226EDB">
        <w:t xml:space="preserve">based on Kane’s (2013) </w:t>
      </w:r>
      <w:r w:rsidRPr="00226EDB">
        <w:rPr>
          <w:i/>
          <w:iCs/>
        </w:rPr>
        <w:t>Interpretation/Use</w:t>
      </w:r>
      <w:r w:rsidR="00205724" w:rsidRPr="00226EDB">
        <w:rPr>
          <w:i/>
          <w:iCs/>
        </w:rPr>
        <w:t xml:space="preserve"> </w:t>
      </w:r>
      <w:r w:rsidRPr="00226EDB">
        <w:rPr>
          <w:i/>
          <w:iCs/>
        </w:rPr>
        <w:t xml:space="preserve">Argument </w:t>
      </w:r>
      <w:r w:rsidRPr="00226EDB">
        <w:t>(IUA) framework, which posits that validity is a property of</w:t>
      </w:r>
      <w:r w:rsidR="00510D3E" w:rsidRPr="00226EDB">
        <w:t xml:space="preserve"> an argument concerning</w:t>
      </w:r>
      <w:r w:rsidRPr="00226EDB">
        <w:t xml:space="preserve"> the interpretation and use of test</w:t>
      </w:r>
      <w:r w:rsidR="00CC5F17" w:rsidRPr="00226EDB">
        <w:t xml:space="preserve"> scores</w:t>
      </w:r>
      <w:r w:rsidRPr="00226EDB">
        <w:t xml:space="preserve">, and that validation is the </w:t>
      </w:r>
      <w:r w:rsidR="00226EDB" w:rsidRPr="00226EDB">
        <w:t>scrutiny</w:t>
      </w:r>
      <w:r w:rsidRPr="00226EDB">
        <w:t xml:space="preserve"> of this argument. </w:t>
      </w:r>
      <w:r w:rsidR="00AB3DAE" w:rsidRPr="00226EDB">
        <w:t>Such an</w:t>
      </w:r>
      <w:r w:rsidRPr="00226EDB">
        <w:t xml:space="preserve"> argument will use evidence that is pertinent to the </w:t>
      </w:r>
      <w:r w:rsidR="00AB3DAE" w:rsidRPr="00226EDB">
        <w:t>specific</w:t>
      </w:r>
      <w:r w:rsidRPr="00226EDB">
        <w:t xml:space="preserve"> interpretation and use of the test scores</w:t>
      </w:r>
      <w:r w:rsidR="00AB3DAE" w:rsidRPr="00226EDB">
        <w:t xml:space="preserve"> </w:t>
      </w:r>
      <w:r w:rsidR="007F01DC" w:rsidRPr="00226EDB">
        <w:t>sought in each specific case</w:t>
      </w:r>
      <w:r w:rsidR="00072960" w:rsidRPr="00226EDB">
        <w:t>.</w:t>
      </w:r>
      <w:r w:rsidR="00AB3DAE" w:rsidRPr="00226EDB">
        <w:t xml:space="preserve"> </w:t>
      </w:r>
    </w:p>
    <w:p w14:paraId="6732C63C" w14:textId="6DE69755" w:rsidR="00B51636" w:rsidRPr="00226EDB" w:rsidRDefault="00B51636" w:rsidP="00AB3DAE">
      <w:pPr>
        <w:pStyle w:val="Brdtext"/>
        <w:ind w:firstLine="425"/>
      </w:pPr>
      <w:r w:rsidRPr="00226EDB">
        <w:t xml:space="preserve">Our test is intended to be used for evaluating the effectiveness of Algebra Monday in improving students’ algebra knowledge. The proposed interpretation of test scores is that they reflect relevant algebra knowledge. </w:t>
      </w:r>
      <w:r w:rsidR="00366FD2" w:rsidRPr="00226EDB">
        <w:t>Validation</w:t>
      </w:r>
      <w:r w:rsidRPr="00226EDB">
        <w:t xml:space="preserve"> </w:t>
      </w:r>
      <w:r w:rsidR="00D542DA" w:rsidRPr="00226EDB">
        <w:t>therefore</w:t>
      </w:r>
      <w:r w:rsidRPr="00226EDB">
        <w:t xml:space="preserve"> required evidence of the spread of item difficulty, sufficient item discrimination power, reliability, and potential presence of construct-irrelevant factors in the test administration</w:t>
      </w:r>
      <w:r w:rsidR="00D542DA" w:rsidRPr="00226EDB">
        <w:t>.</w:t>
      </w:r>
      <w:r w:rsidR="00A0473F" w:rsidRPr="00226EDB">
        <w:t xml:space="preserve"> Additional </w:t>
      </w:r>
      <w:r w:rsidR="00C22439" w:rsidRPr="00226EDB">
        <w:t>information</w:t>
      </w:r>
      <w:r w:rsidR="00D51CEA" w:rsidRPr="00226EDB">
        <w:t xml:space="preserve"> is included in Supplementary materials. </w:t>
      </w:r>
    </w:p>
    <w:p w14:paraId="21EBD287" w14:textId="117E88F3" w:rsidR="00B51636" w:rsidRPr="00226EDB" w:rsidRDefault="00D542DA" w:rsidP="00B51636">
      <w:r w:rsidRPr="00226EDB">
        <w:t>First,</w:t>
      </w:r>
      <w:r w:rsidR="00B51636" w:rsidRPr="00226EDB">
        <w:t xml:space="preserve"> we needed to decide what to do about anomalous and missing data. We tested 471 students (May–June 2025). We excluded anomalies: 7 students spent &lt;5 minutes (which we interpreted as not a serious attempt), and 79 had recorded times &gt;60 minutes despite the 60-minute limit (sessions where students continued the test </w:t>
      </w:r>
      <w:proofErr w:type="gramStart"/>
      <w:r w:rsidR="00B51636" w:rsidRPr="00226EDB">
        <w:t>at a later date</w:t>
      </w:r>
      <w:proofErr w:type="gramEnd"/>
      <w:r w:rsidR="00B51636" w:rsidRPr="00226EDB">
        <w:t xml:space="preserve">, which allows for discussing items between </w:t>
      </w:r>
      <w:r w:rsidR="00226EDB" w:rsidRPr="00226EDB">
        <w:t>testing sessions</w:t>
      </w:r>
      <w:r w:rsidR="00B51636" w:rsidRPr="00226EDB">
        <w:t xml:space="preserve"> and other algebra-irrelevant variables). For the remaining data, non-responses were scored 0. Because nearly all students finished within 50 of the 60 allotted minutes, even blanks at the end of the test are better interpreted as uncertainty than as a sign of time expiry. While we expected students to choose “I don’t know” for any question they did not have an answer for, many students left at least one missing answer. A possible explanation is that students may have skipped a question, intending to return or preferring not to choose "I don't know" simply because of the mouse </w:t>
      </w:r>
      <w:r w:rsidR="00226EDB" w:rsidRPr="00226EDB">
        <w:t>maneuvering</w:t>
      </w:r>
      <w:r w:rsidR="00B51636" w:rsidRPr="00226EDB">
        <w:t xml:space="preserve"> required. We therefore code missing answers as incorrect and note this as a minor limitation to monitor in the future.</w:t>
      </w:r>
    </w:p>
    <w:p w14:paraId="6EF839A4" w14:textId="365D781B" w:rsidR="00B51636" w:rsidRPr="00226EDB" w:rsidRDefault="00B51636" w:rsidP="00B51636">
      <w:r w:rsidRPr="00226EDB">
        <w:rPr>
          <w:b/>
          <w:bCs/>
        </w:rPr>
        <w:t>Spread of difficulty and discrimination.</w:t>
      </w:r>
      <w:r w:rsidRPr="00226EDB">
        <w:t xml:space="preserve"> </w:t>
      </w:r>
      <w:r w:rsidR="00226EDB" w:rsidRPr="00226EDB">
        <w:t>For</w:t>
      </w:r>
      <w:r w:rsidRPr="00226EDB">
        <w:t xml:space="preserve"> our test to capture a suitable range of student algebra ability, items should have a spread of difficulty which reflects the range of algebra knowledge of the students the test will be used with. Additionally, correct answers should be contingent on algebra ability, meaning that the items should have sufficient discriminating potential.</w:t>
      </w:r>
      <w:r w:rsidR="00B74204" w:rsidRPr="00226EDB">
        <w:t xml:space="preserve"> We also wanted to later be able to examine the relative difficulty of the various items for standard students compared to Algebra Monday students, </w:t>
      </w:r>
      <w:r w:rsidR="003367CD" w:rsidRPr="00226EDB">
        <w:t xml:space="preserve">investigating the hypothesis that some item difficulties </w:t>
      </w:r>
      <w:r w:rsidR="00EB6E0E" w:rsidRPr="00226EDB">
        <w:t>would change substantially when students have been instructed in</w:t>
      </w:r>
      <w:r w:rsidR="002A1AE1" w:rsidRPr="00226EDB">
        <w:t xml:space="preserve"> algebraic structures.</w:t>
      </w:r>
      <w:r w:rsidRPr="00226EDB">
        <w:t xml:space="preserve"> We therefore chose an item response theory (IRT) approach using the two-parameter logistic (2-PL) model, which estimates both item difficulty (</w:t>
      </w:r>
      <w:r w:rsidRPr="00226EDB">
        <w:rPr>
          <w:i/>
          <w:iCs/>
        </w:rPr>
        <w:t>β</w:t>
      </w:r>
      <w:r w:rsidRPr="00226EDB">
        <w:t>) (i.e., at what ability a student has a .5 probability of answering the item correctly) and item discrimination (</w:t>
      </w:r>
      <w:r w:rsidRPr="00226EDB">
        <w:rPr>
          <w:i/>
          <w:iCs/>
        </w:rPr>
        <w:t>α</w:t>
      </w:r>
      <w:r w:rsidRPr="00226EDB">
        <w:t xml:space="preserve">) (i.e., how well the item score distinguishes between students with lower and higher abilities). A 3-PL model which takes guessing into account was not appropriate because we had the “I don’t know option”, which changes the effect of guessing. </w:t>
      </w:r>
    </w:p>
    <w:p w14:paraId="3393D2E1" w14:textId="0644A220" w:rsidR="004920D9" w:rsidRPr="00226EDB" w:rsidRDefault="002A1AE1" w:rsidP="00B51636">
      <w:r w:rsidRPr="00226EDB">
        <w:t>To</w:t>
      </w:r>
      <w:r w:rsidR="00B51636" w:rsidRPr="00226EDB">
        <w:t xml:space="preserve"> choose which 2-PL IRT model to fit, we needed </w:t>
      </w:r>
      <w:r w:rsidRPr="00226EDB">
        <w:t xml:space="preserve">first </w:t>
      </w:r>
      <w:r w:rsidR="00B51636" w:rsidRPr="00226EDB">
        <w:t xml:space="preserve">to decide on the dimensionality of the data. While the test design included multiple categories of questions, these were meant to reflect teaching foci rather than ability subdomains. We </w:t>
      </w:r>
      <w:r w:rsidR="00B51636" w:rsidRPr="00226EDB">
        <w:lastRenderedPageBreak/>
        <w:t xml:space="preserve">therefore have no theoretical grounding either way for a uni- or multi-dimensional structure. We opted first to try a unidimensional model because of parsimony and ease of interpretation of the IRT statistics. We fit a one-factor Confirmatory Factor Analysis </w:t>
      </w:r>
      <w:r w:rsidR="006B349F" w:rsidRPr="00226EDB">
        <w:t>(CFA)</w:t>
      </w:r>
      <w:r w:rsidR="00B51636" w:rsidRPr="00226EDB">
        <w:t xml:space="preserve"> using Weighted Least Squares Mean and Variance adjusted (WLSMV</w:t>
      </w:r>
      <w:r w:rsidR="004920D9" w:rsidRPr="00226EDB">
        <w:t>).</w:t>
      </w:r>
    </w:p>
    <w:p w14:paraId="43C8360C" w14:textId="65B09381" w:rsidR="00B51636" w:rsidRPr="00226EDB" w:rsidRDefault="00B51636" w:rsidP="00B51636">
      <w:r w:rsidRPr="00226EDB">
        <w:t xml:space="preserve">Given the near-identical content and format of Q04 and Q05, and </w:t>
      </w:r>
      <w:r w:rsidR="00167F4A" w:rsidRPr="00226EDB">
        <w:t xml:space="preserve">a </w:t>
      </w:r>
      <w:r w:rsidRPr="00226EDB">
        <w:t>high tetrachoric correlation between them (r ≈ .900), we included a residual covariance between these two items in our model. The one-factor model showed a good fit and provided support for a one-dimensional model: scaled Comparative Fit Index (CFI) = .962 scaled Tucker-Lewis Index (TLI) = .959; Root Mean Square Error of Approximation (RMSEA) =.017 90% CI [0, .025]; Weighted Root Mean Square Residual =.983.</w:t>
      </w:r>
    </w:p>
    <w:p w14:paraId="72CE52BB" w14:textId="4217BBEA" w:rsidR="00B51636" w:rsidRPr="00226EDB" w:rsidRDefault="00AB3DAE" w:rsidP="00B51636">
      <w:r w:rsidRPr="00226EDB">
        <w:t>Based on the solid fit of the one-factor CFA, we then fit</w:t>
      </w:r>
      <w:r w:rsidR="00B51636" w:rsidRPr="00226EDB">
        <w:t xml:space="preserve"> </w:t>
      </w:r>
      <w:r w:rsidR="00F26E9C" w:rsidRPr="00226EDB">
        <w:t xml:space="preserve">a </w:t>
      </w:r>
      <w:r w:rsidR="00B51636" w:rsidRPr="00226EDB">
        <w:t xml:space="preserve">unidimensional 2-PL IRT </w:t>
      </w:r>
      <w:r w:rsidR="00F26E9C" w:rsidRPr="00226EDB">
        <w:t>model. The evaluation of this model likewise fit well: the</w:t>
      </w:r>
      <w:r w:rsidR="00B51636" w:rsidRPr="00226EDB">
        <w:t xml:space="preserve"> </w:t>
      </w:r>
      <w:r w:rsidR="00401A36" w:rsidRPr="00226EDB">
        <w:t xml:space="preserve">average </w:t>
      </w:r>
      <w:r w:rsidR="00B51636" w:rsidRPr="00226EDB">
        <w:t xml:space="preserve">correlation between residuals (denoted Q3, not to be confused with question Q03) was –.02, 99.5% of pairs |Q3| ≤ .20). Two </w:t>
      </w:r>
      <w:r w:rsidR="001D1C9F" w:rsidRPr="00226EDB">
        <w:t>pairs of items</w:t>
      </w:r>
      <w:r w:rsidR="00B51636" w:rsidRPr="00226EDB">
        <w:t xml:space="preserve"> (Q04 and Q05, Q11 and Q17) showed notable local dependence (Q3 &gt; .20) and may be revised in future forms of the test. </w:t>
      </w:r>
    </w:p>
    <w:p w14:paraId="7048D11B" w14:textId="37BE00D7" w:rsidR="00B51636" w:rsidRPr="00226EDB" w:rsidRDefault="00B51636" w:rsidP="00B51636">
      <w:pPr>
        <w:pStyle w:val="Brdtext"/>
        <w:ind w:firstLine="425"/>
      </w:pPr>
      <w:r w:rsidRPr="00226EDB">
        <w:t>Discrimination parameters ranged from .</w:t>
      </w:r>
      <w:r w:rsidR="00DE03D6" w:rsidRPr="00226EDB">
        <w:t xml:space="preserve">192 </w:t>
      </w:r>
      <w:r w:rsidRPr="00226EDB">
        <w:t>to 1.8</w:t>
      </w:r>
      <w:r w:rsidR="009F3A1B" w:rsidRPr="00226EDB">
        <w:t>2</w:t>
      </w:r>
      <w:r w:rsidRPr="00226EDB">
        <w:t xml:space="preserve">, with </w:t>
      </w:r>
      <w:r w:rsidR="001D1C9F" w:rsidRPr="00226EDB">
        <w:t xml:space="preserve">24 </w:t>
      </w:r>
      <w:r w:rsidRPr="00226EDB">
        <w:t>of 34 items having discrimination above 0.</w:t>
      </w:r>
      <w:r w:rsidR="001D1C9F" w:rsidRPr="00226EDB">
        <w:t>64</w:t>
      </w:r>
      <w:r w:rsidRPr="00226EDB">
        <w:t xml:space="preserve">, which is considered moderate </w:t>
      </w:r>
      <w:r w:rsidRPr="00226EDB">
        <w:rPr>
          <w:szCs w:val="26"/>
        </w:rPr>
        <w:t>(Baker, 2001)</w:t>
      </w:r>
      <w:r w:rsidRPr="00226EDB">
        <w:t>, and difficulties ranging from -1.54 to 3.56 logits, with a 6.51 logit outlier (Q27, see Figure 1). Most items thus successfully distinguish between students with lower versus higher abilities.</w:t>
      </w:r>
    </w:p>
    <w:p w14:paraId="348AFEB5" w14:textId="3AF96102" w:rsidR="00B51636" w:rsidRPr="00226EDB" w:rsidRDefault="002E1591" w:rsidP="00B51636">
      <w:r w:rsidRPr="00226EDB">
        <w:t>As the average</w:t>
      </w:r>
      <w:r w:rsidR="00B51636" w:rsidRPr="00226EDB">
        <w:t xml:space="preserve"> difficulty of the items, we used the weighted mean of difficulties (</w:t>
      </w:r>
      <w:r w:rsidR="00B51636" w:rsidRPr="00226EDB">
        <w:rPr>
          <w:rFonts w:ascii="Cambria Math" w:hAnsi="Cambria Math" w:cs="Cambria Math"/>
        </w:rPr>
        <w:t>𝛽</w:t>
      </w:r>
      <w:r w:rsidR="00B51636" w:rsidRPr="00226EDB">
        <w:t xml:space="preserve">-values), </w:t>
      </w:r>
      <w:r w:rsidR="00A61270" w:rsidRPr="00226EDB">
        <w:t xml:space="preserve">multiplying </w:t>
      </w:r>
      <w:r w:rsidR="00B51636" w:rsidRPr="00226EDB">
        <w:t xml:space="preserve">each item’s </w:t>
      </w:r>
      <w:r w:rsidR="00B51636" w:rsidRPr="00226EDB">
        <w:rPr>
          <w:rFonts w:ascii="Cambria Math" w:hAnsi="Cambria Math" w:cs="Cambria Math"/>
        </w:rPr>
        <w:t>𝛽</w:t>
      </w:r>
      <w:r w:rsidR="00B51636" w:rsidRPr="00226EDB">
        <w:t xml:space="preserve">-value by the discrimination </w:t>
      </w:r>
      <w:r w:rsidR="00090166" w:rsidRPr="00226EDB">
        <w:rPr>
          <w:i/>
          <w:iCs/>
        </w:rPr>
        <w:t>α</w:t>
      </w:r>
      <w:r w:rsidR="00CC372C" w:rsidRPr="00226EDB">
        <w:t>-value</w:t>
      </w:r>
      <w:r w:rsidR="00090166" w:rsidRPr="00226EDB">
        <w:t xml:space="preserve"> </w:t>
      </w:r>
      <w:r w:rsidR="00B51636" w:rsidRPr="00226EDB">
        <w:t xml:space="preserve">of each item, so that the items that discriminated best were given higher relative importance in the calculation. The weighted mean of </w:t>
      </w:r>
      <w:r w:rsidR="00B51636" w:rsidRPr="00226EDB">
        <w:rPr>
          <w:rFonts w:ascii="Cambria Math" w:hAnsi="Cambria Math" w:cs="Cambria Math"/>
        </w:rPr>
        <w:t>𝛽</w:t>
      </w:r>
      <w:r w:rsidR="00B51636" w:rsidRPr="00226EDB">
        <w:t>-values was .</w:t>
      </w:r>
      <w:r w:rsidR="00E82140" w:rsidRPr="00226EDB">
        <w:t>580</w:t>
      </w:r>
      <w:r w:rsidR="006B2EE5" w:rsidRPr="00226EDB">
        <w:t xml:space="preserve">, </w:t>
      </w:r>
      <w:r w:rsidR="007359CF" w:rsidRPr="00226EDB">
        <w:t>meaning that</w:t>
      </w:r>
      <w:r w:rsidR="00B51636" w:rsidRPr="00226EDB">
        <w:t xml:space="preserve"> the test was towards the difficult side for this sample of students. The spread of item difficulties in comparison with the students’ abilities is shown in Figure 2. </w:t>
      </w:r>
    </w:p>
    <w:p w14:paraId="535A3002" w14:textId="77777777" w:rsidR="00B51636" w:rsidRPr="00226EDB" w:rsidRDefault="00B51636" w:rsidP="00B51636">
      <w:pPr>
        <w:pStyle w:val="Rubrik3"/>
        <w:jc w:val="center"/>
      </w:pPr>
      <w:r w:rsidRPr="00226EDB">
        <w:rPr>
          <w:noProof/>
          <w:color w:val="000000"/>
          <w:szCs w:val="26"/>
          <w:bdr w:val="none" w:sz="0" w:space="0" w:color="auto" w:frame="1"/>
        </w:rPr>
        <w:drawing>
          <wp:inline distT="0" distB="0" distL="0" distR="0" wp14:anchorId="7AB64262" wp14:editId="31382894">
            <wp:extent cx="5397987" cy="2955340"/>
            <wp:effectExtent l="0" t="0" r="0" b="0"/>
            <wp:docPr id="1963306401" name="Bildobjekt 3" descr="A graph of a graph with a number of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06401" name="Bildobjekt 3" descr="A graph of a graph with a number of point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3077" cy="2974551"/>
                    </a:xfrm>
                    <a:prstGeom prst="rect">
                      <a:avLst/>
                    </a:prstGeom>
                    <a:noFill/>
                    <a:ln>
                      <a:noFill/>
                    </a:ln>
                  </pic:spPr>
                </pic:pic>
              </a:graphicData>
            </a:graphic>
          </wp:inline>
        </w:drawing>
      </w:r>
    </w:p>
    <w:p w14:paraId="45F096CA" w14:textId="77777777" w:rsidR="00B51636" w:rsidRPr="00226EDB" w:rsidRDefault="00B51636" w:rsidP="00B51636">
      <w:pPr>
        <w:pStyle w:val="Headtable"/>
      </w:pPr>
      <w:r w:rsidRPr="00226EDB">
        <w:t>Figure 2. Respondent Algebra Ability and Item Location. Questions 7, 10, 14, 27, 31, and 32 (see Figure 1) are highlighted as triangles.</w:t>
      </w:r>
    </w:p>
    <w:p w14:paraId="39D5A9F6" w14:textId="527148B4" w:rsidR="00B51636" w:rsidRPr="00226EDB" w:rsidRDefault="00B51636" w:rsidP="00B51636">
      <w:pPr>
        <w:ind w:firstLine="0"/>
      </w:pPr>
      <w:r w:rsidRPr="00226EDB">
        <w:lastRenderedPageBreak/>
        <w:t xml:space="preserve">In relation to the categories and unified algebraic principles, such as </w:t>
      </w:r>
      <m:oMath>
        <m:r>
          <w:rPr>
            <w:rFonts w:ascii="Cambria Math" w:hAnsi="Cambria Math"/>
          </w:rPr>
          <m:t>m</m:t>
        </m:r>
        <m:r>
          <m:rPr>
            <m:lit/>
          </m:rPr>
          <w:rPr>
            <w:rFonts w:ascii="Cambria Math" w:hAnsi="Cambria Math"/>
          </w:rPr>
          <m:t>/</m:t>
        </m:r>
        <m:r>
          <w:rPr>
            <w:rFonts w:ascii="Cambria Math" w:hAnsi="Cambria Math"/>
          </w:rPr>
          <m:t>m = 1</m:t>
        </m:r>
      </m:oMath>
      <w:r w:rsidRPr="00226EDB">
        <w:t>, as illustrated in Figure 1, discrimination and difficulty of items in each category vary. For illustration, Table 2 presents the discrimination parameter</w:t>
      </w:r>
      <w:r w:rsidRPr="00226EDB">
        <w:rPr>
          <w:i/>
          <w:iCs/>
        </w:rPr>
        <w:t xml:space="preserve"> α</w:t>
      </w:r>
      <w:r w:rsidRPr="00226EDB">
        <w:t xml:space="preserve"> and item difficulty </w:t>
      </w:r>
      <w:r w:rsidRPr="00226EDB">
        <w:rPr>
          <w:rFonts w:ascii="Cambria Math" w:hAnsi="Cambria Math" w:cs="Cambria Math"/>
        </w:rPr>
        <w:t>𝛽 for the sample of items presented earlier in Figure 1</w:t>
      </w:r>
      <w:r w:rsidRPr="00226EDB">
        <w:t>. While the two questions that ask about which fractions can be simplified are easier than what the average student in this sample has equal odds of answering correctly (</w:t>
      </w:r>
      <w:r w:rsidRPr="00226EDB">
        <w:rPr>
          <w:rFonts w:ascii="Cambria Math" w:hAnsi="Cambria Math" w:cs="Cambria Math"/>
        </w:rPr>
        <w:t>𝛽</w:t>
      </w:r>
      <w:r w:rsidRPr="00226EDB">
        <w:t xml:space="preserve">&lt;0), the other four questions are more difficult. For example, question 7, asking students to simplify </w:t>
      </w:r>
      <m:oMath>
        <m:sSup>
          <m:sSupPr>
            <m:ctrlPr>
              <w:rPr>
                <w:rFonts w:ascii="Cambria Math" w:hAnsi="Cambria Math"/>
                <w:i/>
              </w:rPr>
            </m:ctrlPr>
          </m:sSupPr>
          <m:e>
            <m:r>
              <w:rPr>
                <w:rFonts w:ascii="Cambria Math" w:hAnsi="Cambria Math"/>
              </w:rPr>
              <m:t>a</m:t>
            </m:r>
          </m:e>
          <m:sup>
            <m:r>
              <w:rPr>
                <w:rFonts w:ascii="Cambria Math" w:hAnsi="Cambria Math"/>
              </w:rPr>
              <m:t>5</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5</m:t>
            </m:r>
          </m:sup>
        </m:sSup>
      </m:oMath>
      <w:r w:rsidRPr="00226EDB">
        <w:t xml:space="preserve"> (</w:t>
      </w:r>
      <m:oMath>
        <m:r>
          <w:rPr>
            <w:rFonts w:ascii="Cambria Math" w:hAnsi="Cambria Math"/>
          </w:rPr>
          <m:t>a</m:t>
        </m:r>
      </m:oMath>
      <w:r w:rsidRPr="00226EDB">
        <w:t xml:space="preserve"> is not 0) has difficulty 1.048,</w:t>
      </w:r>
      <w:r w:rsidR="00110791" w:rsidRPr="00226EDB">
        <w:t xml:space="preserve"> </w:t>
      </w:r>
      <w:r w:rsidRPr="00226EDB">
        <w:t xml:space="preserve">meaning </w:t>
      </w:r>
      <w:r w:rsidR="00110791" w:rsidRPr="00226EDB">
        <w:t xml:space="preserve">roughly </w:t>
      </w:r>
      <w:r w:rsidRPr="00226EDB">
        <w:t xml:space="preserve">that </w:t>
      </w:r>
      <w:r w:rsidR="004D1FDF" w:rsidRPr="00226EDB">
        <w:t xml:space="preserve">for students to </w:t>
      </w:r>
      <w:r w:rsidRPr="00226EDB">
        <w:t>have equal odds of answering correctly and incorrectly</w:t>
      </w:r>
      <w:r w:rsidR="004D1FDF" w:rsidRPr="00226EDB">
        <w:t xml:space="preserve">, they </w:t>
      </w:r>
      <w:r w:rsidR="004C7E4B" w:rsidRPr="00226EDB">
        <w:t>need to be one standard deviation above the average ability</w:t>
      </w:r>
      <w:r w:rsidR="00E56C24">
        <w:t xml:space="preserve"> in this group</w:t>
      </w:r>
      <w:r w:rsidRPr="00226EDB">
        <w:t xml:space="preserve">. Questions 27 and 32 are about the simplification of fractions that involve exponents. These questions have </w:t>
      </w:r>
      <w:r w:rsidR="001D1C9F" w:rsidRPr="00226EDB">
        <w:t>low</w:t>
      </w:r>
      <w:r w:rsidRPr="00226EDB">
        <w:t xml:space="preserve"> discrimination power (below 0.</w:t>
      </w:r>
      <w:r w:rsidR="001D1C9F" w:rsidRPr="00226EDB">
        <w:t>65</w:t>
      </w:r>
      <w:r w:rsidRPr="00226EDB">
        <w:t>). Keeping in mind that the poor discrimination means that the estimate of difficulty is uncertain, they are the two most difficult items. </w:t>
      </w:r>
    </w:p>
    <w:p w14:paraId="54E60F64" w14:textId="77777777" w:rsidR="00B51636" w:rsidRPr="00226EDB" w:rsidRDefault="00B51636" w:rsidP="00B51636">
      <w:pPr>
        <w:pStyle w:val="Normalwebb"/>
        <w:spacing w:before="0" w:beforeAutospacing="0" w:after="0" w:afterAutospacing="0"/>
        <w:jc w:val="center"/>
        <w:rPr>
          <w:lang w:val="en-US"/>
        </w:rPr>
      </w:pPr>
    </w:p>
    <w:tbl>
      <w:tblPr>
        <w:tblStyle w:val="Oformateradtabell2"/>
        <w:tblW w:w="6237" w:type="dxa"/>
        <w:jc w:val="center"/>
        <w:tblLayout w:type="fixed"/>
        <w:tblLook w:val="04A0" w:firstRow="1" w:lastRow="0" w:firstColumn="1" w:lastColumn="0" w:noHBand="0" w:noVBand="1"/>
      </w:tblPr>
      <w:tblGrid>
        <w:gridCol w:w="891"/>
        <w:gridCol w:w="891"/>
        <w:gridCol w:w="891"/>
        <w:gridCol w:w="891"/>
        <w:gridCol w:w="891"/>
        <w:gridCol w:w="891"/>
        <w:gridCol w:w="891"/>
      </w:tblGrid>
      <w:tr w:rsidR="00B51636" w:rsidRPr="00226EDB" w14:paraId="6DEEBA53" w14:textId="77777777" w:rsidTr="004F7454">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91" w:type="dxa"/>
            <w:hideMark/>
          </w:tcPr>
          <w:p w14:paraId="18E9650B" w14:textId="77777777" w:rsidR="00B51636" w:rsidRPr="00226EDB" w:rsidRDefault="00B51636" w:rsidP="004F7454">
            <w:pPr>
              <w:pStyle w:val="Normalwebb"/>
              <w:spacing w:before="0" w:beforeAutospacing="0" w:after="0" w:afterAutospacing="0"/>
              <w:jc w:val="center"/>
              <w:rPr>
                <w:lang w:val="en-US"/>
              </w:rPr>
            </w:pPr>
            <w:r w:rsidRPr="00226EDB">
              <w:rPr>
                <w:b w:val="0"/>
                <w:bCs w:val="0"/>
                <w:color w:val="000000"/>
                <w:lang w:val="en-US"/>
              </w:rPr>
              <w:t>Item:</w:t>
            </w:r>
          </w:p>
        </w:tc>
        <w:tc>
          <w:tcPr>
            <w:tcW w:w="891" w:type="dxa"/>
            <w:hideMark/>
          </w:tcPr>
          <w:p w14:paraId="4CD6182F" w14:textId="77777777" w:rsidR="00B51636" w:rsidRPr="00226EDB" w:rsidRDefault="00B51636" w:rsidP="004F7454">
            <w:pPr>
              <w:pStyle w:val="Normalweb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lang w:val="en-US"/>
              </w:rPr>
            </w:pPr>
            <w:r w:rsidRPr="00226EDB">
              <w:rPr>
                <w:color w:val="000000"/>
                <w:lang w:val="en-US"/>
              </w:rPr>
              <w:t>Q07</w:t>
            </w:r>
          </w:p>
        </w:tc>
        <w:tc>
          <w:tcPr>
            <w:tcW w:w="891" w:type="dxa"/>
            <w:hideMark/>
          </w:tcPr>
          <w:p w14:paraId="4C6A9DF6" w14:textId="77777777" w:rsidR="00B51636" w:rsidRPr="00226EDB" w:rsidRDefault="00B51636" w:rsidP="004F7454">
            <w:pPr>
              <w:pStyle w:val="Normalweb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lang w:val="en-US"/>
              </w:rPr>
            </w:pPr>
            <w:r w:rsidRPr="00226EDB">
              <w:rPr>
                <w:color w:val="000000"/>
                <w:lang w:val="en-US"/>
              </w:rPr>
              <w:t>Q10</w:t>
            </w:r>
          </w:p>
        </w:tc>
        <w:tc>
          <w:tcPr>
            <w:tcW w:w="891" w:type="dxa"/>
          </w:tcPr>
          <w:p w14:paraId="313ACCDF" w14:textId="77777777" w:rsidR="00B51636" w:rsidRPr="00226EDB" w:rsidRDefault="00B51636" w:rsidP="004F7454">
            <w:pPr>
              <w:pStyle w:val="Normalweb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lang w:val="en-US"/>
              </w:rPr>
            </w:pPr>
            <w:r w:rsidRPr="00226EDB">
              <w:rPr>
                <w:color w:val="000000"/>
                <w:lang w:val="en-US"/>
              </w:rPr>
              <w:t>Q14</w:t>
            </w:r>
          </w:p>
        </w:tc>
        <w:tc>
          <w:tcPr>
            <w:tcW w:w="891" w:type="dxa"/>
          </w:tcPr>
          <w:p w14:paraId="37D24D12" w14:textId="77777777" w:rsidR="00B51636" w:rsidRPr="00226EDB" w:rsidRDefault="00B51636" w:rsidP="004F7454">
            <w:pPr>
              <w:pStyle w:val="Normalweb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lang w:val="en-US"/>
              </w:rPr>
            </w:pPr>
            <w:r w:rsidRPr="00226EDB">
              <w:rPr>
                <w:color w:val="000000"/>
                <w:lang w:val="en-US"/>
              </w:rPr>
              <w:t>Q27</w:t>
            </w:r>
          </w:p>
        </w:tc>
        <w:tc>
          <w:tcPr>
            <w:tcW w:w="891" w:type="dxa"/>
          </w:tcPr>
          <w:p w14:paraId="19E37F03" w14:textId="77777777" w:rsidR="00B51636" w:rsidRPr="00226EDB" w:rsidRDefault="00B51636" w:rsidP="004F7454">
            <w:pPr>
              <w:pStyle w:val="Normalweb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lang w:val="en-US"/>
              </w:rPr>
            </w:pPr>
            <w:r w:rsidRPr="00226EDB">
              <w:rPr>
                <w:color w:val="000000"/>
                <w:lang w:val="en-US"/>
              </w:rPr>
              <w:t>Q31</w:t>
            </w:r>
          </w:p>
        </w:tc>
        <w:tc>
          <w:tcPr>
            <w:tcW w:w="891" w:type="dxa"/>
          </w:tcPr>
          <w:p w14:paraId="478C56E7" w14:textId="77777777" w:rsidR="00B51636" w:rsidRPr="00226EDB" w:rsidRDefault="00B51636" w:rsidP="004F7454">
            <w:pPr>
              <w:pStyle w:val="Normalweb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lang w:val="en-US"/>
              </w:rPr>
            </w:pPr>
            <w:r w:rsidRPr="00226EDB">
              <w:rPr>
                <w:color w:val="000000"/>
                <w:lang w:val="en-US"/>
              </w:rPr>
              <w:t>Q32</w:t>
            </w:r>
          </w:p>
        </w:tc>
      </w:tr>
      <w:tr w:rsidR="00B51636" w:rsidRPr="00226EDB" w14:paraId="3A968829" w14:textId="77777777" w:rsidTr="004F745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91" w:type="dxa"/>
            <w:hideMark/>
          </w:tcPr>
          <w:p w14:paraId="7A6EFD42" w14:textId="77777777" w:rsidR="00B51636" w:rsidRPr="00226EDB" w:rsidRDefault="00B51636" w:rsidP="004F7454">
            <w:pPr>
              <w:pStyle w:val="Normalwebb"/>
              <w:spacing w:before="0" w:beforeAutospacing="0" w:after="0" w:afterAutospacing="0"/>
              <w:jc w:val="center"/>
              <w:rPr>
                <w:lang w:val="en-US"/>
              </w:rPr>
            </w:pPr>
            <w:r w:rsidRPr="00226EDB">
              <w:rPr>
                <w:i/>
                <w:iCs/>
                <w:color w:val="000000"/>
                <w:lang w:val="en-US"/>
              </w:rPr>
              <w:t>α</w:t>
            </w:r>
          </w:p>
        </w:tc>
        <w:tc>
          <w:tcPr>
            <w:tcW w:w="891" w:type="dxa"/>
            <w:hideMark/>
          </w:tcPr>
          <w:p w14:paraId="0EF6B79A" w14:textId="77777777" w:rsidR="00B51636" w:rsidRPr="00226EDB" w:rsidRDefault="00B51636" w:rsidP="004F7454">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0.80</w:t>
            </w:r>
          </w:p>
        </w:tc>
        <w:tc>
          <w:tcPr>
            <w:tcW w:w="891" w:type="dxa"/>
            <w:hideMark/>
          </w:tcPr>
          <w:p w14:paraId="29EE54B5" w14:textId="77777777" w:rsidR="00B51636" w:rsidRPr="00226EDB" w:rsidRDefault="00B51636" w:rsidP="004F7454">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0.61</w:t>
            </w:r>
          </w:p>
        </w:tc>
        <w:tc>
          <w:tcPr>
            <w:tcW w:w="891" w:type="dxa"/>
          </w:tcPr>
          <w:p w14:paraId="37345B5A" w14:textId="77777777" w:rsidR="00B51636" w:rsidRPr="00226EDB" w:rsidRDefault="00B51636" w:rsidP="004F7454">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0.36</w:t>
            </w:r>
          </w:p>
        </w:tc>
        <w:tc>
          <w:tcPr>
            <w:tcW w:w="891" w:type="dxa"/>
          </w:tcPr>
          <w:p w14:paraId="6EA15CFD" w14:textId="77777777" w:rsidR="00B51636" w:rsidRPr="00226EDB" w:rsidRDefault="00B51636" w:rsidP="004F7454">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0.23</w:t>
            </w:r>
          </w:p>
        </w:tc>
        <w:tc>
          <w:tcPr>
            <w:tcW w:w="891" w:type="dxa"/>
          </w:tcPr>
          <w:p w14:paraId="3F79592F" w14:textId="77777777" w:rsidR="00B51636" w:rsidRPr="00226EDB" w:rsidRDefault="00B51636" w:rsidP="004F7454">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0.56</w:t>
            </w:r>
          </w:p>
        </w:tc>
        <w:tc>
          <w:tcPr>
            <w:tcW w:w="891" w:type="dxa"/>
          </w:tcPr>
          <w:p w14:paraId="2D5F42E8" w14:textId="77777777" w:rsidR="00B51636" w:rsidRPr="00226EDB" w:rsidRDefault="00B51636" w:rsidP="004F7454">
            <w:pPr>
              <w:pStyle w:val="Brdtext"/>
              <w:jc w:val="center"/>
              <w:cnfStyle w:val="000000100000" w:firstRow="0" w:lastRow="0" w:firstColumn="0" w:lastColumn="0" w:oddVBand="0" w:evenVBand="0" w:oddHBand="1" w:evenHBand="0" w:firstRowFirstColumn="0" w:firstRowLastColumn="0" w:lastRowFirstColumn="0" w:lastRowLastColumn="0"/>
              <w:rPr>
                <w:sz w:val="24"/>
                <w:szCs w:val="24"/>
              </w:rPr>
            </w:pPr>
            <w:r w:rsidRPr="00226EDB">
              <w:rPr>
                <w:sz w:val="24"/>
                <w:szCs w:val="24"/>
              </w:rPr>
              <w:t>0.38</w:t>
            </w:r>
          </w:p>
        </w:tc>
      </w:tr>
      <w:tr w:rsidR="00B51636" w:rsidRPr="00226EDB" w14:paraId="359664FC" w14:textId="77777777" w:rsidTr="000A3A19">
        <w:trPr>
          <w:trHeight w:val="285"/>
          <w:jc w:val="center"/>
        </w:trPr>
        <w:tc>
          <w:tcPr>
            <w:cnfStyle w:val="001000000000" w:firstRow="0" w:lastRow="0" w:firstColumn="1" w:lastColumn="0" w:oddVBand="0" w:evenVBand="0" w:oddHBand="0" w:evenHBand="0" w:firstRowFirstColumn="0" w:firstRowLastColumn="0" w:lastRowFirstColumn="0" w:lastRowLastColumn="0"/>
            <w:tcW w:w="891" w:type="dxa"/>
            <w:hideMark/>
          </w:tcPr>
          <w:p w14:paraId="3BF26A7B" w14:textId="77777777" w:rsidR="00B51636" w:rsidRPr="00226EDB" w:rsidRDefault="00B51636" w:rsidP="004F7454">
            <w:pPr>
              <w:pStyle w:val="Normalwebb"/>
              <w:spacing w:before="0" w:beforeAutospacing="0" w:after="0" w:afterAutospacing="0"/>
              <w:jc w:val="center"/>
              <w:rPr>
                <w:lang w:val="en-US"/>
              </w:rPr>
            </w:pPr>
            <w:r w:rsidRPr="00226EDB">
              <w:rPr>
                <w:rFonts w:ascii="Cambria Math" w:hAnsi="Cambria Math" w:cs="Cambria Math"/>
                <w:color w:val="000000"/>
                <w:lang w:val="en-US"/>
              </w:rPr>
              <w:t>𝛽</w:t>
            </w:r>
          </w:p>
        </w:tc>
        <w:tc>
          <w:tcPr>
            <w:tcW w:w="891" w:type="dxa"/>
            <w:hideMark/>
          </w:tcPr>
          <w:p w14:paraId="5DEBC580" w14:textId="77777777" w:rsidR="00B51636" w:rsidRPr="00226EDB" w:rsidRDefault="00B51636" w:rsidP="004F7454">
            <w:pPr>
              <w:pStyle w:val="Brdtext"/>
              <w:jc w:val="center"/>
              <w:cnfStyle w:val="000000000000" w:firstRow="0" w:lastRow="0" w:firstColumn="0" w:lastColumn="0" w:oddVBand="0" w:evenVBand="0" w:oddHBand="0" w:evenHBand="0" w:firstRowFirstColumn="0" w:firstRowLastColumn="0" w:lastRowFirstColumn="0" w:lastRowLastColumn="0"/>
              <w:rPr>
                <w:sz w:val="24"/>
                <w:szCs w:val="24"/>
              </w:rPr>
            </w:pPr>
            <w:r w:rsidRPr="00226EDB">
              <w:rPr>
                <w:sz w:val="24"/>
                <w:szCs w:val="24"/>
              </w:rPr>
              <w:t>1.05</w:t>
            </w:r>
          </w:p>
        </w:tc>
        <w:tc>
          <w:tcPr>
            <w:tcW w:w="891" w:type="dxa"/>
            <w:hideMark/>
          </w:tcPr>
          <w:p w14:paraId="3904B104" w14:textId="77777777" w:rsidR="00B51636" w:rsidRPr="00226EDB" w:rsidRDefault="00B51636" w:rsidP="004F7454">
            <w:pPr>
              <w:pStyle w:val="Brdtext"/>
              <w:jc w:val="center"/>
              <w:cnfStyle w:val="000000000000" w:firstRow="0" w:lastRow="0" w:firstColumn="0" w:lastColumn="0" w:oddVBand="0" w:evenVBand="0" w:oddHBand="0" w:evenHBand="0" w:firstRowFirstColumn="0" w:firstRowLastColumn="0" w:lastRowFirstColumn="0" w:lastRowLastColumn="0"/>
              <w:rPr>
                <w:sz w:val="24"/>
                <w:szCs w:val="24"/>
              </w:rPr>
            </w:pPr>
            <w:r w:rsidRPr="00226EDB">
              <w:rPr>
                <w:sz w:val="24"/>
                <w:szCs w:val="24"/>
              </w:rPr>
              <w:t>-1.05</w:t>
            </w:r>
          </w:p>
        </w:tc>
        <w:tc>
          <w:tcPr>
            <w:tcW w:w="891" w:type="dxa"/>
          </w:tcPr>
          <w:p w14:paraId="0407C76A" w14:textId="77777777" w:rsidR="00B51636" w:rsidRPr="00226EDB" w:rsidRDefault="00B51636" w:rsidP="004F7454">
            <w:pPr>
              <w:pStyle w:val="Brdtext"/>
              <w:jc w:val="center"/>
              <w:cnfStyle w:val="000000000000" w:firstRow="0" w:lastRow="0" w:firstColumn="0" w:lastColumn="0" w:oddVBand="0" w:evenVBand="0" w:oddHBand="0" w:evenHBand="0" w:firstRowFirstColumn="0" w:firstRowLastColumn="0" w:lastRowFirstColumn="0" w:lastRowLastColumn="0"/>
              <w:rPr>
                <w:sz w:val="24"/>
                <w:szCs w:val="24"/>
              </w:rPr>
            </w:pPr>
            <w:r w:rsidRPr="00226EDB">
              <w:rPr>
                <w:sz w:val="24"/>
                <w:szCs w:val="24"/>
              </w:rPr>
              <w:t>-0.23</w:t>
            </w:r>
          </w:p>
        </w:tc>
        <w:tc>
          <w:tcPr>
            <w:tcW w:w="891" w:type="dxa"/>
          </w:tcPr>
          <w:p w14:paraId="3979E2A2" w14:textId="77777777" w:rsidR="00B51636" w:rsidRPr="00226EDB" w:rsidRDefault="00B51636" w:rsidP="004F7454">
            <w:pPr>
              <w:pStyle w:val="Brdtext"/>
              <w:jc w:val="center"/>
              <w:cnfStyle w:val="000000000000" w:firstRow="0" w:lastRow="0" w:firstColumn="0" w:lastColumn="0" w:oddVBand="0" w:evenVBand="0" w:oddHBand="0" w:evenHBand="0" w:firstRowFirstColumn="0" w:firstRowLastColumn="0" w:lastRowFirstColumn="0" w:lastRowLastColumn="0"/>
              <w:rPr>
                <w:sz w:val="24"/>
                <w:szCs w:val="24"/>
              </w:rPr>
            </w:pPr>
            <w:r w:rsidRPr="00226EDB">
              <w:rPr>
                <w:sz w:val="24"/>
                <w:szCs w:val="24"/>
              </w:rPr>
              <w:t>6.51</w:t>
            </w:r>
          </w:p>
        </w:tc>
        <w:tc>
          <w:tcPr>
            <w:tcW w:w="891" w:type="dxa"/>
          </w:tcPr>
          <w:p w14:paraId="13F83260" w14:textId="77777777" w:rsidR="00B51636" w:rsidRPr="00226EDB" w:rsidRDefault="00B51636" w:rsidP="004F7454">
            <w:pPr>
              <w:pStyle w:val="Brdtext"/>
              <w:jc w:val="center"/>
              <w:cnfStyle w:val="000000000000" w:firstRow="0" w:lastRow="0" w:firstColumn="0" w:lastColumn="0" w:oddVBand="0" w:evenVBand="0" w:oddHBand="0" w:evenHBand="0" w:firstRowFirstColumn="0" w:firstRowLastColumn="0" w:lastRowFirstColumn="0" w:lastRowLastColumn="0"/>
              <w:rPr>
                <w:sz w:val="24"/>
                <w:szCs w:val="24"/>
              </w:rPr>
            </w:pPr>
            <w:r w:rsidRPr="00226EDB">
              <w:rPr>
                <w:sz w:val="24"/>
                <w:szCs w:val="24"/>
              </w:rPr>
              <w:t>2.48</w:t>
            </w:r>
          </w:p>
        </w:tc>
        <w:tc>
          <w:tcPr>
            <w:tcW w:w="891" w:type="dxa"/>
          </w:tcPr>
          <w:p w14:paraId="33B15854" w14:textId="77777777" w:rsidR="00B51636" w:rsidRPr="00226EDB" w:rsidRDefault="00B51636" w:rsidP="004F7454">
            <w:pPr>
              <w:pStyle w:val="Brdtext"/>
              <w:jc w:val="center"/>
              <w:cnfStyle w:val="000000000000" w:firstRow="0" w:lastRow="0" w:firstColumn="0" w:lastColumn="0" w:oddVBand="0" w:evenVBand="0" w:oddHBand="0" w:evenHBand="0" w:firstRowFirstColumn="0" w:firstRowLastColumn="0" w:lastRowFirstColumn="0" w:lastRowLastColumn="0"/>
              <w:rPr>
                <w:sz w:val="24"/>
                <w:szCs w:val="24"/>
              </w:rPr>
            </w:pPr>
            <w:r w:rsidRPr="00226EDB">
              <w:rPr>
                <w:sz w:val="24"/>
                <w:szCs w:val="24"/>
              </w:rPr>
              <w:t>3.56</w:t>
            </w:r>
          </w:p>
        </w:tc>
      </w:tr>
    </w:tbl>
    <w:p w14:paraId="65ACE28C" w14:textId="5F76E9AE" w:rsidR="00B51636" w:rsidRPr="00794D6F" w:rsidRDefault="00B51636" w:rsidP="00B51636">
      <w:pPr>
        <w:pStyle w:val="Headtable"/>
        <w:rPr>
          <w:color w:val="000000"/>
          <w:szCs w:val="26"/>
          <w:lang w:val="en-GB" w:eastAsia="sv-SE"/>
        </w:rPr>
      </w:pPr>
      <w:r w:rsidRPr="00794D6F">
        <w:rPr>
          <w:color w:val="000000"/>
          <w:szCs w:val="26"/>
          <w:lang w:val="en-GB" w:eastAsia="sv-SE"/>
        </w:rPr>
        <w:t xml:space="preserve">Table 2. Item parameters for questions </w:t>
      </w:r>
      <w:r w:rsidR="0022686A">
        <w:rPr>
          <w:color w:val="000000"/>
          <w:szCs w:val="26"/>
          <w:lang w:val="en-GB" w:eastAsia="sv-SE"/>
        </w:rPr>
        <w:t>related to</w:t>
      </w:r>
      <w:r w:rsidRPr="00794D6F">
        <w:rPr>
          <w:color w:val="000000"/>
          <w:szCs w:val="26"/>
          <w:lang w:val="en-GB" w:eastAsia="sv-SE"/>
        </w:rPr>
        <w:t xml:space="preserve"> </w:t>
      </w:r>
      <m:oMath>
        <m:f>
          <m:fPr>
            <m:ctrlPr>
              <w:rPr>
                <w:rFonts w:ascii="Cambria Math" w:hAnsi="Cambria Math"/>
                <w:i/>
                <w:color w:val="000000"/>
                <w:szCs w:val="26"/>
                <w:lang w:val="en-GB" w:eastAsia="sv-SE"/>
              </w:rPr>
            </m:ctrlPr>
          </m:fPr>
          <m:num>
            <m:r>
              <w:rPr>
                <w:rFonts w:ascii="Cambria Math" w:hAnsi="Cambria Math"/>
                <w:color w:val="000000"/>
                <w:szCs w:val="26"/>
                <w:lang w:val="en-GB" w:eastAsia="sv-SE"/>
              </w:rPr>
              <m:t>m</m:t>
            </m:r>
          </m:num>
          <m:den>
            <m:r>
              <w:rPr>
                <w:rFonts w:ascii="Cambria Math" w:hAnsi="Cambria Math"/>
                <w:color w:val="000000"/>
                <w:szCs w:val="26"/>
                <w:lang w:val="en-GB" w:eastAsia="sv-SE"/>
              </w:rPr>
              <m:t>m</m:t>
            </m:r>
          </m:den>
        </m:f>
        <m:r>
          <w:rPr>
            <w:rFonts w:ascii="Cambria Math" w:hAnsi="Cambria Math"/>
            <w:color w:val="000000"/>
            <w:szCs w:val="26"/>
            <w:lang w:val="en-GB" w:eastAsia="sv-SE"/>
          </w:rPr>
          <m:t>= 1</m:t>
        </m:r>
      </m:oMath>
      <w:r w:rsidRPr="00794D6F">
        <w:rPr>
          <w:color w:val="000000"/>
          <w:szCs w:val="26"/>
          <w:lang w:val="en-GB" w:eastAsia="sv-SE"/>
        </w:rPr>
        <w:t>.</w:t>
      </w:r>
    </w:p>
    <w:p w14:paraId="73CDC89C" w14:textId="2D6BEDEA" w:rsidR="00B465E7" w:rsidRPr="00226EDB" w:rsidRDefault="00B51636" w:rsidP="00DA4CAC">
      <w:pPr>
        <w:ind w:firstLine="0"/>
        <w:rPr>
          <w:b/>
          <w:bCs/>
        </w:rPr>
      </w:pPr>
      <w:r w:rsidRPr="00226EDB">
        <w:rPr>
          <w:b/>
          <w:bCs/>
        </w:rPr>
        <w:t>Reliability.</w:t>
      </w:r>
      <w:r w:rsidRPr="00226EDB">
        <w:t xml:space="preserve"> Reliability here means the absence of random or algebra-irrelevant fluctuations in students’ </w:t>
      </w:r>
      <w:r w:rsidR="00226EDB" w:rsidRPr="00226EDB">
        <w:t>scores and</w:t>
      </w:r>
      <w:r w:rsidRPr="00226EDB">
        <w:t xml:space="preserve"> is a pre-condition for our interpretation of scores as reflecting algebra knowledge. Because we conducted an IRT analysis, we chose to use the expected a posteriori (EAP) marginal reliability, </w:t>
      </w:r>
      <w:r w:rsidRPr="00226EDB">
        <w:rPr>
          <w:i/>
          <w:iCs/>
        </w:rPr>
        <w:t>ρ</w:t>
      </w:r>
      <w:r w:rsidRPr="00226EDB">
        <w:t xml:space="preserve">, which is the average reliability across the range of different abilities, weighted by the proportion of students of each ability. It is considered good when it is above .800 and very good when it is above .900. The EAP marginal reliability </w:t>
      </w:r>
      <w:r w:rsidRPr="00226EDB">
        <w:rPr>
          <w:i/>
          <w:iCs/>
        </w:rPr>
        <w:t xml:space="preserve">ρ </w:t>
      </w:r>
      <w:r w:rsidRPr="00226EDB">
        <w:t>was .84</w:t>
      </w:r>
      <w:r w:rsidR="003A5AF1" w:rsidRPr="00226EDB">
        <w:t>7</w:t>
      </w:r>
      <w:r w:rsidRPr="00226EDB">
        <w:t xml:space="preserve">, indicating good reliability, which in turn means that there is one clear signal, or construct, captured by the scores on this test. </w:t>
      </w:r>
    </w:p>
    <w:p w14:paraId="163B4442" w14:textId="25DDD2E2" w:rsidR="00B51636" w:rsidRPr="00226EDB" w:rsidRDefault="00B51636" w:rsidP="00F8508E">
      <w:r w:rsidRPr="00226EDB">
        <w:rPr>
          <w:b/>
          <w:bCs/>
        </w:rPr>
        <w:t>Construct-irrelevant variance.</w:t>
      </w:r>
      <w:r w:rsidRPr="00226EDB">
        <w:t xml:space="preserve"> Construct-irrelevant factors, in this case factors not related to algebra knowledge which systematically affect scores, can be detrimental to validity. Potential construct-irrelevant variance from timing and reading demands appears minimal. Under a 60-minute limit, 95% of students finished within 50 minutes. Regarding reading, some items necessarily used brief real-world scenarios to elicit algebraic modeling. While this introduces a possible reading-comprehension </w:t>
      </w:r>
      <w:r w:rsidR="00226EDB" w:rsidRPr="00226EDB">
        <w:t>component,</w:t>
      </w:r>
      <w:r w:rsidRPr="00226EDB">
        <w:t xml:space="preserve"> wording was kept straightforward, and automatic translation into multiple languages was available, reducing unintended language demands. Because the post-intervention cohort will have similar demographics and the same language supports, we tentatively believe that any remaining reading demand should be stable across groups and thus unlikely to affect estimates of intervention effects.</w:t>
      </w:r>
    </w:p>
    <w:p w14:paraId="204308E3" w14:textId="77777777" w:rsidR="00304D05" w:rsidRPr="00226EDB" w:rsidRDefault="00304D05" w:rsidP="00464E70">
      <w:pPr>
        <w:pStyle w:val="Rubrik2"/>
      </w:pPr>
      <w:r w:rsidRPr="00226EDB">
        <w:t>Discussion</w:t>
      </w:r>
    </w:p>
    <w:p w14:paraId="46B8A662" w14:textId="5F52C53A" w:rsidR="00304D05" w:rsidRPr="00226EDB" w:rsidRDefault="00F26E9C" w:rsidP="002B71A5">
      <w:pPr>
        <w:ind w:firstLine="0"/>
      </w:pPr>
      <w:r w:rsidRPr="00226EDB">
        <w:t>We have presented an algebra test whose primary purpose is in the evaluation of the Algebra Monday intervention. The</w:t>
      </w:r>
      <w:r w:rsidR="00304D05" w:rsidRPr="00226EDB">
        <w:t xml:space="preserve"> algebra test was designed with prior research on </w:t>
      </w:r>
      <w:r w:rsidR="00076041" w:rsidRPr="00226EDB">
        <w:lastRenderedPageBreak/>
        <w:t>students'</w:t>
      </w:r>
      <w:r w:rsidR="00304D05" w:rsidRPr="00226EDB">
        <w:t xml:space="preserve"> algebra difficulties in mind.</w:t>
      </w:r>
      <w:r w:rsidR="00076041" w:rsidRPr="00226EDB">
        <w:t xml:space="preserve"> </w:t>
      </w:r>
      <w:r w:rsidR="00304D05" w:rsidRPr="00226EDB">
        <w:t xml:space="preserve">The questions were chosen, whenever possible, among questions that had previously been studied in assessments of </w:t>
      </w:r>
      <w:r w:rsidR="00076041" w:rsidRPr="00226EDB">
        <w:t>students'</w:t>
      </w:r>
      <w:r w:rsidR="00304D05" w:rsidRPr="00226EDB">
        <w:t xml:space="preserve"> algebra skills</w:t>
      </w:r>
      <w:r w:rsidR="00380AB5" w:rsidRPr="00226EDB">
        <w:t xml:space="preserve">, used </w:t>
      </w:r>
      <w:r w:rsidR="00304D05" w:rsidRPr="00226EDB">
        <w:t>on previously released Swedish National Tests,</w:t>
      </w:r>
      <w:r w:rsidR="00380AB5" w:rsidRPr="00226EDB">
        <w:t xml:space="preserve"> and</w:t>
      </w:r>
      <w:r w:rsidR="00714112" w:rsidRPr="00226EDB">
        <w:t>, similarly to Blanton et al. (2019)</w:t>
      </w:r>
      <w:r w:rsidR="00380AB5" w:rsidRPr="00226EDB">
        <w:t xml:space="preserve"> aligned with the intervention</w:t>
      </w:r>
      <w:r w:rsidR="00714112" w:rsidRPr="00226EDB">
        <w:t xml:space="preserve"> </w:t>
      </w:r>
      <w:r w:rsidR="00187D71" w:rsidRPr="00226EDB">
        <w:t xml:space="preserve">that </w:t>
      </w:r>
      <w:r w:rsidR="00714112" w:rsidRPr="00226EDB">
        <w:t>the test is meant to help evaluate</w:t>
      </w:r>
      <w:r w:rsidR="0013202A" w:rsidRPr="00226EDB">
        <w:t>.</w:t>
      </w:r>
      <w:r w:rsidR="0082548C" w:rsidRPr="00226EDB">
        <w:t xml:space="preserve"> </w:t>
      </w:r>
      <w:r w:rsidR="00380AB5" w:rsidRPr="00226EDB">
        <w:t xml:space="preserve">In this way, the test is simultaneously fit for the intended purpose and in parts </w:t>
      </w:r>
      <w:proofErr w:type="gramStart"/>
      <w:r w:rsidR="00380AB5" w:rsidRPr="00226EDB">
        <w:t>similar to</w:t>
      </w:r>
      <w:proofErr w:type="gramEnd"/>
      <w:r w:rsidR="00380AB5" w:rsidRPr="00226EDB">
        <w:t xml:space="preserve"> realistic assessments students may encounter during their schooling. </w:t>
      </w:r>
      <w:r w:rsidR="00503AEC" w:rsidRPr="00226EDB">
        <w:t>A</w:t>
      </w:r>
      <w:r w:rsidR="0013202A" w:rsidRPr="00226EDB">
        <w:t xml:space="preserve"> test designed to evaluate a different intervention should align with the narrow concerns of that intervention, as well as include items that more broadly capture the way the construct </w:t>
      </w:r>
      <w:r w:rsidR="00094784" w:rsidRPr="00226EDB">
        <w:t xml:space="preserve">of interest </w:t>
      </w:r>
      <w:r w:rsidR="0013202A" w:rsidRPr="00226EDB">
        <w:t>is often represented.</w:t>
      </w:r>
    </w:p>
    <w:p w14:paraId="34D3E71A" w14:textId="130C29E6" w:rsidR="00304D05" w:rsidRPr="00226EDB" w:rsidRDefault="00304D05" w:rsidP="002B71A5">
      <w:r w:rsidRPr="00226EDB">
        <w:t xml:space="preserve">The test </w:t>
      </w:r>
      <w:r w:rsidR="00380AB5" w:rsidRPr="00226EDB">
        <w:t>showed</w:t>
      </w:r>
      <w:r w:rsidRPr="00226EDB">
        <w:t xml:space="preserve"> good reliability with </w:t>
      </w:r>
      <w:r w:rsidR="00035FB5" w:rsidRPr="00226EDB">
        <w:t>our</w:t>
      </w:r>
      <w:r w:rsidRPr="00226EDB">
        <w:t xml:space="preserve"> sample of students</w:t>
      </w:r>
      <w:r w:rsidR="00035FB5" w:rsidRPr="00226EDB">
        <w:t xml:space="preserve">, indicating that </w:t>
      </w:r>
      <w:r w:rsidR="00035FB5" w:rsidRPr="00226EDB">
        <w:rPr>
          <w:i/>
          <w:iCs/>
        </w:rPr>
        <w:t>something</w:t>
      </w:r>
      <w:r w:rsidR="00035FB5" w:rsidRPr="00226EDB">
        <w:t xml:space="preserve"> has been measured</w:t>
      </w:r>
      <w:r w:rsidRPr="00226EDB">
        <w:t>.</w:t>
      </w:r>
      <w:r w:rsidR="00035FB5" w:rsidRPr="00226EDB">
        <w:t xml:space="preserve"> Because the items are designed as described above, that something is very likely algebra ability, as construed within the </w:t>
      </w:r>
      <w:r w:rsidR="00B33194" w:rsidRPr="00226EDB">
        <w:t>Algebra Monday</w:t>
      </w:r>
      <w:r w:rsidR="00035FB5" w:rsidRPr="00226EDB">
        <w:t xml:space="preserve"> intervention.</w:t>
      </w:r>
      <w:r w:rsidR="00FF534C" w:rsidRPr="00226EDB">
        <w:t xml:space="preserve"> A unidimensional structure was likewise observed, indicating that algebra knowledge, in this sample of students, is </w:t>
      </w:r>
      <w:r w:rsidR="00EE278F" w:rsidRPr="00226EDB">
        <w:t>well-described as one</w:t>
      </w:r>
      <w:r w:rsidR="005010CF" w:rsidRPr="00226EDB">
        <w:t xml:space="preserve"> thing, rather than multiple.</w:t>
      </w:r>
      <w:r w:rsidR="00B465E7" w:rsidRPr="00226EDB">
        <w:t xml:space="preserve"> </w:t>
      </w:r>
      <w:r w:rsidRPr="00226EDB">
        <w:t xml:space="preserve">The items are </w:t>
      </w:r>
      <w:r w:rsidR="00035FB5" w:rsidRPr="00226EDB">
        <w:t xml:space="preserve">also </w:t>
      </w:r>
      <w:r w:rsidRPr="00226EDB">
        <w:t>spread out in difficulty and target the range of abilities in the sample of students</w:t>
      </w:r>
      <w:r w:rsidR="00035FB5" w:rsidRPr="00226EDB">
        <w:t>, so it is suitable for the students we intend to use it with</w:t>
      </w:r>
      <w:r w:rsidRPr="00226EDB">
        <w:t>.</w:t>
      </w:r>
      <w:r w:rsidR="00076041" w:rsidRPr="00226EDB">
        <w:t xml:space="preserve"> </w:t>
      </w:r>
      <w:r w:rsidR="00717449" w:rsidRPr="00226EDB">
        <w:t xml:space="preserve">For use with another group of students, </w:t>
      </w:r>
      <w:r w:rsidR="00EB6F21" w:rsidRPr="00226EDB">
        <w:t>reliability</w:t>
      </w:r>
      <w:r w:rsidR="005010CF" w:rsidRPr="00226EDB">
        <w:t>, dimensionality</w:t>
      </w:r>
      <w:r w:rsidR="00EB6F21" w:rsidRPr="00226EDB">
        <w:t xml:space="preserve"> and appropriateness of difficulty should first be established for that group.</w:t>
      </w:r>
      <w:r w:rsidR="007F7BC6" w:rsidRPr="00226EDB">
        <w:t xml:space="preserve"> </w:t>
      </w:r>
    </w:p>
    <w:p w14:paraId="61520121" w14:textId="2C9A4515" w:rsidR="00AD6EE2" w:rsidRDefault="00D74AF4" w:rsidP="002B71A5">
      <w:r w:rsidRPr="00226EDB">
        <w:t xml:space="preserve">A limitation of our interpretation and use argument is that we have not yet measured students' response processes and, therefore, cannot say what knowledge or reasoning students used to solve test questions. While we designed the questions with the implicit belief that students would use knowledge of general algebraic structures to solve the structure questions, for example, it would be helpful in the future to assess </w:t>
      </w:r>
      <w:r w:rsidR="00C65AC2" w:rsidRPr="00226EDB">
        <w:t>whether some students may instead have used knowledge of exponent rules</w:t>
      </w:r>
      <w:r w:rsidRPr="00226EDB">
        <w:t xml:space="preserve">. </w:t>
      </w:r>
      <w:r w:rsidR="00AD6EE2" w:rsidRPr="00226EDB">
        <w:t xml:space="preserve">Response processes should likewise </w:t>
      </w:r>
      <w:r w:rsidR="00743DDD" w:rsidRPr="00226EDB">
        <w:t xml:space="preserve">be part of </w:t>
      </w:r>
      <w:r w:rsidR="00AD6EE2" w:rsidRPr="00226EDB">
        <w:t xml:space="preserve">test validation for other </w:t>
      </w:r>
      <w:r w:rsidR="00A54ACA" w:rsidRPr="00226EDB">
        <w:t xml:space="preserve">algebra </w:t>
      </w:r>
      <w:r w:rsidR="00AD6EE2" w:rsidRPr="00226EDB">
        <w:t>tests</w:t>
      </w:r>
      <w:r w:rsidR="00743DDD" w:rsidRPr="00226EDB">
        <w:t xml:space="preserve">, because algebra problems </w:t>
      </w:r>
      <w:r w:rsidR="00A54ACA" w:rsidRPr="00226EDB">
        <w:t>often</w:t>
      </w:r>
      <w:r w:rsidR="007F2DFC" w:rsidRPr="00226EDB">
        <w:t xml:space="preserve"> lend themselves to multiple solution methods.</w:t>
      </w:r>
    </w:p>
    <w:p w14:paraId="3A2E9BFA" w14:textId="1ADE33D7" w:rsidR="00E56C24" w:rsidRDefault="00E56C24" w:rsidP="002B71A5">
      <w:r w:rsidRPr="00E56C24">
        <w:t>A challenge for tests used in intervention studies is that they must be sensitive enough to capture the gains researchers hope to see</w:t>
      </w:r>
      <w:r>
        <w:t xml:space="preserve"> from the intervention</w:t>
      </w:r>
      <w:r w:rsidRPr="00E56C24">
        <w:t>, yet not so difficult that control-group students become discouraged and stop trying. In this study, we cannot rule out that the overall difficulty of the test may have influenced some students’ effort on later items. Further research on students’ response processes could help clarify the extent to which test difficulty affects engagement and, in turn, score interpretation.</w:t>
      </w:r>
    </w:p>
    <w:p w14:paraId="063AB970" w14:textId="1F166BB4" w:rsidR="00D74AF4" w:rsidRPr="00226EDB" w:rsidRDefault="00D74AF4" w:rsidP="002B71A5">
      <w:r w:rsidRPr="00226EDB">
        <w:t>Additionally, because we believe that the algebra understanding and skills assessed by our test could be useful for learning various mathematics topics, such as coordinate geometry, the results should correlate with national test scores. They should, however, correlate less well with topics such as elementary probability or geometry, in which algebra plays a more minor role, at least in school mathematics. Future directions for validating our stated interpretation and use of this test could, therefore, include comparison with such external measures.</w:t>
      </w:r>
      <w:r w:rsidR="00AD6EE2" w:rsidRPr="00226EDB">
        <w:t xml:space="preserve"> </w:t>
      </w:r>
    </w:p>
    <w:p w14:paraId="0D732A8D" w14:textId="306BB39C" w:rsidR="0083287F" w:rsidRPr="00226EDB" w:rsidRDefault="001C196F" w:rsidP="00DA4CAC">
      <w:r w:rsidRPr="00226EDB">
        <w:t>Some auxiliary findings</w:t>
      </w:r>
      <w:r w:rsidR="00D74AF4" w:rsidRPr="00226EDB">
        <w:t xml:space="preserve"> </w:t>
      </w:r>
      <w:r w:rsidR="00E56C24">
        <w:t xml:space="preserve">also </w:t>
      </w:r>
      <w:r w:rsidR="00D74AF4" w:rsidRPr="00226EDB">
        <w:t xml:space="preserve">emerge </w:t>
      </w:r>
      <w:r w:rsidR="009D6C74" w:rsidRPr="00226EDB">
        <w:t xml:space="preserve">from our analysis </w:t>
      </w:r>
      <w:r w:rsidR="00D74AF4" w:rsidRPr="00226EDB">
        <w:t xml:space="preserve">and may serve as inspiration for </w:t>
      </w:r>
      <w:r w:rsidR="00A37A1E" w:rsidRPr="00226EDB">
        <w:t>future research</w:t>
      </w:r>
      <w:r w:rsidR="00E56C24">
        <w:t>.</w:t>
      </w:r>
    </w:p>
    <w:p w14:paraId="6AA2CAAA" w14:textId="4CE14ABE" w:rsidR="0083287F" w:rsidRPr="00226EDB" w:rsidRDefault="00E96C7A" w:rsidP="00E56C24">
      <w:r w:rsidRPr="00226EDB">
        <w:lastRenderedPageBreak/>
        <w:t>Questions which involve</w:t>
      </w:r>
      <w:r w:rsidR="00304D05" w:rsidRPr="00226EDB">
        <w:t xml:space="preserve"> </w:t>
      </w:r>
      <w:r w:rsidR="00F04EA8" w:rsidRPr="00226EDB">
        <w:t>rational expressions with exponents</w:t>
      </w:r>
      <w:r w:rsidRPr="00226EDB">
        <w:t xml:space="preserve"> appear especially difficult for our students</w:t>
      </w:r>
      <w:r w:rsidR="00662551" w:rsidRPr="00226EDB">
        <w:t xml:space="preserve">, despite being eminently solvable </w:t>
      </w:r>
      <w:r w:rsidR="00EF67AB" w:rsidRPr="00226EDB">
        <w:t>by reasoning about exponents as repeated multiplication and the identity</w:t>
      </w:r>
      <w:r w:rsidR="00641D1E" w:rsidRPr="00226EDB">
        <w:t xml:space="preserve"> </w:t>
      </w:r>
      <m:oMath>
        <m:r>
          <w:rPr>
            <w:rFonts w:ascii="Cambria Math" w:hAnsi="Cambria Math"/>
          </w:rPr>
          <m:t>m/m=1</m:t>
        </m:r>
      </m:oMath>
      <w:r w:rsidR="00B17CBD" w:rsidRPr="00226EDB">
        <w:t>.</w:t>
      </w:r>
      <w:r w:rsidR="00E56C24">
        <w:t xml:space="preserve"> </w:t>
      </w:r>
      <w:r w:rsidR="00E733CC" w:rsidRPr="00226EDB">
        <w:t>Also difficult were those q</w:t>
      </w:r>
      <w:r w:rsidR="00326177" w:rsidRPr="00226EDB">
        <w:t>uestions that ask for s</w:t>
      </w:r>
      <w:r w:rsidR="00304D05" w:rsidRPr="00226EDB">
        <w:t>caling by fractions, where the correct answer is given as a fraction.</w:t>
      </w:r>
      <w:r w:rsidR="00076041" w:rsidRPr="00226EDB">
        <w:t xml:space="preserve"> </w:t>
      </w:r>
      <w:r w:rsidR="006C15CB" w:rsidRPr="00226EDB">
        <w:t>Based on student</w:t>
      </w:r>
      <w:r w:rsidR="00CD0EC3" w:rsidRPr="00226EDB">
        <w:t xml:space="preserve"> notes</w:t>
      </w:r>
      <w:r w:rsidR="00E56123" w:rsidRPr="00226EDB">
        <w:t xml:space="preserve"> in the testing platform, some </w:t>
      </w:r>
      <w:r w:rsidR="00304D05" w:rsidRPr="00226EDB">
        <w:t xml:space="preserve">students seem to have calculated a correct </w:t>
      </w:r>
      <w:r w:rsidR="00226EDB" w:rsidRPr="00226EDB">
        <w:t>answer but</w:t>
      </w:r>
      <w:r w:rsidR="0002514C" w:rsidRPr="00226EDB">
        <w:t xml:space="preserve"> </w:t>
      </w:r>
      <w:r w:rsidR="00304D05" w:rsidRPr="00226EDB">
        <w:t xml:space="preserve">then chosen an answer option </w:t>
      </w:r>
      <w:r w:rsidR="006962D5" w:rsidRPr="00226EDB">
        <w:t>that</w:t>
      </w:r>
      <w:r w:rsidR="00304D05" w:rsidRPr="00226EDB">
        <w:t xml:space="preserve"> has an (incorrect) answer in decimal form. </w:t>
      </w:r>
      <w:r w:rsidR="00903866" w:rsidRPr="00226EDB">
        <w:t xml:space="preserve">Additionally, </w:t>
      </w:r>
      <w:r w:rsidR="00227B34" w:rsidRPr="00226EDB">
        <w:t xml:space="preserve">it </w:t>
      </w:r>
      <w:r w:rsidR="00226EDB" w:rsidRPr="00226EDB">
        <w:t>is noteworthy</w:t>
      </w:r>
      <w:r w:rsidR="00227B34" w:rsidRPr="00226EDB">
        <w:t xml:space="preserve"> that so few students in our sample, in </w:t>
      </w:r>
      <w:r w:rsidR="00226EDB" w:rsidRPr="00226EDB">
        <w:t>eighth</w:t>
      </w:r>
      <w:r w:rsidR="00E84880" w:rsidRPr="00226EDB">
        <w:t xml:space="preserve"> grade, </w:t>
      </w:r>
      <w:r w:rsidR="003D7705" w:rsidRPr="00226EDB">
        <w:t>answered</w:t>
      </w:r>
      <w:r w:rsidR="008A0E2F" w:rsidRPr="00226EDB">
        <w:t xml:space="preserve"> that </w:t>
      </w:r>
      <m:oMath>
        <m:sSup>
          <m:sSupPr>
            <m:ctrlPr>
              <w:rPr>
                <w:rFonts w:ascii="Cambria Math" w:hAnsi="Cambria Math"/>
                <w:i/>
              </w:rPr>
            </m:ctrlPr>
          </m:sSupPr>
          <m:e>
            <m:r>
              <w:rPr>
                <w:rFonts w:ascii="Cambria Math" w:hAnsi="Cambria Math"/>
              </w:rPr>
              <m:t>a</m:t>
            </m:r>
          </m:e>
          <m:sup>
            <m:r>
              <w:rPr>
                <w:rFonts w:ascii="Cambria Math" w:hAnsi="Cambria Math"/>
              </w:rPr>
              <m:t>5</m:t>
            </m:r>
          </m:sup>
        </m:sSup>
        <m:r>
          <m:rPr>
            <m:lit/>
          </m:rP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5</m:t>
            </m:r>
          </m:sup>
        </m:sSup>
        <m:r>
          <w:rPr>
            <w:rFonts w:ascii="Cambria Math" w:hAnsi="Cambria Math"/>
          </w:rPr>
          <m:t>=1</m:t>
        </m:r>
      </m:oMath>
      <w:r w:rsidR="008A0E2F" w:rsidRPr="00226EDB">
        <w:t>.</w:t>
      </w:r>
      <w:r w:rsidR="001A6165" w:rsidRPr="00226EDB">
        <w:t xml:space="preserve"> </w:t>
      </w:r>
    </w:p>
    <w:p w14:paraId="3A0067C2" w14:textId="4752FC97" w:rsidR="00D40C8F" w:rsidRPr="00226EDB" w:rsidRDefault="0024682B" w:rsidP="00E56C24">
      <w:r w:rsidRPr="00226EDB">
        <w:t xml:space="preserve">Despite </w:t>
      </w:r>
      <w:r w:rsidR="00827580" w:rsidRPr="00226EDB">
        <w:t xml:space="preserve">designing </w:t>
      </w:r>
      <w:r w:rsidR="00FD0C79" w:rsidRPr="00226EDB">
        <w:t>our</w:t>
      </w:r>
      <w:r w:rsidR="00827580" w:rsidRPr="00226EDB">
        <w:t xml:space="preserve"> test based on three </w:t>
      </w:r>
      <w:r w:rsidR="00E56C24">
        <w:t xml:space="preserve">didactic </w:t>
      </w:r>
      <w:r w:rsidR="00827580" w:rsidRPr="00226EDB">
        <w:t>approaches to teaching algebra, a one-factor model fit the data well</w:t>
      </w:r>
      <w:r w:rsidR="00E56C24">
        <w:t>. This is i</w:t>
      </w:r>
      <w:r w:rsidR="001F5251" w:rsidRPr="00226EDB">
        <w:t>n contradiction to</w:t>
      </w:r>
      <w:r w:rsidR="00890595" w:rsidRPr="00226EDB">
        <w:t xml:space="preserve"> </w:t>
      </w:r>
      <w:r w:rsidR="00D40C8F" w:rsidRPr="00226EDB">
        <w:t>Zhang</w:t>
      </w:r>
      <w:r w:rsidR="001F5251" w:rsidRPr="00226EDB">
        <w:t>’s</w:t>
      </w:r>
      <w:r w:rsidR="00890595" w:rsidRPr="00226EDB">
        <w:t xml:space="preserve"> (2018) multi-factor approach</w:t>
      </w:r>
      <w:r w:rsidR="00E56C24">
        <w:t xml:space="preserve"> to algebra</w:t>
      </w:r>
      <w:r w:rsidR="00890595" w:rsidRPr="00226EDB">
        <w:t xml:space="preserve">. </w:t>
      </w:r>
      <w:r w:rsidR="00B63AD6" w:rsidRPr="00226EDB">
        <w:t xml:space="preserve">To our knowledge, Blanton et al. (2019) did not conduct a dimensionality analysis. </w:t>
      </w:r>
      <w:r w:rsidR="001F5251" w:rsidRPr="00226EDB">
        <w:t xml:space="preserve">Further research on dimensionality of algebra knowledge </w:t>
      </w:r>
      <w:r w:rsidR="009F28C8" w:rsidRPr="00226EDB">
        <w:t xml:space="preserve">could explore </w:t>
      </w:r>
      <w:r w:rsidR="00AF4574" w:rsidRPr="00226EDB">
        <w:t xml:space="preserve">dimensionality in </w:t>
      </w:r>
      <w:r w:rsidR="00DC7914" w:rsidRPr="00226EDB">
        <w:t>different populations</w:t>
      </w:r>
      <w:r w:rsidR="00E56C24">
        <w:t>, with different conceptual frameworks,</w:t>
      </w:r>
      <w:r w:rsidR="00DC7914" w:rsidRPr="00226EDB">
        <w:t xml:space="preserve"> and based on exposures to different algebra curricula.</w:t>
      </w:r>
    </w:p>
    <w:p w14:paraId="12FC0411" w14:textId="40AA6E74" w:rsidR="00304D05" w:rsidRPr="00226EDB" w:rsidRDefault="00304D05" w:rsidP="00464E70">
      <w:pPr>
        <w:pStyle w:val="Rubrik2"/>
      </w:pPr>
      <w:r w:rsidRPr="00226EDB">
        <w:t>Conclusion</w:t>
      </w:r>
    </w:p>
    <w:p w14:paraId="64BD6A2D" w14:textId="77777777" w:rsidR="00794D6F" w:rsidRDefault="00794D6F" w:rsidP="00794D6F">
      <w:pPr>
        <w:pStyle w:val="Brdtext"/>
      </w:pPr>
      <w:r w:rsidRPr="00794D6F">
        <w:t xml:space="preserve">We have presented a 34-item algebra test that is closely aligned with the structural focus of Algebra Monday and validated its use as a group-level outcome measure for students in grade 8. The test shows good reliability, a unidimensional structure, and a reasonable spread of item difficulties, while potential construct-irrelevant influences from timing, reading load, and anomalous test-taking </w:t>
      </w:r>
      <w:r w:rsidRPr="00E56C24">
        <w:t>behaviors</w:t>
      </w:r>
      <w:r w:rsidRPr="00794D6F">
        <w:t xml:space="preserve"> appear limited. At the same time, our analyses highlight areas of algebra that are particularly challenging for students, such as rational expressions involving exponents and scaling by fractions.</w:t>
      </w:r>
    </w:p>
    <w:p w14:paraId="75535966" w14:textId="7BEA409B" w:rsidR="00794D6F" w:rsidRPr="00794D6F" w:rsidRDefault="00794D6F" w:rsidP="00794D6F">
      <w:r w:rsidRPr="00794D6F">
        <w:t>As Algebra Monday is implemented over a longer period, this test and subsequent IRT analyses will allow us to examine whether instruction with a strong emphasis on algebraic structure changes the relative difficulty of structurally related items, and how change in this type of algebra knowledge relates to performance on broader national assessments. Researchers or educators who wish to use this test should be mindful that dimensionality and difficulty levels may differ based on students’ prior algebra experience. More generally, we hope this study contributes to wider discussion about how researcher-designed tests for intervention studies are constructed and how the interpretation and use of such instruments can be systematically validated.</w:t>
      </w:r>
    </w:p>
    <w:p w14:paraId="0F0B0292" w14:textId="3D6F63C5" w:rsidR="00CE6A6A" w:rsidRPr="00226EDB" w:rsidRDefault="00464E70" w:rsidP="00794D6F">
      <w:pPr>
        <w:pStyle w:val="Rubrik3"/>
      </w:pPr>
      <w:r w:rsidRPr="00226EDB">
        <w:t>Acknowledgement</w:t>
      </w:r>
    </w:p>
    <w:p w14:paraId="093C734E" w14:textId="61A58A73" w:rsidR="00CE6A6A" w:rsidRPr="00226EDB" w:rsidRDefault="00464E70" w:rsidP="00CE6A6A">
      <w:pPr>
        <w:pStyle w:val="Endnote"/>
      </w:pPr>
      <w:r w:rsidRPr="00226EDB">
        <w:t xml:space="preserve">This paper is part of grants 2024-00048 at Skolforskningsinstutet and MAW 2024.0112 at Marcus and Amalia Wallenbergs stiftelse. </w:t>
      </w:r>
    </w:p>
    <w:p w14:paraId="6F203C91" w14:textId="040C9B47" w:rsidR="00CE6A6A" w:rsidRPr="00226EDB" w:rsidRDefault="00CE6A6A">
      <w:pPr>
        <w:pStyle w:val="Rubrik2"/>
      </w:pPr>
      <w:r w:rsidRPr="00226EDB">
        <w:t>References</w:t>
      </w:r>
    </w:p>
    <w:p w14:paraId="66639BC5" w14:textId="26C13D75" w:rsidR="00464E70" w:rsidRPr="00226EDB" w:rsidRDefault="00464E70" w:rsidP="005C34DA">
      <w:pPr>
        <w:pStyle w:val="References"/>
      </w:pPr>
      <w:r w:rsidRPr="00226EDB">
        <w:t>Baker, F. B. (2001).</w:t>
      </w:r>
      <w:r w:rsidR="00076041" w:rsidRPr="00226EDB">
        <w:t xml:space="preserve"> </w:t>
      </w:r>
      <w:r w:rsidRPr="00226EDB">
        <w:rPr>
          <w:i/>
          <w:iCs/>
        </w:rPr>
        <w:t>The basics of item response theory</w:t>
      </w:r>
      <w:r w:rsidRPr="00226EDB">
        <w:t xml:space="preserve"> (2nd ed).</w:t>
      </w:r>
      <w:r w:rsidR="00076041" w:rsidRPr="00226EDB">
        <w:t xml:space="preserve"> </w:t>
      </w:r>
      <w:r w:rsidRPr="00226EDB">
        <w:t>ERIC Clearinghouse on Assessment and Evaluation. </w:t>
      </w:r>
    </w:p>
    <w:p w14:paraId="165BC869" w14:textId="5E5F7E4E" w:rsidR="00464E70" w:rsidRPr="00226EDB" w:rsidRDefault="00464E70" w:rsidP="00464E70">
      <w:pPr>
        <w:pStyle w:val="References"/>
      </w:pPr>
      <w:r w:rsidRPr="00226EDB">
        <w:t>Blanton, M., Stephens, A., Knuth, E., Gardiner, A. M., Isler, I., &amp; Kim, J.</w:t>
      </w:r>
      <w:r w:rsidR="0070059C" w:rsidRPr="00226EDB">
        <w:t xml:space="preserve"> </w:t>
      </w:r>
      <w:r w:rsidRPr="00226EDB">
        <w:t>S. (2015).</w:t>
      </w:r>
      <w:r w:rsidR="00076041" w:rsidRPr="00226EDB">
        <w:t xml:space="preserve"> </w:t>
      </w:r>
      <w:r w:rsidRPr="00226EDB">
        <w:t xml:space="preserve">The development of </w:t>
      </w:r>
      <w:r w:rsidR="00076041" w:rsidRPr="00226EDB">
        <w:t>children's</w:t>
      </w:r>
      <w:r w:rsidRPr="00226EDB">
        <w:t xml:space="preserve"> algebraic thinking: The impact of a comprehensive early algebra </w:t>
      </w:r>
      <w:r w:rsidRPr="00226EDB">
        <w:lastRenderedPageBreak/>
        <w:t>intervention in third grade.</w:t>
      </w:r>
      <w:r w:rsidR="00076041" w:rsidRPr="00226EDB">
        <w:t xml:space="preserve"> </w:t>
      </w:r>
      <w:r w:rsidRPr="00226EDB">
        <w:rPr>
          <w:i/>
          <w:iCs/>
        </w:rPr>
        <w:t>Journal for Research in Mathematics Education</w:t>
      </w:r>
      <w:r w:rsidRPr="00226EDB">
        <w:t xml:space="preserve">, </w:t>
      </w:r>
      <w:r w:rsidRPr="00226EDB">
        <w:rPr>
          <w:i/>
          <w:iCs/>
        </w:rPr>
        <w:t>46</w:t>
      </w:r>
      <w:r w:rsidRPr="00226EDB">
        <w:t>(1), 39–87. </w:t>
      </w:r>
      <w:r w:rsidR="00065411" w:rsidRPr="00226EDB">
        <w:t>https://doi.org/10.5951/jresematheduc.46.1.0039</w:t>
      </w:r>
    </w:p>
    <w:p w14:paraId="5A241093" w14:textId="65896D11" w:rsidR="00464E70" w:rsidRPr="00226EDB" w:rsidRDefault="00464E70" w:rsidP="00464E70">
      <w:pPr>
        <w:pStyle w:val="References"/>
      </w:pPr>
      <w:r w:rsidRPr="00226EDB">
        <w:t>Blanton, M., Stroud, R., Stephens, A., Gardiner, A. M., Stylianou, D. A., Knuth, E., Isler-Baykal, I., &amp; Strachota, S. (2019).</w:t>
      </w:r>
      <w:r w:rsidR="00076041" w:rsidRPr="00226EDB">
        <w:t xml:space="preserve"> </w:t>
      </w:r>
      <w:r w:rsidRPr="00226EDB">
        <w:t xml:space="preserve">Does </w:t>
      </w:r>
      <w:r w:rsidR="0070059C" w:rsidRPr="00226EDB">
        <w:t>e</w:t>
      </w:r>
      <w:r w:rsidRPr="00226EDB">
        <w:t xml:space="preserve">arly </w:t>
      </w:r>
      <w:r w:rsidR="0070059C" w:rsidRPr="00226EDB">
        <w:t>a</w:t>
      </w:r>
      <w:r w:rsidRPr="00226EDB">
        <w:t xml:space="preserve">lgebra </w:t>
      </w:r>
      <w:r w:rsidR="0070059C" w:rsidRPr="00226EDB">
        <w:t>m</w:t>
      </w:r>
      <w:r w:rsidRPr="00226EDB">
        <w:t>atter?</w:t>
      </w:r>
      <w:r w:rsidR="00076041" w:rsidRPr="00226EDB">
        <w:t xml:space="preserve"> </w:t>
      </w:r>
      <w:r w:rsidRPr="00226EDB">
        <w:t xml:space="preserve">The </w:t>
      </w:r>
      <w:r w:rsidR="0070059C" w:rsidRPr="00226EDB">
        <w:t>e</w:t>
      </w:r>
      <w:r w:rsidRPr="00226EDB">
        <w:t xml:space="preserve">ffectiveness of an </w:t>
      </w:r>
      <w:r w:rsidR="0070059C" w:rsidRPr="00226EDB">
        <w:t>e</w:t>
      </w:r>
      <w:r w:rsidRPr="00226EDB">
        <w:t xml:space="preserve">arly </w:t>
      </w:r>
      <w:r w:rsidR="0070059C" w:rsidRPr="00226EDB">
        <w:t>a</w:t>
      </w:r>
      <w:r w:rsidRPr="00226EDB">
        <w:t xml:space="preserve">lgebra </w:t>
      </w:r>
      <w:r w:rsidR="0070059C" w:rsidRPr="00226EDB">
        <w:t>i</w:t>
      </w:r>
      <w:r w:rsidRPr="00226EDB">
        <w:t xml:space="preserve">ntervention in </w:t>
      </w:r>
      <w:r w:rsidR="0070059C" w:rsidRPr="00226EDB">
        <w:t>g</w:t>
      </w:r>
      <w:r w:rsidRPr="00226EDB">
        <w:t>rades 3 to 5.</w:t>
      </w:r>
      <w:r w:rsidR="00076041" w:rsidRPr="00226EDB">
        <w:t xml:space="preserve"> </w:t>
      </w:r>
      <w:r w:rsidRPr="00226EDB">
        <w:rPr>
          <w:i/>
          <w:iCs/>
        </w:rPr>
        <w:t>American Educational Research Journal</w:t>
      </w:r>
      <w:r w:rsidRPr="00226EDB">
        <w:t xml:space="preserve">, </w:t>
      </w:r>
      <w:r w:rsidRPr="00226EDB">
        <w:rPr>
          <w:i/>
          <w:iCs/>
        </w:rPr>
        <w:t>56</w:t>
      </w:r>
      <w:r w:rsidRPr="00226EDB">
        <w:t>(5), 1930–1972.</w:t>
      </w:r>
      <w:r w:rsidR="00076041" w:rsidRPr="00226EDB">
        <w:t xml:space="preserve"> </w:t>
      </w:r>
      <w:r w:rsidRPr="00226EDB">
        <w:t>https://doi.org/10.3102/0002831219832301</w:t>
      </w:r>
    </w:p>
    <w:p w14:paraId="7E6199FD" w14:textId="43EBA514" w:rsidR="00464E70" w:rsidRPr="00226EDB" w:rsidRDefault="005C34DA" w:rsidP="005C34DA">
      <w:pPr>
        <w:pStyle w:val="References"/>
      </w:pPr>
      <w:r w:rsidRPr="00226EDB">
        <w:t xml:space="preserve">Hackenberg, A. J., &amp; Sevinc, S. (2022). Middle school students’ construction of reciprocal reasoning with unknowns. </w:t>
      </w:r>
      <w:r w:rsidRPr="00226EDB">
        <w:rPr>
          <w:i/>
          <w:iCs/>
        </w:rPr>
        <w:t>The Journal of Mathematical Behavior</w:t>
      </w:r>
      <w:r w:rsidRPr="00226EDB">
        <w:t xml:space="preserve">, </w:t>
      </w:r>
      <w:r w:rsidRPr="00226EDB">
        <w:rPr>
          <w:i/>
          <w:iCs/>
        </w:rPr>
        <w:t>65</w:t>
      </w:r>
      <w:r w:rsidRPr="00226EDB">
        <w:t>, 100929. https://doi.org/10.1016/j.jmathb.2021.100929</w:t>
      </w:r>
    </w:p>
    <w:p w14:paraId="015D76A6" w14:textId="2FA126EA" w:rsidR="00464E70" w:rsidRPr="00226EDB" w:rsidRDefault="00464E70" w:rsidP="00464E70">
      <w:pPr>
        <w:pStyle w:val="References"/>
      </w:pPr>
      <w:r w:rsidRPr="00226EDB">
        <w:t>Helenius, O., &amp; Ahl, L. M. (2024).</w:t>
      </w:r>
      <w:r w:rsidR="00076041" w:rsidRPr="00226EDB">
        <w:t xml:space="preserve"> </w:t>
      </w:r>
      <w:r w:rsidRPr="00226EDB">
        <w:t>A framework for analyzing long-term early algebra progression in textbook series.</w:t>
      </w:r>
      <w:r w:rsidR="00076041" w:rsidRPr="00226EDB">
        <w:t xml:space="preserve"> </w:t>
      </w:r>
      <w:r w:rsidRPr="00226EDB">
        <w:t xml:space="preserve">In T. Evans, O. Marmur, J. Hunter, G. Leach, &amp; J. Jhagroo (Eds.), </w:t>
      </w:r>
      <w:r w:rsidRPr="00226EDB">
        <w:rPr>
          <w:i/>
          <w:iCs/>
        </w:rPr>
        <w:t>Proceedings of the 47th Conference of the International Group for the Psychology of Mathematics Education, Vol. 3</w:t>
      </w:r>
      <w:r w:rsidRPr="00226EDB">
        <w:t xml:space="preserve"> (pp. 9–16).</w:t>
      </w:r>
      <w:r w:rsidR="00076041" w:rsidRPr="00226EDB">
        <w:t xml:space="preserve"> </w:t>
      </w:r>
      <w:r w:rsidRPr="00226EDB">
        <w:t>IGPME. </w:t>
      </w:r>
    </w:p>
    <w:p w14:paraId="799D7BD1" w14:textId="311DA826" w:rsidR="00464E70" w:rsidRPr="00226EDB" w:rsidRDefault="00464E70" w:rsidP="00464E70">
      <w:pPr>
        <w:pStyle w:val="References"/>
      </w:pPr>
      <w:r w:rsidRPr="00226EDB">
        <w:t>Hilton, A., Hilton, G., Dole, S., &amp; Goos, M. (2013).</w:t>
      </w:r>
      <w:r w:rsidR="00076041" w:rsidRPr="00226EDB">
        <w:t xml:space="preserve"> </w:t>
      </w:r>
      <w:r w:rsidRPr="00226EDB">
        <w:t xml:space="preserve">Development and application of a two-tier diagnostic instrument to assess middle-years </w:t>
      </w:r>
      <w:r w:rsidR="00076041" w:rsidRPr="00226EDB">
        <w:t>students'</w:t>
      </w:r>
      <w:r w:rsidRPr="00226EDB">
        <w:t xml:space="preserve"> proportional reasoning.</w:t>
      </w:r>
      <w:r w:rsidR="00076041" w:rsidRPr="00226EDB">
        <w:t xml:space="preserve"> </w:t>
      </w:r>
      <w:r w:rsidRPr="00226EDB">
        <w:rPr>
          <w:i/>
          <w:iCs/>
        </w:rPr>
        <w:t>Mathematics Education Research Journal</w:t>
      </w:r>
      <w:r w:rsidRPr="00226EDB">
        <w:t xml:space="preserve">, </w:t>
      </w:r>
      <w:r w:rsidRPr="00226EDB">
        <w:rPr>
          <w:i/>
          <w:iCs/>
        </w:rPr>
        <w:t>25</w:t>
      </w:r>
      <w:r w:rsidRPr="00226EDB">
        <w:t>(4),</w:t>
      </w:r>
      <w:r w:rsidR="00B33194" w:rsidRPr="00226EDB">
        <w:t xml:space="preserve"> </w:t>
      </w:r>
      <w:r w:rsidRPr="00226EDB">
        <w:t>523–545.</w:t>
      </w:r>
      <w:r w:rsidR="00EE5D51" w:rsidRPr="00226EDB">
        <w:t xml:space="preserve"> https://doi.org/10.1007/s13394-013-0083-6</w:t>
      </w:r>
    </w:p>
    <w:p w14:paraId="1C85877B" w14:textId="5CB579D2" w:rsidR="00B33194" w:rsidRPr="00226EDB" w:rsidRDefault="00B33194" w:rsidP="00464E70">
      <w:pPr>
        <w:pStyle w:val="References"/>
      </w:pPr>
      <w:r w:rsidRPr="00226EDB">
        <w:t xml:space="preserve">Kane, M. (2013). The Argument-Based Approach to Validation. </w:t>
      </w:r>
      <w:r w:rsidRPr="00226EDB">
        <w:rPr>
          <w:i/>
          <w:iCs/>
        </w:rPr>
        <w:t>School Psychology Review</w:t>
      </w:r>
      <w:r w:rsidRPr="00226EDB">
        <w:t xml:space="preserve">, </w:t>
      </w:r>
      <w:r w:rsidRPr="00226EDB">
        <w:rPr>
          <w:i/>
          <w:iCs/>
        </w:rPr>
        <w:t>42</w:t>
      </w:r>
      <w:r w:rsidRPr="00226EDB">
        <w:t xml:space="preserve">(4), 448–457. </w:t>
      </w:r>
      <w:hyperlink r:id="rId13" w:history="1">
        <w:r w:rsidRPr="00226EDB">
          <w:t>https://doi.org/10.1080/02796015.2013.12087465</w:t>
        </w:r>
      </w:hyperlink>
    </w:p>
    <w:p w14:paraId="29A40600" w14:textId="6312771F" w:rsidR="00464E70" w:rsidRPr="00226EDB" w:rsidRDefault="00464E70" w:rsidP="00464E70">
      <w:pPr>
        <w:pStyle w:val="References"/>
      </w:pPr>
      <w:r w:rsidRPr="00226EDB">
        <w:t xml:space="preserve">Kaput, J. J. (2008). What </w:t>
      </w:r>
      <w:r w:rsidR="00F6241E" w:rsidRPr="00226EDB">
        <w:t>i</w:t>
      </w:r>
      <w:r w:rsidRPr="00226EDB">
        <w:t xml:space="preserve">s </w:t>
      </w:r>
      <w:r w:rsidR="00F6241E" w:rsidRPr="00226EDB">
        <w:t>a</w:t>
      </w:r>
      <w:r w:rsidRPr="00226EDB">
        <w:t>lgebra?</w:t>
      </w:r>
      <w:r w:rsidR="00076041" w:rsidRPr="00226EDB">
        <w:t xml:space="preserve"> </w:t>
      </w:r>
      <w:r w:rsidRPr="00226EDB">
        <w:t xml:space="preserve">What </w:t>
      </w:r>
      <w:r w:rsidR="00F6241E" w:rsidRPr="00226EDB">
        <w:t>i</w:t>
      </w:r>
      <w:r w:rsidRPr="00226EDB">
        <w:t xml:space="preserve">s </w:t>
      </w:r>
      <w:r w:rsidR="00F6241E" w:rsidRPr="00226EDB">
        <w:t>a</w:t>
      </w:r>
      <w:r w:rsidRPr="00226EDB">
        <w:t xml:space="preserve">lgebraic </w:t>
      </w:r>
      <w:r w:rsidR="00F6241E" w:rsidRPr="00226EDB">
        <w:t>r</w:t>
      </w:r>
      <w:r w:rsidRPr="00226EDB">
        <w:t>easoning?</w:t>
      </w:r>
      <w:r w:rsidR="00076041" w:rsidRPr="00226EDB">
        <w:t xml:space="preserve"> </w:t>
      </w:r>
      <w:r w:rsidRPr="00226EDB">
        <w:t xml:space="preserve">In J. J. Kaput, D. W. Carraher, &amp; M. L. Blanton (Eds.), </w:t>
      </w:r>
      <w:r w:rsidRPr="00226EDB">
        <w:rPr>
          <w:i/>
          <w:iCs/>
        </w:rPr>
        <w:t>Algebra in the early grades</w:t>
      </w:r>
      <w:r w:rsidRPr="00226EDB">
        <w:t xml:space="preserve"> (pp. 5–18).</w:t>
      </w:r>
      <w:r w:rsidR="00076041" w:rsidRPr="00226EDB">
        <w:t xml:space="preserve"> </w:t>
      </w:r>
      <w:r w:rsidRPr="00226EDB">
        <w:t>Lawrence Erlbaum Associate. </w:t>
      </w:r>
    </w:p>
    <w:p w14:paraId="148703CC" w14:textId="59C87466" w:rsidR="00464E70" w:rsidRPr="00226EDB" w:rsidRDefault="00464E70" w:rsidP="00464E70">
      <w:pPr>
        <w:pStyle w:val="References"/>
      </w:pPr>
      <w:r w:rsidRPr="00226EDB">
        <w:t>Kieran, C. (2004). Algebraic thinking in the early grades:</w:t>
      </w:r>
      <w:r w:rsidR="007672CB" w:rsidRPr="00226EDB">
        <w:t xml:space="preserve"> </w:t>
      </w:r>
      <w:r w:rsidRPr="00226EDB">
        <w:t>What is it</w:t>
      </w:r>
      <w:r w:rsidR="007672CB" w:rsidRPr="00226EDB">
        <w:t xml:space="preserve">? </w:t>
      </w:r>
      <w:r w:rsidRPr="00226EDB">
        <w:rPr>
          <w:i/>
          <w:iCs/>
        </w:rPr>
        <w:t>The Mathematics Educator</w:t>
      </w:r>
      <w:r w:rsidRPr="00226EDB">
        <w:t xml:space="preserve">, </w:t>
      </w:r>
      <w:r w:rsidRPr="00226EDB">
        <w:rPr>
          <w:i/>
          <w:iCs/>
        </w:rPr>
        <w:t>8</w:t>
      </w:r>
      <w:r w:rsidRPr="00226EDB">
        <w:t>(1), 139–151.</w:t>
      </w:r>
    </w:p>
    <w:p w14:paraId="1AA95BC3" w14:textId="7A26488A" w:rsidR="00464E70" w:rsidRPr="00226EDB" w:rsidRDefault="00464E70" w:rsidP="00F6241E">
      <w:pPr>
        <w:pStyle w:val="References"/>
      </w:pPr>
      <w:r w:rsidRPr="00226EDB">
        <w:t xml:space="preserve">Kieran, C. (2018a). Seeking, </w:t>
      </w:r>
      <w:r w:rsidR="00F6241E" w:rsidRPr="00226EDB">
        <w:t>u</w:t>
      </w:r>
      <w:r w:rsidRPr="00226EDB">
        <w:t xml:space="preserve">sing, and </w:t>
      </w:r>
      <w:r w:rsidR="00F6241E" w:rsidRPr="00226EDB">
        <w:t>e</w:t>
      </w:r>
      <w:r w:rsidRPr="00226EDB">
        <w:t xml:space="preserve">xpressing </w:t>
      </w:r>
      <w:r w:rsidR="00F6241E" w:rsidRPr="00226EDB">
        <w:t>s</w:t>
      </w:r>
      <w:r w:rsidRPr="00226EDB">
        <w:t xml:space="preserve">tructure in </w:t>
      </w:r>
      <w:r w:rsidR="00F6241E" w:rsidRPr="00226EDB">
        <w:t>n</w:t>
      </w:r>
      <w:r w:rsidRPr="00226EDB">
        <w:t xml:space="preserve">umbers and </w:t>
      </w:r>
      <w:r w:rsidR="00F6241E" w:rsidRPr="00226EDB">
        <w:t>n</w:t>
      </w:r>
      <w:r w:rsidRPr="00226EDB">
        <w:t xml:space="preserve">umerical </w:t>
      </w:r>
      <w:r w:rsidR="00F6241E" w:rsidRPr="00226EDB">
        <w:t xml:space="preserve">operations: A fundamental path to developing early algebraic thinking. </w:t>
      </w:r>
      <w:r w:rsidRPr="00226EDB">
        <w:t xml:space="preserve">In C. Kieran (Ed.), </w:t>
      </w:r>
      <w:r w:rsidRPr="00226EDB">
        <w:rPr>
          <w:i/>
          <w:iCs/>
        </w:rPr>
        <w:t>Teaching and Learning Algebraic Thinking with 5- to 12-Year-Olds</w:t>
      </w:r>
      <w:r w:rsidRPr="00226EDB">
        <w:t xml:space="preserve"> (pp. 79–105).</w:t>
      </w:r>
      <w:r w:rsidR="00076041" w:rsidRPr="00226EDB">
        <w:t xml:space="preserve"> </w:t>
      </w:r>
      <w:r w:rsidRPr="00226EDB">
        <w:t>Springer International Publishing.</w:t>
      </w:r>
      <w:r w:rsidR="00076041" w:rsidRPr="00226EDB">
        <w:t xml:space="preserve"> </w:t>
      </w:r>
      <w:r w:rsidRPr="00226EDB">
        <w:t>https://doi.org/10.1007/978-3-319-68351-5_4</w:t>
      </w:r>
    </w:p>
    <w:p w14:paraId="6E321996" w14:textId="29B9CE05" w:rsidR="00464E70" w:rsidRPr="00226EDB" w:rsidRDefault="00464E70" w:rsidP="00464E70">
      <w:pPr>
        <w:pStyle w:val="References"/>
      </w:pPr>
      <w:r w:rsidRPr="00226EDB">
        <w:t>Kieran, C. (Ed.). (2018b).</w:t>
      </w:r>
      <w:r w:rsidR="00076041" w:rsidRPr="00226EDB">
        <w:t xml:space="preserve"> </w:t>
      </w:r>
      <w:r w:rsidRPr="00226EDB">
        <w:rPr>
          <w:i/>
          <w:iCs/>
        </w:rPr>
        <w:t>Teaching and Learning Algebraic Thinking with 5- to 12-Year-Olds</w:t>
      </w:r>
      <w:r w:rsidRPr="00226EDB">
        <w:t>.</w:t>
      </w:r>
      <w:r w:rsidR="00076041" w:rsidRPr="00226EDB">
        <w:t xml:space="preserve"> </w:t>
      </w:r>
      <w:r w:rsidRPr="00226EDB">
        <w:t>Springer International Publishing.</w:t>
      </w:r>
      <w:r w:rsidR="00076041" w:rsidRPr="00226EDB">
        <w:t xml:space="preserve"> </w:t>
      </w:r>
      <w:r w:rsidRPr="00226EDB">
        <w:t>https://doi.org/10.1007/978-3-319-68351-5</w:t>
      </w:r>
    </w:p>
    <w:p w14:paraId="5F2BC84C" w14:textId="6BF0A413" w:rsidR="00464E70" w:rsidRPr="00226EDB" w:rsidRDefault="00464E70" w:rsidP="00464E70">
      <w:pPr>
        <w:pStyle w:val="References"/>
      </w:pPr>
      <w:r w:rsidRPr="00226EDB">
        <w:t xml:space="preserve">Niss, M., &amp; Jankvist, U. T. (2013). </w:t>
      </w:r>
      <w:r w:rsidRPr="00226EDB">
        <w:rPr>
          <w:i/>
          <w:iCs/>
        </w:rPr>
        <w:t>13 Spørgsmål fra Professoren (detektionstest 3). Materiale udleveret til matematikvejlederuddannelsen [13 Questions from the Professor (detection test 3). Material handed out at the maths counsellor programme]</w:t>
      </w:r>
      <w:r w:rsidRPr="00226EDB">
        <w:t>. </w:t>
      </w:r>
    </w:p>
    <w:p w14:paraId="2DAFFE1A" w14:textId="750363E5" w:rsidR="00464E70" w:rsidRPr="00226EDB" w:rsidRDefault="00464E70" w:rsidP="00464E70">
      <w:pPr>
        <w:pStyle w:val="References"/>
      </w:pPr>
      <w:r w:rsidRPr="00226EDB">
        <w:t>Opsal, H., &amp; Topphol, A. K. (2023). The problematic equal sign.</w:t>
      </w:r>
      <w:r w:rsidR="00076041" w:rsidRPr="00226EDB">
        <w:t xml:space="preserve"> </w:t>
      </w:r>
      <w:r w:rsidRPr="00226EDB">
        <w:rPr>
          <w:i/>
          <w:iCs/>
        </w:rPr>
        <w:t>NOMAD Nordic Studies in Mathematics Education</w:t>
      </w:r>
      <w:r w:rsidRPr="00226EDB">
        <w:t xml:space="preserve">, </w:t>
      </w:r>
      <w:r w:rsidRPr="00226EDB">
        <w:rPr>
          <w:i/>
          <w:iCs/>
        </w:rPr>
        <w:t>28</w:t>
      </w:r>
      <w:r w:rsidRPr="00226EDB">
        <w:t>(1–2).</w:t>
      </w:r>
      <w:r w:rsidR="00076041" w:rsidRPr="00226EDB">
        <w:t xml:space="preserve"> </w:t>
      </w:r>
      <w:r w:rsidRPr="00226EDB">
        <w:t>https://doi.org/10.7146/nomad.v28i1-2.149263</w:t>
      </w:r>
    </w:p>
    <w:p w14:paraId="39A0B132" w14:textId="7EAFEAD0" w:rsidR="00464E70" w:rsidRPr="00226EDB" w:rsidRDefault="00464E70" w:rsidP="00464E70">
      <w:pPr>
        <w:pStyle w:val="References"/>
      </w:pPr>
      <w:r w:rsidRPr="00226EDB">
        <w:t>Roesken-Winter, B., Stahnke, R., Prediger, S., &amp; Gasteiger, H. (2021). Towards a research base for implementation strategies addressing mathematics teachers and facilitators.</w:t>
      </w:r>
      <w:r w:rsidR="00076041" w:rsidRPr="00226EDB">
        <w:t xml:space="preserve"> </w:t>
      </w:r>
      <w:r w:rsidRPr="00226EDB">
        <w:rPr>
          <w:i/>
          <w:iCs/>
        </w:rPr>
        <w:t>ZDM – Mathematics Education</w:t>
      </w:r>
      <w:r w:rsidR="007672CB" w:rsidRPr="00226EDB">
        <w:t>,</w:t>
      </w:r>
      <w:r w:rsidR="007672CB" w:rsidRPr="00226EDB">
        <w:rPr>
          <w:i/>
          <w:iCs/>
          <w:sz w:val="26"/>
        </w:rPr>
        <w:t xml:space="preserve"> </w:t>
      </w:r>
      <w:r w:rsidR="007672CB" w:rsidRPr="00226EDB">
        <w:rPr>
          <w:i/>
          <w:iCs/>
        </w:rPr>
        <w:t>53</w:t>
      </w:r>
      <w:r w:rsidR="007672CB" w:rsidRPr="00226EDB">
        <w:t>(6), 1193–1206.</w:t>
      </w:r>
      <w:r w:rsidR="00076041" w:rsidRPr="00226EDB">
        <w:t xml:space="preserve"> </w:t>
      </w:r>
      <w:r w:rsidRPr="00226EDB">
        <w:t>https://doi.org/10.1007/s11858-021-01220-x </w:t>
      </w:r>
    </w:p>
    <w:p w14:paraId="64BAA18E" w14:textId="107D5726" w:rsidR="00464E70" w:rsidRPr="00226EDB" w:rsidRDefault="00464E70" w:rsidP="00464E70">
      <w:pPr>
        <w:pStyle w:val="References"/>
      </w:pPr>
      <w:r w:rsidRPr="00226EDB">
        <w:t>Stephens, A., Stroud, R., Strachota, S., Stylianou, D., Blanton, M., Knuth, E., &amp; Gardiner, A. (2021).</w:t>
      </w:r>
      <w:r w:rsidR="00076041" w:rsidRPr="00226EDB">
        <w:t xml:space="preserve"> </w:t>
      </w:r>
      <w:r w:rsidRPr="00226EDB">
        <w:t xml:space="preserve">What early algebra knowledge persists 1 year after an elementary </w:t>
      </w:r>
      <w:proofErr w:type="gramStart"/>
      <w:r w:rsidRPr="00226EDB">
        <w:t>grades</w:t>
      </w:r>
      <w:proofErr w:type="gramEnd"/>
      <w:r w:rsidRPr="00226EDB">
        <w:t xml:space="preserve"> intervention?</w:t>
      </w:r>
      <w:r w:rsidR="00076041" w:rsidRPr="00226EDB">
        <w:t xml:space="preserve"> </w:t>
      </w:r>
      <w:r w:rsidRPr="00226EDB">
        <w:rPr>
          <w:i/>
          <w:iCs/>
        </w:rPr>
        <w:t>Journal for Research in Mathematics Education</w:t>
      </w:r>
      <w:r w:rsidRPr="00226EDB">
        <w:t xml:space="preserve">, </w:t>
      </w:r>
      <w:r w:rsidRPr="00226EDB">
        <w:rPr>
          <w:i/>
          <w:iCs/>
        </w:rPr>
        <w:t>52</w:t>
      </w:r>
      <w:r w:rsidRPr="00226EDB">
        <w:t>(3), 332–348.</w:t>
      </w:r>
      <w:r w:rsidR="00EE5D51" w:rsidRPr="00226EDB">
        <w:t> https://doi.org/10.5951/jresematheduc-2020-0304</w:t>
      </w:r>
    </w:p>
    <w:p w14:paraId="4F0C429B" w14:textId="59778DC7" w:rsidR="009A0D5C" w:rsidRPr="00F6241E" w:rsidRDefault="00464E70" w:rsidP="00E56C24">
      <w:pPr>
        <w:pStyle w:val="References"/>
      </w:pPr>
      <w:r w:rsidRPr="00226EDB">
        <w:t>Zhang, Z. (2018).</w:t>
      </w:r>
      <w:r w:rsidR="00076041" w:rsidRPr="00226EDB">
        <w:t xml:space="preserve"> </w:t>
      </w:r>
      <w:r w:rsidR="00F6241E" w:rsidRPr="00226EDB">
        <w:t xml:space="preserve">Designing cognitively diagnostic assessment for algebraic content knowledge and thinking skills. </w:t>
      </w:r>
      <w:r w:rsidRPr="00226EDB">
        <w:rPr>
          <w:i/>
          <w:iCs/>
        </w:rPr>
        <w:t>International Education Studies</w:t>
      </w:r>
      <w:r w:rsidRPr="00226EDB">
        <w:t xml:space="preserve">, </w:t>
      </w:r>
      <w:r w:rsidRPr="00226EDB">
        <w:rPr>
          <w:i/>
          <w:iCs/>
        </w:rPr>
        <w:t>11</w:t>
      </w:r>
      <w:r w:rsidRPr="00226EDB">
        <w:t>(2), 106–117.</w:t>
      </w:r>
      <w:r w:rsidR="00EE5D51" w:rsidRPr="00226EDB">
        <w:t> https://doi.org/10.5539/ies.v11n2p106</w:t>
      </w:r>
    </w:p>
    <w:sectPr w:rsidR="009A0D5C" w:rsidRPr="00F6241E" w:rsidSect="000761F4">
      <w:headerReference w:type="default" r:id="rId14"/>
      <w:footerReference w:type="even" r:id="rId15"/>
      <w:footerReference w:type="default" r:id="rId16"/>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CE55" w14:textId="77777777" w:rsidR="00356DBE" w:rsidRPr="00226EDB" w:rsidRDefault="00356DBE">
      <w:pPr>
        <w:spacing w:line="240" w:lineRule="auto"/>
      </w:pPr>
      <w:r w:rsidRPr="00226EDB">
        <w:separator/>
      </w:r>
    </w:p>
  </w:endnote>
  <w:endnote w:type="continuationSeparator" w:id="0">
    <w:p w14:paraId="1A38D45D" w14:textId="77777777" w:rsidR="00356DBE" w:rsidRPr="00226EDB" w:rsidRDefault="00356DBE">
      <w:pPr>
        <w:spacing w:line="240" w:lineRule="auto"/>
      </w:pPr>
      <w:r w:rsidRPr="00226E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Pr="00226EDB" w:rsidRDefault="0075497C">
    <w:pPr>
      <w:pStyle w:val="Sidfot"/>
      <w:framePr w:wrap="around" w:vAnchor="text" w:hAnchor="margin" w:xAlign="center" w:y="1"/>
      <w:rPr>
        <w:rStyle w:val="Sidnummer"/>
      </w:rPr>
    </w:pPr>
    <w:r w:rsidRPr="00226EDB">
      <w:rPr>
        <w:rStyle w:val="Sidnummer"/>
      </w:rPr>
      <w:fldChar w:fldCharType="begin"/>
    </w:r>
    <w:r w:rsidRPr="00226EDB">
      <w:rPr>
        <w:rStyle w:val="Sidnummer"/>
      </w:rPr>
      <w:instrText xml:space="preserve">PAGE  </w:instrText>
    </w:r>
    <w:r w:rsidRPr="00226EDB">
      <w:rPr>
        <w:rStyle w:val="Sidnummer"/>
      </w:rPr>
      <w:fldChar w:fldCharType="end"/>
    </w:r>
  </w:p>
  <w:p w14:paraId="593848F4" w14:textId="77777777" w:rsidR="0075497C" w:rsidRPr="00226EDB"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Pr="00226EDB" w:rsidRDefault="0075497C">
    <w:pPr>
      <w:pStyle w:val="Sidfot"/>
      <w:framePr w:wrap="around" w:vAnchor="text" w:hAnchor="margin" w:xAlign="center" w:y="1"/>
      <w:rPr>
        <w:rStyle w:val="Sidnummer"/>
      </w:rPr>
    </w:pPr>
    <w:r w:rsidRPr="00226EDB">
      <w:rPr>
        <w:rStyle w:val="Sidnummer"/>
      </w:rPr>
      <w:fldChar w:fldCharType="begin"/>
    </w:r>
    <w:r w:rsidRPr="00226EDB">
      <w:rPr>
        <w:rStyle w:val="Sidnummer"/>
      </w:rPr>
      <w:instrText xml:space="preserve">PAGE  </w:instrText>
    </w:r>
    <w:r w:rsidRPr="00226EDB">
      <w:rPr>
        <w:rStyle w:val="Sidnummer"/>
      </w:rPr>
      <w:fldChar w:fldCharType="separate"/>
    </w:r>
    <w:r w:rsidR="00ED2199" w:rsidRPr="00226EDB">
      <w:rPr>
        <w:rStyle w:val="Sidnummer"/>
      </w:rPr>
      <w:t>1</w:t>
    </w:r>
    <w:r w:rsidRPr="00226EDB">
      <w:rPr>
        <w:rStyle w:val="Sidnummer"/>
      </w:rPr>
      <w:fldChar w:fldCharType="end"/>
    </w:r>
  </w:p>
  <w:p w14:paraId="21937EF6" w14:textId="77777777" w:rsidR="0075497C" w:rsidRPr="00226EDB"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FEBF" w14:textId="77777777" w:rsidR="00356DBE" w:rsidRPr="00226EDB" w:rsidRDefault="00356DBE">
      <w:pPr>
        <w:spacing w:line="240" w:lineRule="auto"/>
      </w:pPr>
      <w:r w:rsidRPr="00226EDB">
        <w:separator/>
      </w:r>
    </w:p>
  </w:footnote>
  <w:footnote w:type="continuationSeparator" w:id="0">
    <w:p w14:paraId="09C4644F" w14:textId="77777777" w:rsidR="00356DBE" w:rsidRPr="00226EDB" w:rsidRDefault="00356DBE">
      <w:pPr>
        <w:spacing w:line="240" w:lineRule="auto"/>
      </w:pPr>
      <w:r w:rsidRPr="00226EDB">
        <w:continuationSeparator/>
      </w:r>
    </w:p>
  </w:footnote>
  <w:footnote w:id="1">
    <w:p w14:paraId="2A422851" w14:textId="16E6C1D6" w:rsidR="004611BF" w:rsidRPr="00DA4CAC" w:rsidRDefault="004611BF">
      <w:pPr>
        <w:pStyle w:val="Fotnotstext"/>
      </w:pPr>
      <w:r w:rsidRPr="00226EDB">
        <w:rPr>
          <w:rStyle w:val="Fotnotsreferens"/>
        </w:rPr>
        <w:footnoteRef/>
      </w:r>
      <w:r w:rsidRPr="00226EDB">
        <w:t xml:space="preserve"> </w:t>
      </w:r>
      <w:r w:rsidR="00B00291" w:rsidRPr="00226EDB">
        <w:t>By email to ola.helenius@ncm.gu.se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Pr="00226EDB" w:rsidRDefault="00CE6A6A">
    <w:pPr>
      <w:framePr w:wrap="auto" w:vAnchor="text" w:hAnchor="margin" w:xAlign="right" w:y="1"/>
    </w:pPr>
  </w:p>
  <w:p w14:paraId="4AC39D26" w14:textId="77777777" w:rsidR="00CE6A6A" w:rsidRPr="00226EDB"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C0507"/>
    <w:multiLevelType w:val="hybridMultilevel"/>
    <w:tmpl w:val="1F9C1F3C"/>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2" w15:restartNumberingAfterBreak="0">
    <w:nsid w:val="210F79F8"/>
    <w:multiLevelType w:val="hybridMultilevel"/>
    <w:tmpl w:val="D0281A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FAA1943"/>
    <w:multiLevelType w:val="hybridMultilevel"/>
    <w:tmpl w:val="D0281A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BD30B0"/>
    <w:multiLevelType w:val="hybridMultilevel"/>
    <w:tmpl w:val="FA4005D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69F06951"/>
    <w:multiLevelType w:val="hybridMultilevel"/>
    <w:tmpl w:val="3ECED6E8"/>
    <w:lvl w:ilvl="0" w:tplc="041D000F">
      <w:start w:val="1"/>
      <w:numFmt w:val="decimal"/>
      <w:lvlText w:val="%1."/>
      <w:lvlJc w:val="left"/>
      <w:pPr>
        <w:ind w:left="1145" w:hanging="360"/>
      </w:pPr>
    </w:lvl>
    <w:lvl w:ilvl="1" w:tplc="041D0019" w:tentative="1">
      <w:start w:val="1"/>
      <w:numFmt w:val="lowerLetter"/>
      <w:lvlText w:val="%2."/>
      <w:lvlJc w:val="left"/>
      <w:pPr>
        <w:ind w:left="1865" w:hanging="360"/>
      </w:pPr>
    </w:lvl>
    <w:lvl w:ilvl="2" w:tplc="041D001B" w:tentative="1">
      <w:start w:val="1"/>
      <w:numFmt w:val="lowerRoman"/>
      <w:lvlText w:val="%3."/>
      <w:lvlJc w:val="right"/>
      <w:pPr>
        <w:ind w:left="2585" w:hanging="180"/>
      </w:pPr>
    </w:lvl>
    <w:lvl w:ilvl="3" w:tplc="041D000F" w:tentative="1">
      <w:start w:val="1"/>
      <w:numFmt w:val="decimal"/>
      <w:lvlText w:val="%4."/>
      <w:lvlJc w:val="left"/>
      <w:pPr>
        <w:ind w:left="3305" w:hanging="360"/>
      </w:pPr>
    </w:lvl>
    <w:lvl w:ilvl="4" w:tplc="041D0019" w:tentative="1">
      <w:start w:val="1"/>
      <w:numFmt w:val="lowerLetter"/>
      <w:lvlText w:val="%5."/>
      <w:lvlJc w:val="left"/>
      <w:pPr>
        <w:ind w:left="4025" w:hanging="360"/>
      </w:pPr>
    </w:lvl>
    <w:lvl w:ilvl="5" w:tplc="041D001B" w:tentative="1">
      <w:start w:val="1"/>
      <w:numFmt w:val="lowerRoman"/>
      <w:lvlText w:val="%6."/>
      <w:lvlJc w:val="right"/>
      <w:pPr>
        <w:ind w:left="4745" w:hanging="180"/>
      </w:pPr>
    </w:lvl>
    <w:lvl w:ilvl="6" w:tplc="041D000F" w:tentative="1">
      <w:start w:val="1"/>
      <w:numFmt w:val="decimal"/>
      <w:lvlText w:val="%7."/>
      <w:lvlJc w:val="left"/>
      <w:pPr>
        <w:ind w:left="5465" w:hanging="360"/>
      </w:pPr>
    </w:lvl>
    <w:lvl w:ilvl="7" w:tplc="041D0019" w:tentative="1">
      <w:start w:val="1"/>
      <w:numFmt w:val="lowerLetter"/>
      <w:lvlText w:val="%8."/>
      <w:lvlJc w:val="left"/>
      <w:pPr>
        <w:ind w:left="6185" w:hanging="360"/>
      </w:pPr>
    </w:lvl>
    <w:lvl w:ilvl="8" w:tplc="041D001B" w:tentative="1">
      <w:start w:val="1"/>
      <w:numFmt w:val="lowerRoman"/>
      <w:lvlText w:val="%9."/>
      <w:lvlJc w:val="right"/>
      <w:pPr>
        <w:ind w:left="6905" w:hanging="180"/>
      </w:pPr>
    </w:lvl>
  </w:abstractNum>
  <w:num w:numId="1" w16cid:durableId="911501581">
    <w:abstractNumId w:val="0"/>
  </w:num>
  <w:num w:numId="2" w16cid:durableId="1560087934">
    <w:abstractNumId w:val="4"/>
  </w:num>
  <w:num w:numId="3" w16cid:durableId="863059785">
    <w:abstractNumId w:val="2"/>
  </w:num>
  <w:num w:numId="4" w16cid:durableId="1690373216">
    <w:abstractNumId w:val="3"/>
  </w:num>
  <w:num w:numId="5" w16cid:durableId="1692342752">
    <w:abstractNumId w:val="5"/>
  </w:num>
  <w:num w:numId="6" w16cid:durableId="144712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01271"/>
    <w:rsid w:val="0000416C"/>
    <w:rsid w:val="00005F76"/>
    <w:rsid w:val="000070A0"/>
    <w:rsid w:val="000070C6"/>
    <w:rsid w:val="00007196"/>
    <w:rsid w:val="00007D4B"/>
    <w:rsid w:val="00007F3E"/>
    <w:rsid w:val="0001035C"/>
    <w:rsid w:val="000107DF"/>
    <w:rsid w:val="000144B9"/>
    <w:rsid w:val="00017E18"/>
    <w:rsid w:val="0002072B"/>
    <w:rsid w:val="000218BC"/>
    <w:rsid w:val="00021C8E"/>
    <w:rsid w:val="00022DB9"/>
    <w:rsid w:val="0002514C"/>
    <w:rsid w:val="00027886"/>
    <w:rsid w:val="00027BE3"/>
    <w:rsid w:val="00030A90"/>
    <w:rsid w:val="00030B20"/>
    <w:rsid w:val="0003134B"/>
    <w:rsid w:val="0003316F"/>
    <w:rsid w:val="00033DF7"/>
    <w:rsid w:val="00034F78"/>
    <w:rsid w:val="00035FB5"/>
    <w:rsid w:val="00037360"/>
    <w:rsid w:val="00037509"/>
    <w:rsid w:val="000400A3"/>
    <w:rsid w:val="0004091A"/>
    <w:rsid w:val="00041556"/>
    <w:rsid w:val="00050642"/>
    <w:rsid w:val="00050FA3"/>
    <w:rsid w:val="00051D04"/>
    <w:rsid w:val="00052D53"/>
    <w:rsid w:val="00053461"/>
    <w:rsid w:val="00062220"/>
    <w:rsid w:val="00062F29"/>
    <w:rsid w:val="00064A57"/>
    <w:rsid w:val="00065411"/>
    <w:rsid w:val="000655E7"/>
    <w:rsid w:val="00066715"/>
    <w:rsid w:val="000676D2"/>
    <w:rsid w:val="00067798"/>
    <w:rsid w:val="000677D4"/>
    <w:rsid w:val="000710F3"/>
    <w:rsid w:val="00072960"/>
    <w:rsid w:val="00075B3D"/>
    <w:rsid w:val="00076041"/>
    <w:rsid w:val="000761F4"/>
    <w:rsid w:val="000777E7"/>
    <w:rsid w:val="000810F9"/>
    <w:rsid w:val="00082613"/>
    <w:rsid w:val="00083DED"/>
    <w:rsid w:val="000842C9"/>
    <w:rsid w:val="00084739"/>
    <w:rsid w:val="00084B54"/>
    <w:rsid w:val="00086ADA"/>
    <w:rsid w:val="00086B80"/>
    <w:rsid w:val="000871B3"/>
    <w:rsid w:val="0008754B"/>
    <w:rsid w:val="000876ED"/>
    <w:rsid w:val="00090166"/>
    <w:rsid w:val="00093E23"/>
    <w:rsid w:val="00094784"/>
    <w:rsid w:val="00094E08"/>
    <w:rsid w:val="00096D0C"/>
    <w:rsid w:val="000A2057"/>
    <w:rsid w:val="000A2370"/>
    <w:rsid w:val="000A3A19"/>
    <w:rsid w:val="000A3DBD"/>
    <w:rsid w:val="000A4E76"/>
    <w:rsid w:val="000A6275"/>
    <w:rsid w:val="000B10D6"/>
    <w:rsid w:val="000B17FC"/>
    <w:rsid w:val="000B3C97"/>
    <w:rsid w:val="000B3D01"/>
    <w:rsid w:val="000B753A"/>
    <w:rsid w:val="000B7870"/>
    <w:rsid w:val="000C4125"/>
    <w:rsid w:val="000C7943"/>
    <w:rsid w:val="000D0F02"/>
    <w:rsid w:val="000D206B"/>
    <w:rsid w:val="000D2258"/>
    <w:rsid w:val="000D3B8C"/>
    <w:rsid w:val="000D7BFE"/>
    <w:rsid w:val="000E1019"/>
    <w:rsid w:val="000E10B1"/>
    <w:rsid w:val="000E1C4C"/>
    <w:rsid w:val="000E1F7D"/>
    <w:rsid w:val="000E2428"/>
    <w:rsid w:val="000E24CB"/>
    <w:rsid w:val="000F1350"/>
    <w:rsid w:val="000F280D"/>
    <w:rsid w:val="000F71B0"/>
    <w:rsid w:val="000F72B1"/>
    <w:rsid w:val="000F7629"/>
    <w:rsid w:val="000F78F8"/>
    <w:rsid w:val="000F7BC9"/>
    <w:rsid w:val="00100D26"/>
    <w:rsid w:val="0010101E"/>
    <w:rsid w:val="001019F7"/>
    <w:rsid w:val="00102209"/>
    <w:rsid w:val="00110791"/>
    <w:rsid w:val="00113A63"/>
    <w:rsid w:val="00114911"/>
    <w:rsid w:val="00114D98"/>
    <w:rsid w:val="001167A8"/>
    <w:rsid w:val="00117643"/>
    <w:rsid w:val="001202DA"/>
    <w:rsid w:val="00120DC1"/>
    <w:rsid w:val="00120E1E"/>
    <w:rsid w:val="00120FFB"/>
    <w:rsid w:val="001212C1"/>
    <w:rsid w:val="001215BF"/>
    <w:rsid w:val="00124D54"/>
    <w:rsid w:val="0012554F"/>
    <w:rsid w:val="0013192C"/>
    <w:rsid w:val="0013202A"/>
    <w:rsid w:val="001339EB"/>
    <w:rsid w:val="00133D82"/>
    <w:rsid w:val="00133F5F"/>
    <w:rsid w:val="00134A3B"/>
    <w:rsid w:val="00134D04"/>
    <w:rsid w:val="00136EF8"/>
    <w:rsid w:val="00137BAB"/>
    <w:rsid w:val="00140D70"/>
    <w:rsid w:val="001454C0"/>
    <w:rsid w:val="00147294"/>
    <w:rsid w:val="001512A9"/>
    <w:rsid w:val="00151542"/>
    <w:rsid w:val="001519D6"/>
    <w:rsid w:val="00151AA2"/>
    <w:rsid w:val="001541E3"/>
    <w:rsid w:val="00154C14"/>
    <w:rsid w:val="0015502B"/>
    <w:rsid w:val="00156ADC"/>
    <w:rsid w:val="00163D03"/>
    <w:rsid w:val="00164B10"/>
    <w:rsid w:val="00164F8D"/>
    <w:rsid w:val="001650DB"/>
    <w:rsid w:val="00167F4A"/>
    <w:rsid w:val="00176B7A"/>
    <w:rsid w:val="0017772A"/>
    <w:rsid w:val="0017775A"/>
    <w:rsid w:val="00180F20"/>
    <w:rsid w:val="00181CBF"/>
    <w:rsid w:val="001858A7"/>
    <w:rsid w:val="0018637F"/>
    <w:rsid w:val="00187D71"/>
    <w:rsid w:val="00187E6C"/>
    <w:rsid w:val="00194A6D"/>
    <w:rsid w:val="00196318"/>
    <w:rsid w:val="001A0D36"/>
    <w:rsid w:val="001A2C53"/>
    <w:rsid w:val="001A2CBC"/>
    <w:rsid w:val="001A3C73"/>
    <w:rsid w:val="001A3EDA"/>
    <w:rsid w:val="001A55FE"/>
    <w:rsid w:val="001A6165"/>
    <w:rsid w:val="001A6C26"/>
    <w:rsid w:val="001B0608"/>
    <w:rsid w:val="001B596A"/>
    <w:rsid w:val="001C196F"/>
    <w:rsid w:val="001C2207"/>
    <w:rsid w:val="001C3468"/>
    <w:rsid w:val="001C4EE4"/>
    <w:rsid w:val="001C67DB"/>
    <w:rsid w:val="001C7628"/>
    <w:rsid w:val="001D1BA6"/>
    <w:rsid w:val="001D1C9F"/>
    <w:rsid w:val="001D256B"/>
    <w:rsid w:val="001D317C"/>
    <w:rsid w:val="001D3D26"/>
    <w:rsid w:val="001D667B"/>
    <w:rsid w:val="001D74E1"/>
    <w:rsid w:val="001E0EF4"/>
    <w:rsid w:val="001E1B8C"/>
    <w:rsid w:val="001E3018"/>
    <w:rsid w:val="001E6604"/>
    <w:rsid w:val="001F2D83"/>
    <w:rsid w:val="001F47AF"/>
    <w:rsid w:val="001F4E3E"/>
    <w:rsid w:val="001F5251"/>
    <w:rsid w:val="00201AD1"/>
    <w:rsid w:val="00202D3A"/>
    <w:rsid w:val="00205724"/>
    <w:rsid w:val="00205D8C"/>
    <w:rsid w:val="002073C3"/>
    <w:rsid w:val="00214096"/>
    <w:rsid w:val="002142B2"/>
    <w:rsid w:val="002159FC"/>
    <w:rsid w:val="00215A23"/>
    <w:rsid w:val="002168E7"/>
    <w:rsid w:val="00217CEA"/>
    <w:rsid w:val="002204BD"/>
    <w:rsid w:val="002210BC"/>
    <w:rsid w:val="00221ADA"/>
    <w:rsid w:val="00222852"/>
    <w:rsid w:val="002267B4"/>
    <w:rsid w:val="0022686A"/>
    <w:rsid w:val="00226EDB"/>
    <w:rsid w:val="00227B34"/>
    <w:rsid w:val="00234C79"/>
    <w:rsid w:val="002355C3"/>
    <w:rsid w:val="0023C60A"/>
    <w:rsid w:val="002424AA"/>
    <w:rsid w:val="00242630"/>
    <w:rsid w:val="0024682B"/>
    <w:rsid w:val="002469C4"/>
    <w:rsid w:val="00250867"/>
    <w:rsid w:val="0025192A"/>
    <w:rsid w:val="00251FC4"/>
    <w:rsid w:val="002559A4"/>
    <w:rsid w:val="00256F34"/>
    <w:rsid w:val="002606A1"/>
    <w:rsid w:val="00267E17"/>
    <w:rsid w:val="00267E8A"/>
    <w:rsid w:val="002704AD"/>
    <w:rsid w:val="0027285C"/>
    <w:rsid w:val="00272DB1"/>
    <w:rsid w:val="002731A8"/>
    <w:rsid w:val="00274DD9"/>
    <w:rsid w:val="00276BD5"/>
    <w:rsid w:val="0028233B"/>
    <w:rsid w:val="002824CB"/>
    <w:rsid w:val="002827C8"/>
    <w:rsid w:val="002873A3"/>
    <w:rsid w:val="00287809"/>
    <w:rsid w:val="002935C6"/>
    <w:rsid w:val="0029626D"/>
    <w:rsid w:val="00297A98"/>
    <w:rsid w:val="002A026E"/>
    <w:rsid w:val="002A1AE1"/>
    <w:rsid w:val="002A252B"/>
    <w:rsid w:val="002A38E1"/>
    <w:rsid w:val="002A4450"/>
    <w:rsid w:val="002A6EA6"/>
    <w:rsid w:val="002A7552"/>
    <w:rsid w:val="002B05E7"/>
    <w:rsid w:val="002B14E4"/>
    <w:rsid w:val="002B179C"/>
    <w:rsid w:val="002B4C8F"/>
    <w:rsid w:val="002B6FFD"/>
    <w:rsid w:val="002B71A5"/>
    <w:rsid w:val="002C156C"/>
    <w:rsid w:val="002C15EE"/>
    <w:rsid w:val="002C65E6"/>
    <w:rsid w:val="002C6CD3"/>
    <w:rsid w:val="002C7125"/>
    <w:rsid w:val="002D397B"/>
    <w:rsid w:val="002D5A7F"/>
    <w:rsid w:val="002D5BE8"/>
    <w:rsid w:val="002D61AC"/>
    <w:rsid w:val="002E14E2"/>
    <w:rsid w:val="002E1591"/>
    <w:rsid w:val="002E2F37"/>
    <w:rsid w:val="002E4216"/>
    <w:rsid w:val="002E7897"/>
    <w:rsid w:val="002E7FF4"/>
    <w:rsid w:val="002F4123"/>
    <w:rsid w:val="002F58AF"/>
    <w:rsid w:val="002F7758"/>
    <w:rsid w:val="003002BF"/>
    <w:rsid w:val="003004C1"/>
    <w:rsid w:val="003009A2"/>
    <w:rsid w:val="00302A8B"/>
    <w:rsid w:val="00303440"/>
    <w:rsid w:val="00304D05"/>
    <w:rsid w:val="00313097"/>
    <w:rsid w:val="00324DFD"/>
    <w:rsid w:val="00325720"/>
    <w:rsid w:val="00326177"/>
    <w:rsid w:val="003267D1"/>
    <w:rsid w:val="00326E7F"/>
    <w:rsid w:val="0033093F"/>
    <w:rsid w:val="00330BEC"/>
    <w:rsid w:val="00332ED5"/>
    <w:rsid w:val="00335F2B"/>
    <w:rsid w:val="003367C6"/>
    <w:rsid w:val="003367CD"/>
    <w:rsid w:val="00340B3A"/>
    <w:rsid w:val="00340F1D"/>
    <w:rsid w:val="00341158"/>
    <w:rsid w:val="00341305"/>
    <w:rsid w:val="003415CB"/>
    <w:rsid w:val="003417E4"/>
    <w:rsid w:val="00344D97"/>
    <w:rsid w:val="0034699E"/>
    <w:rsid w:val="003508FB"/>
    <w:rsid w:val="0035218E"/>
    <w:rsid w:val="00353DED"/>
    <w:rsid w:val="00355D2C"/>
    <w:rsid w:val="00356DBE"/>
    <w:rsid w:val="0036163D"/>
    <w:rsid w:val="003619FB"/>
    <w:rsid w:val="00362634"/>
    <w:rsid w:val="00364894"/>
    <w:rsid w:val="0036565A"/>
    <w:rsid w:val="00366FD2"/>
    <w:rsid w:val="00367A6A"/>
    <w:rsid w:val="0037223C"/>
    <w:rsid w:val="003734F9"/>
    <w:rsid w:val="00373BE0"/>
    <w:rsid w:val="003749B7"/>
    <w:rsid w:val="0037540C"/>
    <w:rsid w:val="00375774"/>
    <w:rsid w:val="00376174"/>
    <w:rsid w:val="00380AB5"/>
    <w:rsid w:val="00381F1A"/>
    <w:rsid w:val="00382457"/>
    <w:rsid w:val="00385C43"/>
    <w:rsid w:val="0038660F"/>
    <w:rsid w:val="00387E9E"/>
    <w:rsid w:val="00387F91"/>
    <w:rsid w:val="00390E33"/>
    <w:rsid w:val="003949F5"/>
    <w:rsid w:val="00396F92"/>
    <w:rsid w:val="003A1EB7"/>
    <w:rsid w:val="003A1FE2"/>
    <w:rsid w:val="003A40EC"/>
    <w:rsid w:val="003A5AF1"/>
    <w:rsid w:val="003A6170"/>
    <w:rsid w:val="003A7447"/>
    <w:rsid w:val="003B1368"/>
    <w:rsid w:val="003B2370"/>
    <w:rsid w:val="003B2647"/>
    <w:rsid w:val="003B266B"/>
    <w:rsid w:val="003B28B6"/>
    <w:rsid w:val="003B29C9"/>
    <w:rsid w:val="003B66F7"/>
    <w:rsid w:val="003C4467"/>
    <w:rsid w:val="003C4562"/>
    <w:rsid w:val="003C623D"/>
    <w:rsid w:val="003C7C6F"/>
    <w:rsid w:val="003D06B2"/>
    <w:rsid w:val="003D0730"/>
    <w:rsid w:val="003D24E2"/>
    <w:rsid w:val="003D3976"/>
    <w:rsid w:val="003D44A6"/>
    <w:rsid w:val="003D4644"/>
    <w:rsid w:val="003D6211"/>
    <w:rsid w:val="003D7705"/>
    <w:rsid w:val="003E0B46"/>
    <w:rsid w:val="003E2072"/>
    <w:rsid w:val="003E25FB"/>
    <w:rsid w:val="003E38A8"/>
    <w:rsid w:val="003E5818"/>
    <w:rsid w:val="003E6366"/>
    <w:rsid w:val="003E63DF"/>
    <w:rsid w:val="003F186E"/>
    <w:rsid w:val="003F229B"/>
    <w:rsid w:val="003F3C64"/>
    <w:rsid w:val="0040028F"/>
    <w:rsid w:val="004013FE"/>
    <w:rsid w:val="00401A36"/>
    <w:rsid w:val="00403336"/>
    <w:rsid w:val="004034DD"/>
    <w:rsid w:val="00403D3F"/>
    <w:rsid w:val="004042D5"/>
    <w:rsid w:val="00404E7E"/>
    <w:rsid w:val="00406F48"/>
    <w:rsid w:val="004078F2"/>
    <w:rsid w:val="00407B15"/>
    <w:rsid w:val="00412083"/>
    <w:rsid w:val="004126B7"/>
    <w:rsid w:val="00415482"/>
    <w:rsid w:val="00415C66"/>
    <w:rsid w:val="00416758"/>
    <w:rsid w:val="0041785F"/>
    <w:rsid w:val="00417B10"/>
    <w:rsid w:val="00420297"/>
    <w:rsid w:val="00420510"/>
    <w:rsid w:val="00423316"/>
    <w:rsid w:val="00423E45"/>
    <w:rsid w:val="00426083"/>
    <w:rsid w:val="00427F7E"/>
    <w:rsid w:val="004324C2"/>
    <w:rsid w:val="004325B4"/>
    <w:rsid w:val="00432CC1"/>
    <w:rsid w:val="004336DF"/>
    <w:rsid w:val="00434181"/>
    <w:rsid w:val="00440832"/>
    <w:rsid w:val="00441B1D"/>
    <w:rsid w:val="004449C7"/>
    <w:rsid w:val="00444A1F"/>
    <w:rsid w:val="004459A0"/>
    <w:rsid w:val="00450C1F"/>
    <w:rsid w:val="0045165F"/>
    <w:rsid w:val="00451CA7"/>
    <w:rsid w:val="00451D25"/>
    <w:rsid w:val="0045267E"/>
    <w:rsid w:val="0045290B"/>
    <w:rsid w:val="00454DC6"/>
    <w:rsid w:val="00456587"/>
    <w:rsid w:val="00457573"/>
    <w:rsid w:val="0045768D"/>
    <w:rsid w:val="004611BF"/>
    <w:rsid w:val="00461D61"/>
    <w:rsid w:val="00462347"/>
    <w:rsid w:val="00464E70"/>
    <w:rsid w:val="00466B74"/>
    <w:rsid w:val="004674CC"/>
    <w:rsid w:val="00470DEB"/>
    <w:rsid w:val="00474750"/>
    <w:rsid w:val="00475BAE"/>
    <w:rsid w:val="00475C24"/>
    <w:rsid w:val="0047653B"/>
    <w:rsid w:val="00481799"/>
    <w:rsid w:val="0048226E"/>
    <w:rsid w:val="004827D3"/>
    <w:rsid w:val="00482BC1"/>
    <w:rsid w:val="00482E7D"/>
    <w:rsid w:val="004855E2"/>
    <w:rsid w:val="004858BA"/>
    <w:rsid w:val="00491688"/>
    <w:rsid w:val="00491D57"/>
    <w:rsid w:val="004920D9"/>
    <w:rsid w:val="00492389"/>
    <w:rsid w:val="004938BD"/>
    <w:rsid w:val="004939B9"/>
    <w:rsid w:val="00494895"/>
    <w:rsid w:val="004948D7"/>
    <w:rsid w:val="004A0F80"/>
    <w:rsid w:val="004A1E74"/>
    <w:rsid w:val="004A2FE0"/>
    <w:rsid w:val="004A3A2D"/>
    <w:rsid w:val="004A3CAB"/>
    <w:rsid w:val="004A3D7F"/>
    <w:rsid w:val="004B06C6"/>
    <w:rsid w:val="004B26C6"/>
    <w:rsid w:val="004B2877"/>
    <w:rsid w:val="004B2C94"/>
    <w:rsid w:val="004B4F9F"/>
    <w:rsid w:val="004C03C6"/>
    <w:rsid w:val="004C384F"/>
    <w:rsid w:val="004C5B37"/>
    <w:rsid w:val="004C6E28"/>
    <w:rsid w:val="004C7691"/>
    <w:rsid w:val="004C7E4B"/>
    <w:rsid w:val="004C7E8F"/>
    <w:rsid w:val="004D1FDF"/>
    <w:rsid w:val="004D2374"/>
    <w:rsid w:val="004D2C51"/>
    <w:rsid w:val="004D3F36"/>
    <w:rsid w:val="004D4D6C"/>
    <w:rsid w:val="004D4E0A"/>
    <w:rsid w:val="004D51AC"/>
    <w:rsid w:val="004E0670"/>
    <w:rsid w:val="004E2ADD"/>
    <w:rsid w:val="004E3396"/>
    <w:rsid w:val="004E37FD"/>
    <w:rsid w:val="004E6BFD"/>
    <w:rsid w:val="005006DF"/>
    <w:rsid w:val="005010CF"/>
    <w:rsid w:val="00503AAF"/>
    <w:rsid w:val="00503AEC"/>
    <w:rsid w:val="00505A8C"/>
    <w:rsid w:val="00506280"/>
    <w:rsid w:val="00506DB1"/>
    <w:rsid w:val="00507C69"/>
    <w:rsid w:val="00510994"/>
    <w:rsid w:val="00510D3E"/>
    <w:rsid w:val="00511DB8"/>
    <w:rsid w:val="00521C56"/>
    <w:rsid w:val="005221AF"/>
    <w:rsid w:val="0052295B"/>
    <w:rsid w:val="00524045"/>
    <w:rsid w:val="005257B1"/>
    <w:rsid w:val="005308E4"/>
    <w:rsid w:val="00530B12"/>
    <w:rsid w:val="005338CF"/>
    <w:rsid w:val="0053579D"/>
    <w:rsid w:val="00535E0D"/>
    <w:rsid w:val="005368DB"/>
    <w:rsid w:val="00537440"/>
    <w:rsid w:val="00540207"/>
    <w:rsid w:val="0054482E"/>
    <w:rsid w:val="00544AF6"/>
    <w:rsid w:val="00544FDF"/>
    <w:rsid w:val="0054799F"/>
    <w:rsid w:val="005529DB"/>
    <w:rsid w:val="00552EF2"/>
    <w:rsid w:val="00553648"/>
    <w:rsid w:val="00555C1A"/>
    <w:rsid w:val="005562B9"/>
    <w:rsid w:val="005567AC"/>
    <w:rsid w:val="005628C8"/>
    <w:rsid w:val="00562E6E"/>
    <w:rsid w:val="00564228"/>
    <w:rsid w:val="00564296"/>
    <w:rsid w:val="00566726"/>
    <w:rsid w:val="00567E52"/>
    <w:rsid w:val="005710F8"/>
    <w:rsid w:val="00571355"/>
    <w:rsid w:val="0058250F"/>
    <w:rsid w:val="00582EA8"/>
    <w:rsid w:val="005900DD"/>
    <w:rsid w:val="0059203D"/>
    <w:rsid w:val="0059652F"/>
    <w:rsid w:val="005973D0"/>
    <w:rsid w:val="00597E32"/>
    <w:rsid w:val="00597F0B"/>
    <w:rsid w:val="005A1F5E"/>
    <w:rsid w:val="005A363B"/>
    <w:rsid w:val="005B2F93"/>
    <w:rsid w:val="005B3142"/>
    <w:rsid w:val="005B3B4E"/>
    <w:rsid w:val="005C30F1"/>
    <w:rsid w:val="005C34DA"/>
    <w:rsid w:val="005C63DC"/>
    <w:rsid w:val="005C734F"/>
    <w:rsid w:val="005D029E"/>
    <w:rsid w:val="005D038A"/>
    <w:rsid w:val="005D06F3"/>
    <w:rsid w:val="005D4359"/>
    <w:rsid w:val="005D4672"/>
    <w:rsid w:val="005D5E22"/>
    <w:rsid w:val="005D7C8B"/>
    <w:rsid w:val="005E0417"/>
    <w:rsid w:val="005E15FF"/>
    <w:rsid w:val="005E3333"/>
    <w:rsid w:val="005E3911"/>
    <w:rsid w:val="005E4B45"/>
    <w:rsid w:val="005E6FAF"/>
    <w:rsid w:val="005E72F3"/>
    <w:rsid w:val="005E7491"/>
    <w:rsid w:val="005F1607"/>
    <w:rsid w:val="005F26AD"/>
    <w:rsid w:val="005F3101"/>
    <w:rsid w:val="005F41CC"/>
    <w:rsid w:val="005F47BE"/>
    <w:rsid w:val="005F4A4F"/>
    <w:rsid w:val="005F5463"/>
    <w:rsid w:val="005F701B"/>
    <w:rsid w:val="005F779E"/>
    <w:rsid w:val="00600DAE"/>
    <w:rsid w:val="00601412"/>
    <w:rsid w:val="00602FB5"/>
    <w:rsid w:val="00610C78"/>
    <w:rsid w:val="00611820"/>
    <w:rsid w:val="00612EA9"/>
    <w:rsid w:val="006134EA"/>
    <w:rsid w:val="00614095"/>
    <w:rsid w:val="0061604B"/>
    <w:rsid w:val="00620359"/>
    <w:rsid w:val="00620FAF"/>
    <w:rsid w:val="0062262F"/>
    <w:rsid w:val="0062309E"/>
    <w:rsid w:val="006237F5"/>
    <w:rsid w:val="00623CE7"/>
    <w:rsid w:val="0062747A"/>
    <w:rsid w:val="00633150"/>
    <w:rsid w:val="0063364B"/>
    <w:rsid w:val="00635802"/>
    <w:rsid w:val="00641D1E"/>
    <w:rsid w:val="00646EA4"/>
    <w:rsid w:val="006471AE"/>
    <w:rsid w:val="0065104B"/>
    <w:rsid w:val="006532A8"/>
    <w:rsid w:val="00655707"/>
    <w:rsid w:val="00661257"/>
    <w:rsid w:val="00662551"/>
    <w:rsid w:val="00662858"/>
    <w:rsid w:val="0066624B"/>
    <w:rsid w:val="00667B49"/>
    <w:rsid w:val="006705A4"/>
    <w:rsid w:val="006715CA"/>
    <w:rsid w:val="00671D59"/>
    <w:rsid w:val="00672055"/>
    <w:rsid w:val="00672077"/>
    <w:rsid w:val="0067389B"/>
    <w:rsid w:val="006751FC"/>
    <w:rsid w:val="006801D1"/>
    <w:rsid w:val="00682307"/>
    <w:rsid w:val="006831AC"/>
    <w:rsid w:val="0068363E"/>
    <w:rsid w:val="00687A38"/>
    <w:rsid w:val="006930CB"/>
    <w:rsid w:val="00694632"/>
    <w:rsid w:val="006962D5"/>
    <w:rsid w:val="00696737"/>
    <w:rsid w:val="00696AC2"/>
    <w:rsid w:val="00696E76"/>
    <w:rsid w:val="006A16EC"/>
    <w:rsid w:val="006A1D8E"/>
    <w:rsid w:val="006A4397"/>
    <w:rsid w:val="006A5203"/>
    <w:rsid w:val="006A6F6C"/>
    <w:rsid w:val="006B05DE"/>
    <w:rsid w:val="006B0ECC"/>
    <w:rsid w:val="006B10E8"/>
    <w:rsid w:val="006B1BA0"/>
    <w:rsid w:val="006B2EE5"/>
    <w:rsid w:val="006B349F"/>
    <w:rsid w:val="006B34D7"/>
    <w:rsid w:val="006B5B4D"/>
    <w:rsid w:val="006C15CB"/>
    <w:rsid w:val="006C1BC6"/>
    <w:rsid w:val="006C423F"/>
    <w:rsid w:val="006C43E5"/>
    <w:rsid w:val="006C4A73"/>
    <w:rsid w:val="006C554F"/>
    <w:rsid w:val="006D3D77"/>
    <w:rsid w:val="006D463A"/>
    <w:rsid w:val="006D4EB1"/>
    <w:rsid w:val="006D53AC"/>
    <w:rsid w:val="006D651F"/>
    <w:rsid w:val="006D7FE0"/>
    <w:rsid w:val="006E28F2"/>
    <w:rsid w:val="006E5C6B"/>
    <w:rsid w:val="006E5CA1"/>
    <w:rsid w:val="006E609E"/>
    <w:rsid w:val="006F1AFD"/>
    <w:rsid w:val="006F1B06"/>
    <w:rsid w:val="006F4450"/>
    <w:rsid w:val="006F5239"/>
    <w:rsid w:val="006F7383"/>
    <w:rsid w:val="0070059C"/>
    <w:rsid w:val="00700BB1"/>
    <w:rsid w:val="00701657"/>
    <w:rsid w:val="007034C8"/>
    <w:rsid w:val="00703939"/>
    <w:rsid w:val="007041B7"/>
    <w:rsid w:val="00704297"/>
    <w:rsid w:val="00706D9D"/>
    <w:rsid w:val="00707895"/>
    <w:rsid w:val="0071180B"/>
    <w:rsid w:val="00711BF0"/>
    <w:rsid w:val="00712503"/>
    <w:rsid w:val="007139C1"/>
    <w:rsid w:val="00714112"/>
    <w:rsid w:val="007146EB"/>
    <w:rsid w:val="00717449"/>
    <w:rsid w:val="007223FC"/>
    <w:rsid w:val="00724A2D"/>
    <w:rsid w:val="00724BA1"/>
    <w:rsid w:val="00726325"/>
    <w:rsid w:val="007274B3"/>
    <w:rsid w:val="00727B78"/>
    <w:rsid w:val="00730E16"/>
    <w:rsid w:val="0073186A"/>
    <w:rsid w:val="007359CF"/>
    <w:rsid w:val="00737591"/>
    <w:rsid w:val="00737C28"/>
    <w:rsid w:val="00737D4B"/>
    <w:rsid w:val="007424B2"/>
    <w:rsid w:val="00742EB0"/>
    <w:rsid w:val="0074377C"/>
    <w:rsid w:val="00743957"/>
    <w:rsid w:val="00743DDD"/>
    <w:rsid w:val="00744655"/>
    <w:rsid w:val="007447EC"/>
    <w:rsid w:val="00746BB2"/>
    <w:rsid w:val="007502BB"/>
    <w:rsid w:val="00750B05"/>
    <w:rsid w:val="00751E6B"/>
    <w:rsid w:val="0075497C"/>
    <w:rsid w:val="00755044"/>
    <w:rsid w:val="0075554D"/>
    <w:rsid w:val="00756A01"/>
    <w:rsid w:val="00756EE2"/>
    <w:rsid w:val="00757C67"/>
    <w:rsid w:val="00757DDD"/>
    <w:rsid w:val="007629B5"/>
    <w:rsid w:val="00764751"/>
    <w:rsid w:val="00764A5F"/>
    <w:rsid w:val="00764D1B"/>
    <w:rsid w:val="00767280"/>
    <w:rsid w:val="007672CB"/>
    <w:rsid w:val="00770956"/>
    <w:rsid w:val="0077319F"/>
    <w:rsid w:val="00781365"/>
    <w:rsid w:val="0078199F"/>
    <w:rsid w:val="00786A89"/>
    <w:rsid w:val="0078799E"/>
    <w:rsid w:val="00792597"/>
    <w:rsid w:val="00792F26"/>
    <w:rsid w:val="0079374F"/>
    <w:rsid w:val="00793773"/>
    <w:rsid w:val="00793ADE"/>
    <w:rsid w:val="00794D6F"/>
    <w:rsid w:val="007971E0"/>
    <w:rsid w:val="007A0D1C"/>
    <w:rsid w:val="007A7438"/>
    <w:rsid w:val="007A78B8"/>
    <w:rsid w:val="007B2761"/>
    <w:rsid w:val="007B2C43"/>
    <w:rsid w:val="007B4B63"/>
    <w:rsid w:val="007C0AFF"/>
    <w:rsid w:val="007C3153"/>
    <w:rsid w:val="007C331A"/>
    <w:rsid w:val="007C4F87"/>
    <w:rsid w:val="007C58A5"/>
    <w:rsid w:val="007C7147"/>
    <w:rsid w:val="007D0A23"/>
    <w:rsid w:val="007D12C1"/>
    <w:rsid w:val="007D3BB2"/>
    <w:rsid w:val="007D4696"/>
    <w:rsid w:val="007D6093"/>
    <w:rsid w:val="007D6981"/>
    <w:rsid w:val="007E12DD"/>
    <w:rsid w:val="007E261C"/>
    <w:rsid w:val="007E2FF3"/>
    <w:rsid w:val="007E310F"/>
    <w:rsid w:val="007E3F7B"/>
    <w:rsid w:val="007E41A3"/>
    <w:rsid w:val="007E465C"/>
    <w:rsid w:val="007E4E50"/>
    <w:rsid w:val="007E69A4"/>
    <w:rsid w:val="007F01DC"/>
    <w:rsid w:val="007F0BBB"/>
    <w:rsid w:val="007F2DFC"/>
    <w:rsid w:val="007F3849"/>
    <w:rsid w:val="007F4B21"/>
    <w:rsid w:val="007F73B8"/>
    <w:rsid w:val="007F7BC6"/>
    <w:rsid w:val="00800866"/>
    <w:rsid w:val="00802A5A"/>
    <w:rsid w:val="00813538"/>
    <w:rsid w:val="00814E07"/>
    <w:rsid w:val="00817D00"/>
    <w:rsid w:val="00824177"/>
    <w:rsid w:val="0082548C"/>
    <w:rsid w:val="00825FDD"/>
    <w:rsid w:val="00827580"/>
    <w:rsid w:val="0082791C"/>
    <w:rsid w:val="008301C1"/>
    <w:rsid w:val="00830828"/>
    <w:rsid w:val="008313C5"/>
    <w:rsid w:val="0083287F"/>
    <w:rsid w:val="00832DDC"/>
    <w:rsid w:val="00835F82"/>
    <w:rsid w:val="00841155"/>
    <w:rsid w:val="00842F58"/>
    <w:rsid w:val="008451FE"/>
    <w:rsid w:val="008455EE"/>
    <w:rsid w:val="00846A4F"/>
    <w:rsid w:val="00846D47"/>
    <w:rsid w:val="008508B6"/>
    <w:rsid w:val="00850968"/>
    <w:rsid w:val="00851C2A"/>
    <w:rsid w:val="0085201E"/>
    <w:rsid w:val="00855291"/>
    <w:rsid w:val="0085691D"/>
    <w:rsid w:val="008571EA"/>
    <w:rsid w:val="00863DA9"/>
    <w:rsid w:val="008664D8"/>
    <w:rsid w:val="008676D3"/>
    <w:rsid w:val="00870176"/>
    <w:rsid w:val="008718BC"/>
    <w:rsid w:val="0087290D"/>
    <w:rsid w:val="00872FEA"/>
    <w:rsid w:val="008735F7"/>
    <w:rsid w:val="00877AC1"/>
    <w:rsid w:val="008804B1"/>
    <w:rsid w:val="00882B1B"/>
    <w:rsid w:val="008852B5"/>
    <w:rsid w:val="00887096"/>
    <w:rsid w:val="00890595"/>
    <w:rsid w:val="00893CDB"/>
    <w:rsid w:val="008958CF"/>
    <w:rsid w:val="00895A56"/>
    <w:rsid w:val="008A0E2F"/>
    <w:rsid w:val="008A2DB6"/>
    <w:rsid w:val="008B0EAE"/>
    <w:rsid w:val="008B347F"/>
    <w:rsid w:val="008B6D0D"/>
    <w:rsid w:val="008B748E"/>
    <w:rsid w:val="008C182B"/>
    <w:rsid w:val="008C18C5"/>
    <w:rsid w:val="008C1BCC"/>
    <w:rsid w:val="008C2613"/>
    <w:rsid w:val="008C3A7D"/>
    <w:rsid w:val="008C3D16"/>
    <w:rsid w:val="008C4C60"/>
    <w:rsid w:val="008C5C82"/>
    <w:rsid w:val="008D0242"/>
    <w:rsid w:val="008D13EE"/>
    <w:rsid w:val="008D1FCE"/>
    <w:rsid w:val="008D2CA9"/>
    <w:rsid w:val="008D3DE6"/>
    <w:rsid w:val="008D4B93"/>
    <w:rsid w:val="008D7DF6"/>
    <w:rsid w:val="008D7F4B"/>
    <w:rsid w:val="008E303B"/>
    <w:rsid w:val="008E4102"/>
    <w:rsid w:val="008E446A"/>
    <w:rsid w:val="008E4790"/>
    <w:rsid w:val="008F0D30"/>
    <w:rsid w:val="008F1EB1"/>
    <w:rsid w:val="008F28BA"/>
    <w:rsid w:val="008F2BAD"/>
    <w:rsid w:val="008F3BB5"/>
    <w:rsid w:val="008F3D05"/>
    <w:rsid w:val="008F5D20"/>
    <w:rsid w:val="00901D77"/>
    <w:rsid w:val="00902ED9"/>
    <w:rsid w:val="00903335"/>
    <w:rsid w:val="00903866"/>
    <w:rsid w:val="00905451"/>
    <w:rsid w:val="0090573D"/>
    <w:rsid w:val="00907FC4"/>
    <w:rsid w:val="00907FEE"/>
    <w:rsid w:val="0091343C"/>
    <w:rsid w:val="009152A0"/>
    <w:rsid w:val="0091579A"/>
    <w:rsid w:val="00917892"/>
    <w:rsid w:val="00921599"/>
    <w:rsid w:val="00921F03"/>
    <w:rsid w:val="00922AA2"/>
    <w:rsid w:val="009264EE"/>
    <w:rsid w:val="00927625"/>
    <w:rsid w:val="009278F2"/>
    <w:rsid w:val="00927AB3"/>
    <w:rsid w:val="00927EB9"/>
    <w:rsid w:val="009312E2"/>
    <w:rsid w:val="00933474"/>
    <w:rsid w:val="009336AB"/>
    <w:rsid w:val="00933A03"/>
    <w:rsid w:val="009414A5"/>
    <w:rsid w:val="009415A3"/>
    <w:rsid w:val="0094326C"/>
    <w:rsid w:val="009461B7"/>
    <w:rsid w:val="00947B86"/>
    <w:rsid w:val="0095136F"/>
    <w:rsid w:val="00955D2C"/>
    <w:rsid w:val="00956AB5"/>
    <w:rsid w:val="00956CA7"/>
    <w:rsid w:val="00956DBB"/>
    <w:rsid w:val="009616B0"/>
    <w:rsid w:val="00962BEE"/>
    <w:rsid w:val="0096316B"/>
    <w:rsid w:val="00963DC7"/>
    <w:rsid w:val="00964C1D"/>
    <w:rsid w:val="0096683C"/>
    <w:rsid w:val="00966891"/>
    <w:rsid w:val="00966ABB"/>
    <w:rsid w:val="00966D68"/>
    <w:rsid w:val="0096775D"/>
    <w:rsid w:val="00970E6F"/>
    <w:rsid w:val="00971939"/>
    <w:rsid w:val="009737E6"/>
    <w:rsid w:val="00975FDA"/>
    <w:rsid w:val="0097633F"/>
    <w:rsid w:val="00980F3C"/>
    <w:rsid w:val="009822B4"/>
    <w:rsid w:val="009841EE"/>
    <w:rsid w:val="00984691"/>
    <w:rsid w:val="0098548E"/>
    <w:rsid w:val="00987E33"/>
    <w:rsid w:val="00992CEC"/>
    <w:rsid w:val="009A0D5C"/>
    <w:rsid w:val="009A2332"/>
    <w:rsid w:val="009A4B36"/>
    <w:rsid w:val="009A5581"/>
    <w:rsid w:val="009A7279"/>
    <w:rsid w:val="009A72C1"/>
    <w:rsid w:val="009B1DC7"/>
    <w:rsid w:val="009B4BDB"/>
    <w:rsid w:val="009C103B"/>
    <w:rsid w:val="009C1F3F"/>
    <w:rsid w:val="009C2F41"/>
    <w:rsid w:val="009C69EC"/>
    <w:rsid w:val="009C7BE0"/>
    <w:rsid w:val="009D48C0"/>
    <w:rsid w:val="009D5EA0"/>
    <w:rsid w:val="009D6C74"/>
    <w:rsid w:val="009E44CA"/>
    <w:rsid w:val="009E494F"/>
    <w:rsid w:val="009E50E2"/>
    <w:rsid w:val="009E53D8"/>
    <w:rsid w:val="009E6C42"/>
    <w:rsid w:val="009E7BF3"/>
    <w:rsid w:val="009F129B"/>
    <w:rsid w:val="009F28C8"/>
    <w:rsid w:val="009F3A1B"/>
    <w:rsid w:val="00A00A3E"/>
    <w:rsid w:val="00A016C5"/>
    <w:rsid w:val="00A01F8B"/>
    <w:rsid w:val="00A02BF6"/>
    <w:rsid w:val="00A02D88"/>
    <w:rsid w:val="00A0473F"/>
    <w:rsid w:val="00A04B3D"/>
    <w:rsid w:val="00A07210"/>
    <w:rsid w:val="00A0769A"/>
    <w:rsid w:val="00A10052"/>
    <w:rsid w:val="00A12240"/>
    <w:rsid w:val="00A13AA4"/>
    <w:rsid w:val="00A161DD"/>
    <w:rsid w:val="00A1626B"/>
    <w:rsid w:val="00A16428"/>
    <w:rsid w:val="00A16802"/>
    <w:rsid w:val="00A20F94"/>
    <w:rsid w:val="00A21734"/>
    <w:rsid w:val="00A21E1C"/>
    <w:rsid w:val="00A23DEA"/>
    <w:rsid w:val="00A2530D"/>
    <w:rsid w:val="00A25D3D"/>
    <w:rsid w:val="00A2654B"/>
    <w:rsid w:val="00A265EA"/>
    <w:rsid w:val="00A318C9"/>
    <w:rsid w:val="00A3290E"/>
    <w:rsid w:val="00A32F0D"/>
    <w:rsid w:val="00A34358"/>
    <w:rsid w:val="00A34E79"/>
    <w:rsid w:val="00A35556"/>
    <w:rsid w:val="00A357C4"/>
    <w:rsid w:val="00A36039"/>
    <w:rsid w:val="00A36385"/>
    <w:rsid w:val="00A36999"/>
    <w:rsid w:val="00A378A8"/>
    <w:rsid w:val="00A37A1E"/>
    <w:rsid w:val="00A37F94"/>
    <w:rsid w:val="00A401EC"/>
    <w:rsid w:val="00A41312"/>
    <w:rsid w:val="00A42602"/>
    <w:rsid w:val="00A434CA"/>
    <w:rsid w:val="00A43F22"/>
    <w:rsid w:val="00A52138"/>
    <w:rsid w:val="00A5222B"/>
    <w:rsid w:val="00A54A89"/>
    <w:rsid w:val="00A54ACA"/>
    <w:rsid w:val="00A61270"/>
    <w:rsid w:val="00A612B8"/>
    <w:rsid w:val="00A616DC"/>
    <w:rsid w:val="00A61BAA"/>
    <w:rsid w:val="00A631F3"/>
    <w:rsid w:val="00A66213"/>
    <w:rsid w:val="00A676C3"/>
    <w:rsid w:val="00A73A07"/>
    <w:rsid w:val="00A73A19"/>
    <w:rsid w:val="00A80BC9"/>
    <w:rsid w:val="00A81205"/>
    <w:rsid w:val="00A81AFC"/>
    <w:rsid w:val="00A84A34"/>
    <w:rsid w:val="00A84CEE"/>
    <w:rsid w:val="00A86A1F"/>
    <w:rsid w:val="00A91FBF"/>
    <w:rsid w:val="00A94DA7"/>
    <w:rsid w:val="00A96BA5"/>
    <w:rsid w:val="00AA1FA8"/>
    <w:rsid w:val="00AA25CE"/>
    <w:rsid w:val="00AA51B0"/>
    <w:rsid w:val="00AA6DE7"/>
    <w:rsid w:val="00AB2921"/>
    <w:rsid w:val="00AB3DAE"/>
    <w:rsid w:val="00AB4C87"/>
    <w:rsid w:val="00AB5C6D"/>
    <w:rsid w:val="00AB6E7B"/>
    <w:rsid w:val="00AB7CD8"/>
    <w:rsid w:val="00AC0226"/>
    <w:rsid w:val="00AC0658"/>
    <w:rsid w:val="00AC1440"/>
    <w:rsid w:val="00AC4FFA"/>
    <w:rsid w:val="00AC62F7"/>
    <w:rsid w:val="00AC7F71"/>
    <w:rsid w:val="00AD1C32"/>
    <w:rsid w:val="00AD1E8B"/>
    <w:rsid w:val="00AD320C"/>
    <w:rsid w:val="00AD5141"/>
    <w:rsid w:val="00AD565C"/>
    <w:rsid w:val="00AD5F34"/>
    <w:rsid w:val="00AD6EE2"/>
    <w:rsid w:val="00AD6F65"/>
    <w:rsid w:val="00AE1726"/>
    <w:rsid w:val="00AE1D35"/>
    <w:rsid w:val="00AE275A"/>
    <w:rsid w:val="00AE2CA8"/>
    <w:rsid w:val="00AE3D15"/>
    <w:rsid w:val="00AE50FB"/>
    <w:rsid w:val="00AE5865"/>
    <w:rsid w:val="00AF33EC"/>
    <w:rsid w:val="00AF4574"/>
    <w:rsid w:val="00B00291"/>
    <w:rsid w:val="00B00C95"/>
    <w:rsid w:val="00B00DFB"/>
    <w:rsid w:val="00B010E1"/>
    <w:rsid w:val="00B06764"/>
    <w:rsid w:val="00B07E7F"/>
    <w:rsid w:val="00B120A5"/>
    <w:rsid w:val="00B1348A"/>
    <w:rsid w:val="00B13C57"/>
    <w:rsid w:val="00B14877"/>
    <w:rsid w:val="00B14C29"/>
    <w:rsid w:val="00B151BF"/>
    <w:rsid w:val="00B15500"/>
    <w:rsid w:val="00B17CBD"/>
    <w:rsid w:val="00B21C4F"/>
    <w:rsid w:val="00B25D0C"/>
    <w:rsid w:val="00B31840"/>
    <w:rsid w:val="00B33158"/>
    <w:rsid w:val="00B33194"/>
    <w:rsid w:val="00B34F28"/>
    <w:rsid w:val="00B37190"/>
    <w:rsid w:val="00B400DE"/>
    <w:rsid w:val="00B40DD2"/>
    <w:rsid w:val="00B45259"/>
    <w:rsid w:val="00B45F7B"/>
    <w:rsid w:val="00B465E7"/>
    <w:rsid w:val="00B46624"/>
    <w:rsid w:val="00B51636"/>
    <w:rsid w:val="00B51F96"/>
    <w:rsid w:val="00B55032"/>
    <w:rsid w:val="00B555C2"/>
    <w:rsid w:val="00B569B2"/>
    <w:rsid w:val="00B56C01"/>
    <w:rsid w:val="00B61E84"/>
    <w:rsid w:val="00B627A9"/>
    <w:rsid w:val="00B63AD6"/>
    <w:rsid w:val="00B645E7"/>
    <w:rsid w:val="00B64C67"/>
    <w:rsid w:val="00B700BD"/>
    <w:rsid w:val="00B73B0E"/>
    <w:rsid w:val="00B73D4A"/>
    <w:rsid w:val="00B74204"/>
    <w:rsid w:val="00B74400"/>
    <w:rsid w:val="00B76ED2"/>
    <w:rsid w:val="00B77053"/>
    <w:rsid w:val="00B80827"/>
    <w:rsid w:val="00B80E67"/>
    <w:rsid w:val="00B816FE"/>
    <w:rsid w:val="00B854E7"/>
    <w:rsid w:val="00B87899"/>
    <w:rsid w:val="00B913F8"/>
    <w:rsid w:val="00B91BD9"/>
    <w:rsid w:val="00B91DF9"/>
    <w:rsid w:val="00B96196"/>
    <w:rsid w:val="00BA085D"/>
    <w:rsid w:val="00BA09C0"/>
    <w:rsid w:val="00BA1309"/>
    <w:rsid w:val="00BA1D41"/>
    <w:rsid w:val="00BA2406"/>
    <w:rsid w:val="00BA4ED8"/>
    <w:rsid w:val="00BA50D0"/>
    <w:rsid w:val="00BA764D"/>
    <w:rsid w:val="00BB144C"/>
    <w:rsid w:val="00BB178E"/>
    <w:rsid w:val="00BB49A7"/>
    <w:rsid w:val="00BB7379"/>
    <w:rsid w:val="00BB74C8"/>
    <w:rsid w:val="00BC3838"/>
    <w:rsid w:val="00BC5D9B"/>
    <w:rsid w:val="00BD0FD9"/>
    <w:rsid w:val="00BD17A6"/>
    <w:rsid w:val="00BD1933"/>
    <w:rsid w:val="00BD19D9"/>
    <w:rsid w:val="00BD3658"/>
    <w:rsid w:val="00BD4F68"/>
    <w:rsid w:val="00BD5D46"/>
    <w:rsid w:val="00BD72DB"/>
    <w:rsid w:val="00BE179D"/>
    <w:rsid w:val="00BE17CC"/>
    <w:rsid w:val="00BE23D5"/>
    <w:rsid w:val="00BE2C74"/>
    <w:rsid w:val="00BE3A83"/>
    <w:rsid w:val="00BE3DE8"/>
    <w:rsid w:val="00BE4392"/>
    <w:rsid w:val="00BE5F50"/>
    <w:rsid w:val="00BF3CC9"/>
    <w:rsid w:val="00BF4669"/>
    <w:rsid w:val="00BF5FB4"/>
    <w:rsid w:val="00BF5FC8"/>
    <w:rsid w:val="00C018E1"/>
    <w:rsid w:val="00C02901"/>
    <w:rsid w:val="00C0411F"/>
    <w:rsid w:val="00C04604"/>
    <w:rsid w:val="00C04C04"/>
    <w:rsid w:val="00C04FFA"/>
    <w:rsid w:val="00C10B36"/>
    <w:rsid w:val="00C117E6"/>
    <w:rsid w:val="00C13A81"/>
    <w:rsid w:val="00C14471"/>
    <w:rsid w:val="00C15497"/>
    <w:rsid w:val="00C1797E"/>
    <w:rsid w:val="00C217F7"/>
    <w:rsid w:val="00C22439"/>
    <w:rsid w:val="00C23743"/>
    <w:rsid w:val="00C25732"/>
    <w:rsid w:val="00C261D1"/>
    <w:rsid w:val="00C30203"/>
    <w:rsid w:val="00C308CD"/>
    <w:rsid w:val="00C30B84"/>
    <w:rsid w:val="00C30F79"/>
    <w:rsid w:val="00C3184A"/>
    <w:rsid w:val="00C329A0"/>
    <w:rsid w:val="00C32D6E"/>
    <w:rsid w:val="00C359E4"/>
    <w:rsid w:val="00C36D3B"/>
    <w:rsid w:val="00C4073D"/>
    <w:rsid w:val="00C40742"/>
    <w:rsid w:val="00C40B9D"/>
    <w:rsid w:val="00C42277"/>
    <w:rsid w:val="00C465FE"/>
    <w:rsid w:val="00C47AE1"/>
    <w:rsid w:val="00C47B8D"/>
    <w:rsid w:val="00C514B0"/>
    <w:rsid w:val="00C521FE"/>
    <w:rsid w:val="00C5332E"/>
    <w:rsid w:val="00C55295"/>
    <w:rsid w:val="00C55BF2"/>
    <w:rsid w:val="00C60119"/>
    <w:rsid w:val="00C6038E"/>
    <w:rsid w:val="00C6042E"/>
    <w:rsid w:val="00C6205C"/>
    <w:rsid w:val="00C62C33"/>
    <w:rsid w:val="00C62F7D"/>
    <w:rsid w:val="00C6459A"/>
    <w:rsid w:val="00C65AC2"/>
    <w:rsid w:val="00C65EE2"/>
    <w:rsid w:val="00C666E0"/>
    <w:rsid w:val="00C71DAE"/>
    <w:rsid w:val="00C72393"/>
    <w:rsid w:val="00C81EC0"/>
    <w:rsid w:val="00C81F38"/>
    <w:rsid w:val="00C83027"/>
    <w:rsid w:val="00C8465C"/>
    <w:rsid w:val="00C86233"/>
    <w:rsid w:val="00C86755"/>
    <w:rsid w:val="00C910BE"/>
    <w:rsid w:val="00C9179A"/>
    <w:rsid w:val="00C93351"/>
    <w:rsid w:val="00C9406C"/>
    <w:rsid w:val="00C942A2"/>
    <w:rsid w:val="00C944AB"/>
    <w:rsid w:val="00C94D34"/>
    <w:rsid w:val="00C9563B"/>
    <w:rsid w:val="00C95809"/>
    <w:rsid w:val="00C95A71"/>
    <w:rsid w:val="00C97D91"/>
    <w:rsid w:val="00CA0ED5"/>
    <w:rsid w:val="00CA1906"/>
    <w:rsid w:val="00CA2B09"/>
    <w:rsid w:val="00CA69BC"/>
    <w:rsid w:val="00CB0A4A"/>
    <w:rsid w:val="00CB0B81"/>
    <w:rsid w:val="00CB1EB3"/>
    <w:rsid w:val="00CB537C"/>
    <w:rsid w:val="00CB6FE6"/>
    <w:rsid w:val="00CC12C9"/>
    <w:rsid w:val="00CC372C"/>
    <w:rsid w:val="00CC5AD7"/>
    <w:rsid w:val="00CC5F17"/>
    <w:rsid w:val="00CC61DB"/>
    <w:rsid w:val="00CC65E2"/>
    <w:rsid w:val="00CC675B"/>
    <w:rsid w:val="00CC685D"/>
    <w:rsid w:val="00CC7F55"/>
    <w:rsid w:val="00CD082A"/>
    <w:rsid w:val="00CD096C"/>
    <w:rsid w:val="00CD0EC3"/>
    <w:rsid w:val="00CD2459"/>
    <w:rsid w:val="00CD4A5B"/>
    <w:rsid w:val="00CD6E21"/>
    <w:rsid w:val="00CE1BED"/>
    <w:rsid w:val="00CE384B"/>
    <w:rsid w:val="00CE4799"/>
    <w:rsid w:val="00CE65E3"/>
    <w:rsid w:val="00CE6A6A"/>
    <w:rsid w:val="00CE7D23"/>
    <w:rsid w:val="00CF04F5"/>
    <w:rsid w:val="00CF27EE"/>
    <w:rsid w:val="00D00B8B"/>
    <w:rsid w:val="00D053A6"/>
    <w:rsid w:val="00D079FA"/>
    <w:rsid w:val="00D111D4"/>
    <w:rsid w:val="00D11F1C"/>
    <w:rsid w:val="00D12585"/>
    <w:rsid w:val="00D14227"/>
    <w:rsid w:val="00D14518"/>
    <w:rsid w:val="00D14BF3"/>
    <w:rsid w:val="00D14BF9"/>
    <w:rsid w:val="00D15737"/>
    <w:rsid w:val="00D1712F"/>
    <w:rsid w:val="00D2459B"/>
    <w:rsid w:val="00D27002"/>
    <w:rsid w:val="00D30A9D"/>
    <w:rsid w:val="00D32B90"/>
    <w:rsid w:val="00D34AD7"/>
    <w:rsid w:val="00D35A81"/>
    <w:rsid w:val="00D40C8F"/>
    <w:rsid w:val="00D4373B"/>
    <w:rsid w:val="00D46BB5"/>
    <w:rsid w:val="00D51CEA"/>
    <w:rsid w:val="00D52876"/>
    <w:rsid w:val="00D542DA"/>
    <w:rsid w:val="00D54F41"/>
    <w:rsid w:val="00D6090C"/>
    <w:rsid w:val="00D62CD5"/>
    <w:rsid w:val="00D63ACD"/>
    <w:rsid w:val="00D646CF"/>
    <w:rsid w:val="00D67ADD"/>
    <w:rsid w:val="00D71865"/>
    <w:rsid w:val="00D71C89"/>
    <w:rsid w:val="00D72DC4"/>
    <w:rsid w:val="00D74A43"/>
    <w:rsid w:val="00D74AF4"/>
    <w:rsid w:val="00D759AA"/>
    <w:rsid w:val="00D7673D"/>
    <w:rsid w:val="00D802A3"/>
    <w:rsid w:val="00D80478"/>
    <w:rsid w:val="00D80CF4"/>
    <w:rsid w:val="00D817A0"/>
    <w:rsid w:val="00D82362"/>
    <w:rsid w:val="00D827A1"/>
    <w:rsid w:val="00D84096"/>
    <w:rsid w:val="00D91F41"/>
    <w:rsid w:val="00D93ED8"/>
    <w:rsid w:val="00D951D8"/>
    <w:rsid w:val="00D9648E"/>
    <w:rsid w:val="00D97260"/>
    <w:rsid w:val="00D97C0D"/>
    <w:rsid w:val="00DA02C0"/>
    <w:rsid w:val="00DA06E1"/>
    <w:rsid w:val="00DA0CA2"/>
    <w:rsid w:val="00DA16F7"/>
    <w:rsid w:val="00DA1A0C"/>
    <w:rsid w:val="00DA1C49"/>
    <w:rsid w:val="00DA213F"/>
    <w:rsid w:val="00DA2B99"/>
    <w:rsid w:val="00DA3C19"/>
    <w:rsid w:val="00DA466C"/>
    <w:rsid w:val="00DA4CAC"/>
    <w:rsid w:val="00DB0033"/>
    <w:rsid w:val="00DB0BE9"/>
    <w:rsid w:val="00DB3B2E"/>
    <w:rsid w:val="00DC21FB"/>
    <w:rsid w:val="00DC4ED8"/>
    <w:rsid w:val="00DC663A"/>
    <w:rsid w:val="00DC6E3F"/>
    <w:rsid w:val="00DC7914"/>
    <w:rsid w:val="00DD38F4"/>
    <w:rsid w:val="00DD3916"/>
    <w:rsid w:val="00DD51BA"/>
    <w:rsid w:val="00DD5C53"/>
    <w:rsid w:val="00DD70C3"/>
    <w:rsid w:val="00DD7D90"/>
    <w:rsid w:val="00DDEFC8"/>
    <w:rsid w:val="00DE00E6"/>
    <w:rsid w:val="00DE03D6"/>
    <w:rsid w:val="00DE1488"/>
    <w:rsid w:val="00DE1A34"/>
    <w:rsid w:val="00DE3CB5"/>
    <w:rsid w:val="00DF02B0"/>
    <w:rsid w:val="00DF22B5"/>
    <w:rsid w:val="00DF2778"/>
    <w:rsid w:val="00DF2C97"/>
    <w:rsid w:val="00DF7424"/>
    <w:rsid w:val="00DF7D19"/>
    <w:rsid w:val="00E01CBA"/>
    <w:rsid w:val="00E04629"/>
    <w:rsid w:val="00E05689"/>
    <w:rsid w:val="00E06CF0"/>
    <w:rsid w:val="00E07643"/>
    <w:rsid w:val="00E1264D"/>
    <w:rsid w:val="00E137A1"/>
    <w:rsid w:val="00E16125"/>
    <w:rsid w:val="00E166B9"/>
    <w:rsid w:val="00E20A0D"/>
    <w:rsid w:val="00E2236E"/>
    <w:rsid w:val="00E230A2"/>
    <w:rsid w:val="00E26E56"/>
    <w:rsid w:val="00E27023"/>
    <w:rsid w:val="00E2750A"/>
    <w:rsid w:val="00E312B2"/>
    <w:rsid w:val="00E31C8E"/>
    <w:rsid w:val="00E32731"/>
    <w:rsid w:val="00E33DF3"/>
    <w:rsid w:val="00E35A87"/>
    <w:rsid w:val="00E36357"/>
    <w:rsid w:val="00E42C14"/>
    <w:rsid w:val="00E43FC2"/>
    <w:rsid w:val="00E455E0"/>
    <w:rsid w:val="00E456FE"/>
    <w:rsid w:val="00E50240"/>
    <w:rsid w:val="00E52AE1"/>
    <w:rsid w:val="00E53C7A"/>
    <w:rsid w:val="00E55587"/>
    <w:rsid w:val="00E56123"/>
    <w:rsid w:val="00E5652C"/>
    <w:rsid w:val="00E56C24"/>
    <w:rsid w:val="00E60482"/>
    <w:rsid w:val="00E62E86"/>
    <w:rsid w:val="00E63D9A"/>
    <w:rsid w:val="00E66223"/>
    <w:rsid w:val="00E71AE5"/>
    <w:rsid w:val="00E72AEF"/>
    <w:rsid w:val="00E72EA5"/>
    <w:rsid w:val="00E733CC"/>
    <w:rsid w:val="00E800E2"/>
    <w:rsid w:val="00E8206D"/>
    <w:rsid w:val="00E82140"/>
    <w:rsid w:val="00E84880"/>
    <w:rsid w:val="00E85091"/>
    <w:rsid w:val="00E85A5C"/>
    <w:rsid w:val="00E86F7A"/>
    <w:rsid w:val="00E90B43"/>
    <w:rsid w:val="00E918CF"/>
    <w:rsid w:val="00E95955"/>
    <w:rsid w:val="00E961CC"/>
    <w:rsid w:val="00E96C7A"/>
    <w:rsid w:val="00EA1CA2"/>
    <w:rsid w:val="00EA1CAE"/>
    <w:rsid w:val="00EA4CBE"/>
    <w:rsid w:val="00EA5509"/>
    <w:rsid w:val="00EA5A7E"/>
    <w:rsid w:val="00EA6636"/>
    <w:rsid w:val="00EA7108"/>
    <w:rsid w:val="00EB0549"/>
    <w:rsid w:val="00EB215A"/>
    <w:rsid w:val="00EB4E54"/>
    <w:rsid w:val="00EB6E0E"/>
    <w:rsid w:val="00EB6F21"/>
    <w:rsid w:val="00EC1CA1"/>
    <w:rsid w:val="00EC21E8"/>
    <w:rsid w:val="00EC2C96"/>
    <w:rsid w:val="00EC32AF"/>
    <w:rsid w:val="00EC347F"/>
    <w:rsid w:val="00EC6824"/>
    <w:rsid w:val="00ED072C"/>
    <w:rsid w:val="00ED2199"/>
    <w:rsid w:val="00ED363A"/>
    <w:rsid w:val="00ED4274"/>
    <w:rsid w:val="00ED44A9"/>
    <w:rsid w:val="00ED7834"/>
    <w:rsid w:val="00ED7E4E"/>
    <w:rsid w:val="00EE06D1"/>
    <w:rsid w:val="00EE0D58"/>
    <w:rsid w:val="00EE242A"/>
    <w:rsid w:val="00EE278F"/>
    <w:rsid w:val="00EE30F0"/>
    <w:rsid w:val="00EE40D0"/>
    <w:rsid w:val="00EE5D51"/>
    <w:rsid w:val="00EE662F"/>
    <w:rsid w:val="00EF124F"/>
    <w:rsid w:val="00EF2254"/>
    <w:rsid w:val="00EF4035"/>
    <w:rsid w:val="00EF4450"/>
    <w:rsid w:val="00EF53E9"/>
    <w:rsid w:val="00EF67AB"/>
    <w:rsid w:val="00EF6B70"/>
    <w:rsid w:val="00F00617"/>
    <w:rsid w:val="00F01B9E"/>
    <w:rsid w:val="00F0377B"/>
    <w:rsid w:val="00F04EA8"/>
    <w:rsid w:val="00F10A47"/>
    <w:rsid w:val="00F110DD"/>
    <w:rsid w:val="00F1110B"/>
    <w:rsid w:val="00F117BA"/>
    <w:rsid w:val="00F166E4"/>
    <w:rsid w:val="00F21F74"/>
    <w:rsid w:val="00F23A19"/>
    <w:rsid w:val="00F2430B"/>
    <w:rsid w:val="00F259C0"/>
    <w:rsid w:val="00F26E9C"/>
    <w:rsid w:val="00F30001"/>
    <w:rsid w:val="00F304BF"/>
    <w:rsid w:val="00F351AF"/>
    <w:rsid w:val="00F409E5"/>
    <w:rsid w:val="00F41CED"/>
    <w:rsid w:val="00F424B8"/>
    <w:rsid w:val="00F42DFA"/>
    <w:rsid w:val="00F46078"/>
    <w:rsid w:val="00F469E7"/>
    <w:rsid w:val="00F46E24"/>
    <w:rsid w:val="00F5035F"/>
    <w:rsid w:val="00F535F2"/>
    <w:rsid w:val="00F5400D"/>
    <w:rsid w:val="00F54CDC"/>
    <w:rsid w:val="00F57A87"/>
    <w:rsid w:val="00F57CE1"/>
    <w:rsid w:val="00F61C9B"/>
    <w:rsid w:val="00F6241E"/>
    <w:rsid w:val="00F62C66"/>
    <w:rsid w:val="00F64708"/>
    <w:rsid w:val="00F6761A"/>
    <w:rsid w:val="00F72FEF"/>
    <w:rsid w:val="00F73B39"/>
    <w:rsid w:val="00F73CD1"/>
    <w:rsid w:val="00F73E93"/>
    <w:rsid w:val="00F7449A"/>
    <w:rsid w:val="00F772B2"/>
    <w:rsid w:val="00F776D0"/>
    <w:rsid w:val="00F80DA8"/>
    <w:rsid w:val="00F8508E"/>
    <w:rsid w:val="00F864F4"/>
    <w:rsid w:val="00F87312"/>
    <w:rsid w:val="00F8771A"/>
    <w:rsid w:val="00F87945"/>
    <w:rsid w:val="00F92B99"/>
    <w:rsid w:val="00F92F13"/>
    <w:rsid w:val="00F94809"/>
    <w:rsid w:val="00F96100"/>
    <w:rsid w:val="00F975AD"/>
    <w:rsid w:val="00FA07A7"/>
    <w:rsid w:val="00FA3388"/>
    <w:rsid w:val="00FA44B7"/>
    <w:rsid w:val="00FA49C0"/>
    <w:rsid w:val="00FA5828"/>
    <w:rsid w:val="00FB04D2"/>
    <w:rsid w:val="00FB1884"/>
    <w:rsid w:val="00FB24AB"/>
    <w:rsid w:val="00FB3FC3"/>
    <w:rsid w:val="00FB508A"/>
    <w:rsid w:val="00FB760A"/>
    <w:rsid w:val="00FB7F26"/>
    <w:rsid w:val="00FC09A1"/>
    <w:rsid w:val="00FC27B4"/>
    <w:rsid w:val="00FC3080"/>
    <w:rsid w:val="00FC35F9"/>
    <w:rsid w:val="00FC51A6"/>
    <w:rsid w:val="00FC64E0"/>
    <w:rsid w:val="00FC7E4B"/>
    <w:rsid w:val="00FC7EF9"/>
    <w:rsid w:val="00FD072E"/>
    <w:rsid w:val="00FD0C79"/>
    <w:rsid w:val="00FD2CF2"/>
    <w:rsid w:val="00FD3A33"/>
    <w:rsid w:val="00FD43FB"/>
    <w:rsid w:val="00FD496B"/>
    <w:rsid w:val="00FE0803"/>
    <w:rsid w:val="00FE220E"/>
    <w:rsid w:val="00FE5C55"/>
    <w:rsid w:val="00FE5FDC"/>
    <w:rsid w:val="00FE6112"/>
    <w:rsid w:val="00FE7CF3"/>
    <w:rsid w:val="00FF042A"/>
    <w:rsid w:val="00FF534C"/>
    <w:rsid w:val="0107FCDF"/>
    <w:rsid w:val="01384D8D"/>
    <w:rsid w:val="02FF022F"/>
    <w:rsid w:val="03171B5C"/>
    <w:rsid w:val="0350BE08"/>
    <w:rsid w:val="0478E07D"/>
    <w:rsid w:val="0518DE28"/>
    <w:rsid w:val="051BB067"/>
    <w:rsid w:val="05917A67"/>
    <w:rsid w:val="06C8E701"/>
    <w:rsid w:val="06E5AA50"/>
    <w:rsid w:val="0709286D"/>
    <w:rsid w:val="07BDA13F"/>
    <w:rsid w:val="09EBD278"/>
    <w:rsid w:val="0BC59432"/>
    <w:rsid w:val="0CD8C003"/>
    <w:rsid w:val="0E0A5C84"/>
    <w:rsid w:val="0E31CD71"/>
    <w:rsid w:val="1030CCB9"/>
    <w:rsid w:val="10AB5D36"/>
    <w:rsid w:val="10BCBA6D"/>
    <w:rsid w:val="10BFE5E9"/>
    <w:rsid w:val="10C275B6"/>
    <w:rsid w:val="115C1926"/>
    <w:rsid w:val="14CC227C"/>
    <w:rsid w:val="15E725D0"/>
    <w:rsid w:val="1653EB25"/>
    <w:rsid w:val="16ED8073"/>
    <w:rsid w:val="179F8E36"/>
    <w:rsid w:val="1912CA69"/>
    <w:rsid w:val="1B00EC3F"/>
    <w:rsid w:val="1EE148FD"/>
    <w:rsid w:val="1FFE99A2"/>
    <w:rsid w:val="21299DA5"/>
    <w:rsid w:val="224A94DC"/>
    <w:rsid w:val="23D847AD"/>
    <w:rsid w:val="2408FA9C"/>
    <w:rsid w:val="241B05E4"/>
    <w:rsid w:val="2431350B"/>
    <w:rsid w:val="24AEAEB6"/>
    <w:rsid w:val="25300A64"/>
    <w:rsid w:val="25CE8388"/>
    <w:rsid w:val="26CD1561"/>
    <w:rsid w:val="27E2CD4D"/>
    <w:rsid w:val="280F33D1"/>
    <w:rsid w:val="28B114F6"/>
    <w:rsid w:val="28B1C4E0"/>
    <w:rsid w:val="2A67D799"/>
    <w:rsid w:val="2B1741A8"/>
    <w:rsid w:val="31214524"/>
    <w:rsid w:val="3176081F"/>
    <w:rsid w:val="3312FFB0"/>
    <w:rsid w:val="35DE7C70"/>
    <w:rsid w:val="36204861"/>
    <w:rsid w:val="3772160D"/>
    <w:rsid w:val="378EE522"/>
    <w:rsid w:val="3862E3F7"/>
    <w:rsid w:val="394E9937"/>
    <w:rsid w:val="39D25A93"/>
    <w:rsid w:val="3A69E184"/>
    <w:rsid w:val="3A805014"/>
    <w:rsid w:val="3D3D8D22"/>
    <w:rsid w:val="3D8E6F5E"/>
    <w:rsid w:val="3EDB74B2"/>
    <w:rsid w:val="3EDFCABF"/>
    <w:rsid w:val="3F5767EF"/>
    <w:rsid w:val="407EBEA7"/>
    <w:rsid w:val="408B8459"/>
    <w:rsid w:val="44285711"/>
    <w:rsid w:val="456D0024"/>
    <w:rsid w:val="461ABCEB"/>
    <w:rsid w:val="4768BCA2"/>
    <w:rsid w:val="48B44376"/>
    <w:rsid w:val="49A1C772"/>
    <w:rsid w:val="4BA8C49B"/>
    <w:rsid w:val="4EA91696"/>
    <w:rsid w:val="4F151EBB"/>
    <w:rsid w:val="4F61F638"/>
    <w:rsid w:val="4F7695CC"/>
    <w:rsid w:val="501B5D45"/>
    <w:rsid w:val="51C856FB"/>
    <w:rsid w:val="5349902E"/>
    <w:rsid w:val="538D8BE7"/>
    <w:rsid w:val="539FBFA5"/>
    <w:rsid w:val="53AF0305"/>
    <w:rsid w:val="53F9B0BD"/>
    <w:rsid w:val="54624C47"/>
    <w:rsid w:val="55457CEA"/>
    <w:rsid w:val="55D609CE"/>
    <w:rsid w:val="56847903"/>
    <w:rsid w:val="56BEA9E3"/>
    <w:rsid w:val="57C6AC1C"/>
    <w:rsid w:val="599F2C8F"/>
    <w:rsid w:val="59A6DEC4"/>
    <w:rsid w:val="59B811BB"/>
    <w:rsid w:val="5B9A5917"/>
    <w:rsid w:val="5C38EDBF"/>
    <w:rsid w:val="5D4525BF"/>
    <w:rsid w:val="5DC5C44B"/>
    <w:rsid w:val="5E7FFF69"/>
    <w:rsid w:val="5F3EB69C"/>
    <w:rsid w:val="5FBFF0C2"/>
    <w:rsid w:val="608EB064"/>
    <w:rsid w:val="61BBBEF3"/>
    <w:rsid w:val="62041358"/>
    <w:rsid w:val="651C940A"/>
    <w:rsid w:val="65233319"/>
    <w:rsid w:val="6538CD77"/>
    <w:rsid w:val="65DDC919"/>
    <w:rsid w:val="661AC142"/>
    <w:rsid w:val="6646F24C"/>
    <w:rsid w:val="6818DBC7"/>
    <w:rsid w:val="6ABCFB9C"/>
    <w:rsid w:val="6BE237A4"/>
    <w:rsid w:val="6C4326B0"/>
    <w:rsid w:val="6D679D79"/>
    <w:rsid w:val="6E9EDABA"/>
    <w:rsid w:val="6F0542F9"/>
    <w:rsid w:val="6FA70B61"/>
    <w:rsid w:val="6FDAF0BA"/>
    <w:rsid w:val="70BB2199"/>
    <w:rsid w:val="710F820B"/>
    <w:rsid w:val="71521ACC"/>
    <w:rsid w:val="716D30C6"/>
    <w:rsid w:val="719E85E5"/>
    <w:rsid w:val="72716375"/>
    <w:rsid w:val="738707D3"/>
    <w:rsid w:val="7389E951"/>
    <w:rsid w:val="73AE8E27"/>
    <w:rsid w:val="763AAA10"/>
    <w:rsid w:val="76A13A4C"/>
    <w:rsid w:val="76F11197"/>
    <w:rsid w:val="780C470F"/>
    <w:rsid w:val="78D65CA7"/>
    <w:rsid w:val="7BDBE78C"/>
    <w:rsid w:val="7C22BDA0"/>
    <w:rsid w:val="7D67EB26"/>
    <w:rsid w:val="7DAB39EA"/>
    <w:rsid w:val="7F74ED4D"/>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15:docId w15:val="{4D33A10D-45E1-4455-A9B4-77A6454A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US"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qFormat/>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Fotnotstext">
    <w:name w:val="footnote text"/>
    <w:basedOn w:val="Normal"/>
    <w:link w:val="FotnotstextChar"/>
    <w:semiHidden/>
    <w:unhideWhenUsed/>
    <w:rsid w:val="00304D05"/>
    <w:pPr>
      <w:spacing w:line="240" w:lineRule="auto"/>
    </w:pPr>
    <w:rPr>
      <w:sz w:val="20"/>
      <w:szCs w:val="20"/>
    </w:rPr>
  </w:style>
  <w:style w:type="character" w:customStyle="1" w:styleId="FotnotstextChar">
    <w:name w:val="Fotnotstext Char"/>
    <w:basedOn w:val="Standardstycketeckensnitt"/>
    <w:link w:val="Fotnotstext"/>
    <w:semiHidden/>
    <w:rsid w:val="00304D05"/>
    <w:rPr>
      <w:lang w:val="en-GB" w:eastAsia="en-US"/>
    </w:rPr>
  </w:style>
  <w:style w:type="character" w:styleId="Fotnotsreferens">
    <w:name w:val="footnote reference"/>
    <w:basedOn w:val="Standardstycketeckensnitt"/>
    <w:semiHidden/>
    <w:unhideWhenUsed/>
    <w:rsid w:val="00304D05"/>
    <w:rPr>
      <w:vertAlign w:val="superscript"/>
    </w:rPr>
  </w:style>
  <w:style w:type="paragraph" w:styleId="Normalwebb">
    <w:name w:val="Normal (Web)"/>
    <w:basedOn w:val="Normal"/>
    <w:uiPriority w:val="99"/>
    <w:unhideWhenUsed/>
    <w:rsid w:val="00304D05"/>
    <w:pPr>
      <w:autoSpaceDE/>
      <w:autoSpaceDN/>
      <w:spacing w:before="100" w:beforeAutospacing="1" w:after="100" w:afterAutospacing="1" w:line="240" w:lineRule="auto"/>
      <w:ind w:firstLine="0"/>
      <w:jc w:val="left"/>
    </w:pPr>
    <w:rPr>
      <w:sz w:val="24"/>
      <w:szCs w:val="24"/>
      <w:lang w:val="sv-SE" w:eastAsia="sv-SE"/>
    </w:rPr>
  </w:style>
  <w:style w:type="character" w:styleId="Hyperlnk">
    <w:name w:val="Hyperlink"/>
    <w:basedOn w:val="Standardstycketeckensnitt"/>
    <w:uiPriority w:val="99"/>
    <w:unhideWhenUsed/>
    <w:rsid w:val="00304D05"/>
    <w:rPr>
      <w:color w:val="0000FF"/>
      <w:u w:val="single"/>
    </w:rPr>
  </w:style>
  <w:style w:type="table" w:styleId="Oformateradtabell2">
    <w:name w:val="Plain Table 2"/>
    <w:basedOn w:val="Normaltabell"/>
    <w:rsid w:val="00F73E9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mentarsreferens">
    <w:name w:val="annotation reference"/>
    <w:basedOn w:val="Standardstycketeckensnitt"/>
    <w:semiHidden/>
    <w:unhideWhenUsed/>
    <w:rsid w:val="00B25D0C"/>
    <w:rPr>
      <w:sz w:val="16"/>
      <w:szCs w:val="16"/>
    </w:rPr>
  </w:style>
  <w:style w:type="paragraph" w:styleId="Kommentarer">
    <w:name w:val="annotation text"/>
    <w:basedOn w:val="Normal"/>
    <w:link w:val="KommentarerChar"/>
    <w:unhideWhenUsed/>
    <w:rsid w:val="00B25D0C"/>
    <w:pPr>
      <w:spacing w:line="240" w:lineRule="auto"/>
    </w:pPr>
    <w:rPr>
      <w:sz w:val="20"/>
      <w:szCs w:val="20"/>
    </w:rPr>
  </w:style>
  <w:style w:type="character" w:customStyle="1" w:styleId="KommentarerChar">
    <w:name w:val="Kommentarer Char"/>
    <w:basedOn w:val="Standardstycketeckensnitt"/>
    <w:link w:val="Kommentarer"/>
    <w:rsid w:val="00B25D0C"/>
    <w:rPr>
      <w:lang w:val="en-GB" w:eastAsia="en-US"/>
    </w:rPr>
  </w:style>
  <w:style w:type="paragraph" w:styleId="Kommentarsmne">
    <w:name w:val="annotation subject"/>
    <w:basedOn w:val="Kommentarer"/>
    <w:next w:val="Kommentarer"/>
    <w:link w:val="KommentarsmneChar"/>
    <w:semiHidden/>
    <w:unhideWhenUsed/>
    <w:rsid w:val="00B25D0C"/>
    <w:rPr>
      <w:b/>
      <w:bCs/>
    </w:rPr>
  </w:style>
  <w:style w:type="character" w:customStyle="1" w:styleId="KommentarsmneChar">
    <w:name w:val="Kommentarsämne Char"/>
    <w:basedOn w:val="KommentarerChar"/>
    <w:link w:val="Kommentarsmne"/>
    <w:semiHidden/>
    <w:rsid w:val="00B25D0C"/>
    <w:rPr>
      <w:b/>
      <w:bCs/>
      <w:lang w:val="en-GB" w:eastAsia="en-US"/>
    </w:rPr>
  </w:style>
  <w:style w:type="character" w:styleId="Olstomnmnande">
    <w:name w:val="Unresolved Mention"/>
    <w:basedOn w:val="Standardstycketeckensnitt"/>
    <w:uiPriority w:val="99"/>
    <w:semiHidden/>
    <w:unhideWhenUsed/>
    <w:rsid w:val="00464E70"/>
    <w:rPr>
      <w:color w:val="605E5C"/>
      <w:shd w:val="clear" w:color="auto" w:fill="E1DFDD"/>
    </w:rPr>
  </w:style>
  <w:style w:type="paragraph" w:styleId="Liststycke">
    <w:name w:val="List Paragraph"/>
    <w:basedOn w:val="Normal"/>
    <w:rsid w:val="00BE3A83"/>
    <w:pPr>
      <w:ind w:left="720"/>
      <w:contextualSpacing/>
    </w:pPr>
  </w:style>
  <w:style w:type="paragraph" w:styleId="Sidhuvud">
    <w:name w:val="header"/>
    <w:basedOn w:val="Normal"/>
    <w:link w:val="SidhuvudChar"/>
    <w:unhideWhenUsed/>
    <w:rsid w:val="009D5EA0"/>
    <w:pPr>
      <w:tabs>
        <w:tab w:val="center" w:pos="4513"/>
        <w:tab w:val="right" w:pos="9026"/>
      </w:tabs>
      <w:spacing w:line="240" w:lineRule="auto"/>
    </w:pPr>
  </w:style>
  <w:style w:type="character" w:customStyle="1" w:styleId="SidhuvudChar">
    <w:name w:val="Sidhuvud Char"/>
    <w:basedOn w:val="Standardstycketeckensnitt"/>
    <w:link w:val="Sidhuvud"/>
    <w:rsid w:val="009D5EA0"/>
    <w:rPr>
      <w:sz w:val="26"/>
      <w:szCs w:val="28"/>
      <w:lang w:val="en-GB" w:eastAsia="en-US"/>
    </w:rPr>
  </w:style>
  <w:style w:type="character" w:styleId="Platshllartext">
    <w:name w:val="Placeholder Text"/>
    <w:basedOn w:val="Standardstycketeckensnitt"/>
    <w:semiHidden/>
    <w:rsid w:val="004D51AC"/>
    <w:rPr>
      <w:color w:val="666666"/>
    </w:rPr>
  </w:style>
  <w:style w:type="character" w:styleId="AnvndHyperlnk">
    <w:name w:val="FollowedHyperlink"/>
    <w:basedOn w:val="Standardstycketeckensnitt"/>
    <w:semiHidden/>
    <w:unhideWhenUsed/>
    <w:rsid w:val="00065411"/>
    <w:rPr>
      <w:color w:val="800080" w:themeColor="followedHyperlink"/>
      <w:u w:val="single"/>
    </w:rPr>
  </w:style>
  <w:style w:type="paragraph" w:styleId="Revision">
    <w:name w:val="Revision"/>
    <w:hidden/>
    <w:semiHidden/>
    <w:rsid w:val="00A34358"/>
    <w:rPr>
      <w:sz w:val="26"/>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7865">
      <w:bodyDiv w:val="1"/>
      <w:marLeft w:val="0"/>
      <w:marRight w:val="0"/>
      <w:marTop w:val="0"/>
      <w:marBottom w:val="0"/>
      <w:divBdr>
        <w:top w:val="none" w:sz="0" w:space="0" w:color="auto"/>
        <w:left w:val="none" w:sz="0" w:space="0" w:color="auto"/>
        <w:bottom w:val="none" w:sz="0" w:space="0" w:color="auto"/>
        <w:right w:val="none" w:sz="0" w:space="0" w:color="auto"/>
      </w:divBdr>
      <w:divsChild>
        <w:div w:id="1850414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130694">
              <w:marLeft w:val="0"/>
              <w:marRight w:val="0"/>
              <w:marTop w:val="0"/>
              <w:marBottom w:val="0"/>
              <w:divBdr>
                <w:top w:val="none" w:sz="0" w:space="0" w:color="auto"/>
                <w:left w:val="none" w:sz="0" w:space="0" w:color="auto"/>
                <w:bottom w:val="none" w:sz="0" w:space="0" w:color="auto"/>
                <w:right w:val="none" w:sz="0" w:space="0" w:color="auto"/>
              </w:divBdr>
              <w:divsChild>
                <w:div w:id="106318432">
                  <w:marLeft w:val="0"/>
                  <w:marRight w:val="0"/>
                  <w:marTop w:val="0"/>
                  <w:marBottom w:val="200"/>
                  <w:divBdr>
                    <w:top w:val="none" w:sz="0" w:space="0" w:color="auto"/>
                    <w:left w:val="none" w:sz="0" w:space="0" w:color="auto"/>
                    <w:bottom w:val="none" w:sz="0" w:space="0" w:color="auto"/>
                    <w:right w:val="none" w:sz="0" w:space="0" w:color="auto"/>
                  </w:divBdr>
                </w:div>
                <w:div w:id="175076543">
                  <w:marLeft w:val="0"/>
                  <w:marRight w:val="0"/>
                  <w:marTop w:val="240"/>
                  <w:marBottom w:val="240"/>
                  <w:divBdr>
                    <w:top w:val="none" w:sz="0" w:space="0" w:color="auto"/>
                    <w:left w:val="none" w:sz="0" w:space="0" w:color="auto"/>
                    <w:bottom w:val="none" w:sz="0" w:space="0" w:color="auto"/>
                    <w:right w:val="none" w:sz="0" w:space="0" w:color="auto"/>
                  </w:divBdr>
                </w:div>
                <w:div w:id="179663683">
                  <w:marLeft w:val="0"/>
                  <w:marRight w:val="0"/>
                  <w:marTop w:val="0"/>
                  <w:marBottom w:val="200"/>
                  <w:divBdr>
                    <w:top w:val="none" w:sz="0" w:space="0" w:color="auto"/>
                    <w:left w:val="none" w:sz="0" w:space="0" w:color="auto"/>
                    <w:bottom w:val="none" w:sz="0" w:space="0" w:color="auto"/>
                    <w:right w:val="none" w:sz="0" w:space="0" w:color="auto"/>
                  </w:divBdr>
                </w:div>
                <w:div w:id="186987007">
                  <w:marLeft w:val="0"/>
                  <w:marRight w:val="0"/>
                  <w:marTop w:val="0"/>
                  <w:marBottom w:val="200"/>
                  <w:divBdr>
                    <w:top w:val="none" w:sz="0" w:space="0" w:color="auto"/>
                    <w:left w:val="none" w:sz="0" w:space="0" w:color="auto"/>
                    <w:bottom w:val="none" w:sz="0" w:space="0" w:color="auto"/>
                    <w:right w:val="none" w:sz="0" w:space="0" w:color="auto"/>
                  </w:divBdr>
                </w:div>
                <w:div w:id="233052930">
                  <w:marLeft w:val="0"/>
                  <w:marRight w:val="0"/>
                  <w:marTop w:val="0"/>
                  <w:marBottom w:val="200"/>
                  <w:divBdr>
                    <w:top w:val="none" w:sz="0" w:space="0" w:color="auto"/>
                    <w:left w:val="none" w:sz="0" w:space="0" w:color="auto"/>
                    <w:bottom w:val="none" w:sz="0" w:space="0" w:color="auto"/>
                    <w:right w:val="none" w:sz="0" w:space="0" w:color="auto"/>
                  </w:divBdr>
                </w:div>
                <w:div w:id="272444005">
                  <w:marLeft w:val="0"/>
                  <w:marRight w:val="0"/>
                  <w:marTop w:val="0"/>
                  <w:marBottom w:val="200"/>
                  <w:divBdr>
                    <w:top w:val="none" w:sz="0" w:space="0" w:color="auto"/>
                    <w:left w:val="none" w:sz="0" w:space="0" w:color="auto"/>
                    <w:bottom w:val="none" w:sz="0" w:space="0" w:color="auto"/>
                    <w:right w:val="none" w:sz="0" w:space="0" w:color="auto"/>
                  </w:divBdr>
                </w:div>
                <w:div w:id="354116601">
                  <w:marLeft w:val="0"/>
                  <w:marRight w:val="0"/>
                  <w:marTop w:val="0"/>
                  <w:marBottom w:val="200"/>
                  <w:divBdr>
                    <w:top w:val="none" w:sz="0" w:space="0" w:color="auto"/>
                    <w:left w:val="none" w:sz="0" w:space="0" w:color="auto"/>
                    <w:bottom w:val="none" w:sz="0" w:space="0" w:color="auto"/>
                    <w:right w:val="none" w:sz="0" w:space="0" w:color="auto"/>
                  </w:divBdr>
                </w:div>
                <w:div w:id="430399264">
                  <w:marLeft w:val="0"/>
                  <w:marRight w:val="0"/>
                  <w:marTop w:val="0"/>
                  <w:marBottom w:val="200"/>
                  <w:divBdr>
                    <w:top w:val="none" w:sz="0" w:space="0" w:color="auto"/>
                    <w:left w:val="none" w:sz="0" w:space="0" w:color="auto"/>
                    <w:bottom w:val="none" w:sz="0" w:space="0" w:color="auto"/>
                    <w:right w:val="none" w:sz="0" w:space="0" w:color="auto"/>
                  </w:divBdr>
                </w:div>
                <w:div w:id="552277765">
                  <w:marLeft w:val="0"/>
                  <w:marRight w:val="0"/>
                  <w:marTop w:val="0"/>
                  <w:marBottom w:val="200"/>
                  <w:divBdr>
                    <w:top w:val="none" w:sz="0" w:space="0" w:color="auto"/>
                    <w:left w:val="none" w:sz="0" w:space="0" w:color="auto"/>
                    <w:bottom w:val="none" w:sz="0" w:space="0" w:color="auto"/>
                    <w:right w:val="none" w:sz="0" w:space="0" w:color="auto"/>
                  </w:divBdr>
                </w:div>
                <w:div w:id="558826521">
                  <w:marLeft w:val="0"/>
                  <w:marRight w:val="0"/>
                  <w:marTop w:val="0"/>
                  <w:marBottom w:val="200"/>
                  <w:divBdr>
                    <w:top w:val="none" w:sz="0" w:space="0" w:color="auto"/>
                    <w:left w:val="none" w:sz="0" w:space="0" w:color="auto"/>
                    <w:bottom w:val="none" w:sz="0" w:space="0" w:color="auto"/>
                    <w:right w:val="none" w:sz="0" w:space="0" w:color="auto"/>
                  </w:divBdr>
                </w:div>
                <w:div w:id="589119962">
                  <w:marLeft w:val="0"/>
                  <w:marRight w:val="0"/>
                  <w:marTop w:val="0"/>
                  <w:marBottom w:val="200"/>
                  <w:divBdr>
                    <w:top w:val="none" w:sz="0" w:space="0" w:color="auto"/>
                    <w:left w:val="none" w:sz="0" w:space="0" w:color="auto"/>
                    <w:bottom w:val="none" w:sz="0" w:space="0" w:color="auto"/>
                    <w:right w:val="none" w:sz="0" w:space="0" w:color="auto"/>
                  </w:divBdr>
                </w:div>
                <w:div w:id="753085846">
                  <w:marLeft w:val="0"/>
                  <w:marRight w:val="0"/>
                  <w:marTop w:val="240"/>
                  <w:marBottom w:val="40"/>
                  <w:divBdr>
                    <w:top w:val="none" w:sz="0" w:space="0" w:color="auto"/>
                    <w:left w:val="none" w:sz="0" w:space="0" w:color="auto"/>
                    <w:bottom w:val="none" w:sz="0" w:space="0" w:color="auto"/>
                    <w:right w:val="none" w:sz="0" w:space="0" w:color="auto"/>
                  </w:divBdr>
                </w:div>
                <w:div w:id="777874704">
                  <w:marLeft w:val="0"/>
                  <w:marRight w:val="0"/>
                  <w:marTop w:val="0"/>
                  <w:marBottom w:val="200"/>
                  <w:divBdr>
                    <w:top w:val="none" w:sz="0" w:space="0" w:color="auto"/>
                    <w:left w:val="none" w:sz="0" w:space="0" w:color="auto"/>
                    <w:bottom w:val="none" w:sz="0" w:space="0" w:color="auto"/>
                    <w:right w:val="none" w:sz="0" w:space="0" w:color="auto"/>
                  </w:divBdr>
                </w:div>
                <w:div w:id="835799651">
                  <w:marLeft w:val="0"/>
                  <w:marRight w:val="0"/>
                  <w:marTop w:val="0"/>
                  <w:marBottom w:val="200"/>
                  <w:divBdr>
                    <w:top w:val="none" w:sz="0" w:space="0" w:color="auto"/>
                    <w:left w:val="none" w:sz="0" w:space="0" w:color="auto"/>
                    <w:bottom w:val="none" w:sz="0" w:space="0" w:color="auto"/>
                    <w:right w:val="none" w:sz="0" w:space="0" w:color="auto"/>
                  </w:divBdr>
                </w:div>
                <w:div w:id="859202953">
                  <w:marLeft w:val="0"/>
                  <w:marRight w:val="0"/>
                  <w:marTop w:val="240"/>
                  <w:marBottom w:val="240"/>
                  <w:divBdr>
                    <w:top w:val="none" w:sz="0" w:space="0" w:color="auto"/>
                    <w:left w:val="none" w:sz="0" w:space="0" w:color="auto"/>
                    <w:bottom w:val="none" w:sz="0" w:space="0" w:color="auto"/>
                    <w:right w:val="none" w:sz="0" w:space="0" w:color="auto"/>
                  </w:divBdr>
                </w:div>
                <w:div w:id="949430528">
                  <w:marLeft w:val="0"/>
                  <w:marRight w:val="0"/>
                  <w:marTop w:val="360"/>
                  <w:marBottom w:val="80"/>
                  <w:divBdr>
                    <w:top w:val="none" w:sz="0" w:space="0" w:color="auto"/>
                    <w:left w:val="none" w:sz="0" w:space="0" w:color="auto"/>
                    <w:bottom w:val="none" w:sz="0" w:space="0" w:color="auto"/>
                    <w:right w:val="none" w:sz="0" w:space="0" w:color="auto"/>
                  </w:divBdr>
                </w:div>
                <w:div w:id="1083919189">
                  <w:marLeft w:val="0"/>
                  <w:marRight w:val="0"/>
                  <w:marTop w:val="0"/>
                  <w:marBottom w:val="200"/>
                  <w:divBdr>
                    <w:top w:val="none" w:sz="0" w:space="0" w:color="auto"/>
                    <w:left w:val="none" w:sz="0" w:space="0" w:color="auto"/>
                    <w:bottom w:val="none" w:sz="0" w:space="0" w:color="auto"/>
                    <w:right w:val="none" w:sz="0" w:space="0" w:color="auto"/>
                  </w:divBdr>
                </w:div>
                <w:div w:id="1105731342">
                  <w:marLeft w:val="0"/>
                  <w:marRight w:val="0"/>
                  <w:marTop w:val="240"/>
                  <w:marBottom w:val="240"/>
                  <w:divBdr>
                    <w:top w:val="none" w:sz="0" w:space="0" w:color="auto"/>
                    <w:left w:val="none" w:sz="0" w:space="0" w:color="auto"/>
                    <w:bottom w:val="none" w:sz="0" w:space="0" w:color="auto"/>
                    <w:right w:val="none" w:sz="0" w:space="0" w:color="auto"/>
                  </w:divBdr>
                </w:div>
                <w:div w:id="1151094655">
                  <w:marLeft w:val="0"/>
                  <w:marRight w:val="0"/>
                  <w:marTop w:val="0"/>
                  <w:marBottom w:val="200"/>
                  <w:divBdr>
                    <w:top w:val="none" w:sz="0" w:space="0" w:color="auto"/>
                    <w:left w:val="none" w:sz="0" w:space="0" w:color="auto"/>
                    <w:bottom w:val="none" w:sz="0" w:space="0" w:color="auto"/>
                    <w:right w:val="none" w:sz="0" w:space="0" w:color="auto"/>
                  </w:divBdr>
                </w:div>
                <w:div w:id="1197506425">
                  <w:marLeft w:val="0"/>
                  <w:marRight w:val="0"/>
                  <w:marTop w:val="240"/>
                  <w:marBottom w:val="40"/>
                  <w:divBdr>
                    <w:top w:val="none" w:sz="0" w:space="0" w:color="auto"/>
                    <w:left w:val="none" w:sz="0" w:space="0" w:color="auto"/>
                    <w:bottom w:val="none" w:sz="0" w:space="0" w:color="auto"/>
                    <w:right w:val="none" w:sz="0" w:space="0" w:color="auto"/>
                  </w:divBdr>
                </w:div>
                <w:div w:id="1292175951">
                  <w:marLeft w:val="0"/>
                  <w:marRight w:val="0"/>
                  <w:marTop w:val="0"/>
                  <w:marBottom w:val="200"/>
                  <w:divBdr>
                    <w:top w:val="none" w:sz="0" w:space="0" w:color="auto"/>
                    <w:left w:val="none" w:sz="0" w:space="0" w:color="auto"/>
                    <w:bottom w:val="none" w:sz="0" w:space="0" w:color="auto"/>
                    <w:right w:val="none" w:sz="0" w:space="0" w:color="auto"/>
                  </w:divBdr>
                </w:div>
                <w:div w:id="1342119634">
                  <w:marLeft w:val="0"/>
                  <w:marRight w:val="0"/>
                  <w:marTop w:val="240"/>
                  <w:marBottom w:val="40"/>
                  <w:divBdr>
                    <w:top w:val="none" w:sz="0" w:space="0" w:color="auto"/>
                    <w:left w:val="none" w:sz="0" w:space="0" w:color="auto"/>
                    <w:bottom w:val="none" w:sz="0" w:space="0" w:color="auto"/>
                    <w:right w:val="none" w:sz="0" w:space="0" w:color="auto"/>
                  </w:divBdr>
                </w:div>
                <w:div w:id="1344086716">
                  <w:marLeft w:val="0"/>
                  <w:marRight w:val="0"/>
                  <w:marTop w:val="360"/>
                  <w:marBottom w:val="80"/>
                  <w:divBdr>
                    <w:top w:val="none" w:sz="0" w:space="0" w:color="auto"/>
                    <w:left w:val="none" w:sz="0" w:space="0" w:color="auto"/>
                    <w:bottom w:val="none" w:sz="0" w:space="0" w:color="auto"/>
                    <w:right w:val="none" w:sz="0" w:space="0" w:color="auto"/>
                  </w:divBdr>
                </w:div>
                <w:div w:id="1355352020">
                  <w:marLeft w:val="0"/>
                  <w:marRight w:val="0"/>
                  <w:marTop w:val="0"/>
                  <w:marBottom w:val="200"/>
                  <w:divBdr>
                    <w:top w:val="none" w:sz="0" w:space="0" w:color="auto"/>
                    <w:left w:val="none" w:sz="0" w:space="0" w:color="auto"/>
                    <w:bottom w:val="none" w:sz="0" w:space="0" w:color="auto"/>
                    <w:right w:val="none" w:sz="0" w:space="0" w:color="auto"/>
                  </w:divBdr>
                </w:div>
                <w:div w:id="1450583794">
                  <w:marLeft w:val="0"/>
                  <w:marRight w:val="0"/>
                  <w:marTop w:val="0"/>
                  <w:marBottom w:val="200"/>
                  <w:divBdr>
                    <w:top w:val="none" w:sz="0" w:space="0" w:color="auto"/>
                    <w:left w:val="none" w:sz="0" w:space="0" w:color="auto"/>
                    <w:bottom w:val="none" w:sz="0" w:space="0" w:color="auto"/>
                    <w:right w:val="none" w:sz="0" w:space="0" w:color="auto"/>
                  </w:divBdr>
                </w:div>
                <w:div w:id="1468545156">
                  <w:marLeft w:val="0"/>
                  <w:marRight w:val="0"/>
                  <w:marTop w:val="0"/>
                  <w:marBottom w:val="200"/>
                  <w:divBdr>
                    <w:top w:val="none" w:sz="0" w:space="0" w:color="auto"/>
                    <w:left w:val="none" w:sz="0" w:space="0" w:color="auto"/>
                    <w:bottom w:val="none" w:sz="0" w:space="0" w:color="auto"/>
                    <w:right w:val="none" w:sz="0" w:space="0" w:color="auto"/>
                  </w:divBdr>
                </w:div>
                <w:div w:id="1481460701">
                  <w:marLeft w:val="0"/>
                  <w:marRight w:val="0"/>
                  <w:marTop w:val="0"/>
                  <w:marBottom w:val="200"/>
                  <w:divBdr>
                    <w:top w:val="none" w:sz="0" w:space="0" w:color="auto"/>
                    <w:left w:val="none" w:sz="0" w:space="0" w:color="auto"/>
                    <w:bottom w:val="none" w:sz="0" w:space="0" w:color="auto"/>
                    <w:right w:val="none" w:sz="0" w:space="0" w:color="auto"/>
                  </w:divBdr>
                </w:div>
                <w:div w:id="1561749940">
                  <w:marLeft w:val="0"/>
                  <w:marRight w:val="0"/>
                  <w:marTop w:val="240"/>
                  <w:marBottom w:val="240"/>
                  <w:divBdr>
                    <w:top w:val="none" w:sz="0" w:space="0" w:color="auto"/>
                    <w:left w:val="none" w:sz="0" w:space="0" w:color="auto"/>
                    <w:bottom w:val="none" w:sz="0" w:space="0" w:color="auto"/>
                    <w:right w:val="none" w:sz="0" w:space="0" w:color="auto"/>
                  </w:divBdr>
                </w:div>
                <w:div w:id="1674528724">
                  <w:marLeft w:val="0"/>
                  <w:marRight w:val="0"/>
                  <w:marTop w:val="240"/>
                  <w:marBottom w:val="240"/>
                  <w:divBdr>
                    <w:top w:val="none" w:sz="0" w:space="0" w:color="auto"/>
                    <w:left w:val="none" w:sz="0" w:space="0" w:color="auto"/>
                    <w:bottom w:val="none" w:sz="0" w:space="0" w:color="auto"/>
                    <w:right w:val="none" w:sz="0" w:space="0" w:color="auto"/>
                  </w:divBdr>
                </w:div>
                <w:div w:id="1678264855">
                  <w:marLeft w:val="0"/>
                  <w:marRight w:val="0"/>
                  <w:marTop w:val="0"/>
                  <w:marBottom w:val="200"/>
                  <w:divBdr>
                    <w:top w:val="none" w:sz="0" w:space="0" w:color="auto"/>
                    <w:left w:val="none" w:sz="0" w:space="0" w:color="auto"/>
                    <w:bottom w:val="none" w:sz="0" w:space="0" w:color="auto"/>
                    <w:right w:val="none" w:sz="0" w:space="0" w:color="auto"/>
                  </w:divBdr>
                </w:div>
                <w:div w:id="1688749177">
                  <w:marLeft w:val="0"/>
                  <w:marRight w:val="0"/>
                  <w:marTop w:val="360"/>
                  <w:marBottom w:val="80"/>
                  <w:divBdr>
                    <w:top w:val="none" w:sz="0" w:space="0" w:color="auto"/>
                    <w:left w:val="none" w:sz="0" w:space="0" w:color="auto"/>
                    <w:bottom w:val="none" w:sz="0" w:space="0" w:color="auto"/>
                    <w:right w:val="none" w:sz="0" w:space="0" w:color="auto"/>
                  </w:divBdr>
                </w:div>
                <w:div w:id="1740324755">
                  <w:marLeft w:val="0"/>
                  <w:marRight w:val="0"/>
                  <w:marTop w:val="0"/>
                  <w:marBottom w:val="200"/>
                  <w:divBdr>
                    <w:top w:val="none" w:sz="0" w:space="0" w:color="auto"/>
                    <w:left w:val="none" w:sz="0" w:space="0" w:color="auto"/>
                    <w:bottom w:val="none" w:sz="0" w:space="0" w:color="auto"/>
                    <w:right w:val="none" w:sz="0" w:space="0" w:color="auto"/>
                  </w:divBdr>
                </w:div>
                <w:div w:id="1740590262">
                  <w:marLeft w:val="0"/>
                  <w:marRight w:val="0"/>
                  <w:marTop w:val="0"/>
                  <w:marBottom w:val="200"/>
                  <w:divBdr>
                    <w:top w:val="none" w:sz="0" w:space="0" w:color="auto"/>
                    <w:left w:val="none" w:sz="0" w:space="0" w:color="auto"/>
                    <w:bottom w:val="none" w:sz="0" w:space="0" w:color="auto"/>
                    <w:right w:val="none" w:sz="0" w:space="0" w:color="auto"/>
                  </w:divBdr>
                </w:div>
                <w:div w:id="1785691186">
                  <w:marLeft w:val="0"/>
                  <w:marRight w:val="0"/>
                  <w:marTop w:val="0"/>
                  <w:marBottom w:val="200"/>
                  <w:divBdr>
                    <w:top w:val="none" w:sz="0" w:space="0" w:color="auto"/>
                    <w:left w:val="none" w:sz="0" w:space="0" w:color="auto"/>
                    <w:bottom w:val="none" w:sz="0" w:space="0" w:color="auto"/>
                    <w:right w:val="none" w:sz="0" w:space="0" w:color="auto"/>
                  </w:divBdr>
                </w:div>
                <w:div w:id="1804695622">
                  <w:marLeft w:val="0"/>
                  <w:marRight w:val="0"/>
                  <w:marTop w:val="240"/>
                  <w:marBottom w:val="240"/>
                  <w:divBdr>
                    <w:top w:val="none" w:sz="0" w:space="0" w:color="auto"/>
                    <w:left w:val="none" w:sz="0" w:space="0" w:color="auto"/>
                    <w:bottom w:val="none" w:sz="0" w:space="0" w:color="auto"/>
                    <w:right w:val="none" w:sz="0" w:space="0" w:color="auto"/>
                  </w:divBdr>
                </w:div>
                <w:div w:id="1820226456">
                  <w:marLeft w:val="0"/>
                  <w:marRight w:val="0"/>
                  <w:marTop w:val="240"/>
                  <w:marBottom w:val="240"/>
                  <w:divBdr>
                    <w:top w:val="none" w:sz="0" w:space="0" w:color="auto"/>
                    <w:left w:val="none" w:sz="0" w:space="0" w:color="auto"/>
                    <w:bottom w:val="none" w:sz="0" w:space="0" w:color="auto"/>
                    <w:right w:val="none" w:sz="0" w:space="0" w:color="auto"/>
                  </w:divBdr>
                </w:div>
                <w:div w:id="1836258467">
                  <w:marLeft w:val="0"/>
                  <w:marRight w:val="0"/>
                  <w:marTop w:val="240"/>
                  <w:marBottom w:val="240"/>
                  <w:divBdr>
                    <w:top w:val="none" w:sz="0" w:space="0" w:color="auto"/>
                    <w:left w:val="none" w:sz="0" w:space="0" w:color="auto"/>
                    <w:bottom w:val="none" w:sz="0" w:space="0" w:color="auto"/>
                    <w:right w:val="none" w:sz="0" w:space="0" w:color="auto"/>
                  </w:divBdr>
                </w:div>
                <w:div w:id="1841000587">
                  <w:marLeft w:val="360"/>
                  <w:marRight w:val="0"/>
                  <w:marTop w:val="0"/>
                  <w:marBottom w:val="200"/>
                  <w:divBdr>
                    <w:top w:val="none" w:sz="0" w:space="0" w:color="auto"/>
                    <w:left w:val="none" w:sz="0" w:space="0" w:color="auto"/>
                    <w:bottom w:val="none" w:sz="0" w:space="0" w:color="auto"/>
                    <w:right w:val="none" w:sz="0" w:space="0" w:color="auto"/>
                  </w:divBdr>
                </w:div>
                <w:div w:id="1866092697">
                  <w:marLeft w:val="360"/>
                  <w:marRight w:val="0"/>
                  <w:marTop w:val="0"/>
                  <w:marBottom w:val="200"/>
                  <w:divBdr>
                    <w:top w:val="none" w:sz="0" w:space="0" w:color="auto"/>
                    <w:left w:val="none" w:sz="0" w:space="0" w:color="auto"/>
                    <w:bottom w:val="none" w:sz="0" w:space="0" w:color="auto"/>
                    <w:right w:val="none" w:sz="0" w:space="0" w:color="auto"/>
                  </w:divBdr>
                </w:div>
                <w:div w:id="1876193323">
                  <w:marLeft w:val="0"/>
                  <w:marRight w:val="0"/>
                  <w:marTop w:val="0"/>
                  <w:marBottom w:val="200"/>
                  <w:divBdr>
                    <w:top w:val="none" w:sz="0" w:space="0" w:color="auto"/>
                    <w:left w:val="none" w:sz="0" w:space="0" w:color="auto"/>
                    <w:bottom w:val="none" w:sz="0" w:space="0" w:color="auto"/>
                    <w:right w:val="none" w:sz="0" w:space="0" w:color="auto"/>
                  </w:divBdr>
                </w:div>
                <w:div w:id="1884708437">
                  <w:marLeft w:val="0"/>
                  <w:marRight w:val="0"/>
                  <w:marTop w:val="0"/>
                  <w:marBottom w:val="200"/>
                  <w:divBdr>
                    <w:top w:val="none" w:sz="0" w:space="0" w:color="auto"/>
                    <w:left w:val="none" w:sz="0" w:space="0" w:color="auto"/>
                    <w:bottom w:val="none" w:sz="0" w:space="0" w:color="auto"/>
                    <w:right w:val="none" w:sz="0" w:space="0" w:color="auto"/>
                  </w:divBdr>
                </w:div>
                <w:div w:id="1939437271">
                  <w:marLeft w:val="0"/>
                  <w:marRight w:val="0"/>
                  <w:marTop w:val="360"/>
                  <w:marBottom w:val="80"/>
                  <w:divBdr>
                    <w:top w:val="none" w:sz="0" w:space="0" w:color="auto"/>
                    <w:left w:val="none" w:sz="0" w:space="0" w:color="auto"/>
                    <w:bottom w:val="none" w:sz="0" w:space="0" w:color="auto"/>
                    <w:right w:val="none" w:sz="0" w:space="0" w:color="auto"/>
                  </w:divBdr>
                </w:div>
                <w:div w:id="1959919649">
                  <w:marLeft w:val="0"/>
                  <w:marRight w:val="0"/>
                  <w:marTop w:val="0"/>
                  <w:marBottom w:val="200"/>
                  <w:divBdr>
                    <w:top w:val="none" w:sz="0" w:space="0" w:color="auto"/>
                    <w:left w:val="none" w:sz="0" w:space="0" w:color="auto"/>
                    <w:bottom w:val="none" w:sz="0" w:space="0" w:color="auto"/>
                    <w:right w:val="none" w:sz="0" w:space="0" w:color="auto"/>
                  </w:divBdr>
                </w:div>
                <w:div w:id="1971593920">
                  <w:marLeft w:val="360"/>
                  <w:marRight w:val="0"/>
                  <w:marTop w:val="0"/>
                  <w:marBottom w:val="200"/>
                  <w:divBdr>
                    <w:top w:val="none" w:sz="0" w:space="0" w:color="auto"/>
                    <w:left w:val="none" w:sz="0" w:space="0" w:color="auto"/>
                    <w:bottom w:val="none" w:sz="0" w:space="0" w:color="auto"/>
                    <w:right w:val="none" w:sz="0" w:space="0" w:color="auto"/>
                  </w:divBdr>
                </w:div>
                <w:div w:id="2000768682">
                  <w:marLeft w:val="0"/>
                  <w:marRight w:val="0"/>
                  <w:marTop w:val="0"/>
                  <w:marBottom w:val="200"/>
                  <w:divBdr>
                    <w:top w:val="none" w:sz="0" w:space="0" w:color="auto"/>
                    <w:left w:val="none" w:sz="0" w:space="0" w:color="auto"/>
                    <w:bottom w:val="none" w:sz="0" w:space="0" w:color="auto"/>
                    <w:right w:val="none" w:sz="0" w:space="0" w:color="auto"/>
                  </w:divBdr>
                </w:div>
                <w:div w:id="2012220957">
                  <w:marLeft w:val="0"/>
                  <w:marRight w:val="0"/>
                  <w:marTop w:val="0"/>
                  <w:marBottom w:val="200"/>
                  <w:divBdr>
                    <w:top w:val="none" w:sz="0" w:space="0" w:color="auto"/>
                    <w:left w:val="none" w:sz="0" w:space="0" w:color="auto"/>
                    <w:bottom w:val="none" w:sz="0" w:space="0" w:color="auto"/>
                    <w:right w:val="none" w:sz="0" w:space="0" w:color="auto"/>
                  </w:divBdr>
                </w:div>
                <w:div w:id="2021738520">
                  <w:marLeft w:val="0"/>
                  <w:marRight w:val="0"/>
                  <w:marTop w:val="0"/>
                  <w:marBottom w:val="200"/>
                  <w:divBdr>
                    <w:top w:val="none" w:sz="0" w:space="0" w:color="auto"/>
                    <w:left w:val="none" w:sz="0" w:space="0" w:color="auto"/>
                    <w:bottom w:val="none" w:sz="0" w:space="0" w:color="auto"/>
                    <w:right w:val="none" w:sz="0" w:space="0" w:color="auto"/>
                  </w:divBdr>
                </w:div>
                <w:div w:id="2054499952">
                  <w:marLeft w:val="0"/>
                  <w:marRight w:val="0"/>
                  <w:marTop w:val="0"/>
                  <w:marBottom w:val="200"/>
                  <w:divBdr>
                    <w:top w:val="none" w:sz="0" w:space="0" w:color="auto"/>
                    <w:left w:val="none" w:sz="0" w:space="0" w:color="auto"/>
                    <w:bottom w:val="none" w:sz="0" w:space="0" w:color="auto"/>
                    <w:right w:val="none" w:sz="0" w:space="0" w:color="auto"/>
                  </w:divBdr>
                </w:div>
                <w:div w:id="2081437981">
                  <w:marLeft w:val="0"/>
                  <w:marRight w:val="0"/>
                  <w:marTop w:val="0"/>
                  <w:marBottom w:val="200"/>
                  <w:divBdr>
                    <w:top w:val="none" w:sz="0" w:space="0" w:color="auto"/>
                    <w:left w:val="none" w:sz="0" w:space="0" w:color="auto"/>
                    <w:bottom w:val="none" w:sz="0" w:space="0" w:color="auto"/>
                    <w:right w:val="none" w:sz="0" w:space="0" w:color="auto"/>
                  </w:divBdr>
                </w:div>
                <w:div w:id="213964501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646470813">
      <w:bodyDiv w:val="1"/>
      <w:marLeft w:val="0"/>
      <w:marRight w:val="0"/>
      <w:marTop w:val="0"/>
      <w:marBottom w:val="0"/>
      <w:divBdr>
        <w:top w:val="none" w:sz="0" w:space="0" w:color="auto"/>
        <w:left w:val="none" w:sz="0" w:space="0" w:color="auto"/>
        <w:bottom w:val="none" w:sz="0" w:space="0" w:color="auto"/>
        <w:right w:val="none" w:sz="0" w:space="0" w:color="auto"/>
      </w:divBdr>
      <w:divsChild>
        <w:div w:id="358898215">
          <w:marLeft w:val="480"/>
          <w:marRight w:val="0"/>
          <w:marTop w:val="0"/>
          <w:marBottom w:val="0"/>
          <w:divBdr>
            <w:top w:val="none" w:sz="0" w:space="0" w:color="auto"/>
            <w:left w:val="none" w:sz="0" w:space="0" w:color="auto"/>
            <w:bottom w:val="none" w:sz="0" w:space="0" w:color="auto"/>
            <w:right w:val="none" w:sz="0" w:space="0" w:color="auto"/>
          </w:divBdr>
          <w:divsChild>
            <w:div w:id="4119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270">
      <w:bodyDiv w:val="1"/>
      <w:marLeft w:val="0"/>
      <w:marRight w:val="0"/>
      <w:marTop w:val="0"/>
      <w:marBottom w:val="0"/>
      <w:divBdr>
        <w:top w:val="none" w:sz="0" w:space="0" w:color="auto"/>
        <w:left w:val="none" w:sz="0" w:space="0" w:color="auto"/>
        <w:bottom w:val="none" w:sz="0" w:space="0" w:color="auto"/>
        <w:right w:val="none" w:sz="0" w:space="0" w:color="auto"/>
      </w:divBdr>
      <w:divsChild>
        <w:div w:id="1609121528">
          <w:marLeft w:val="480"/>
          <w:marRight w:val="0"/>
          <w:marTop w:val="0"/>
          <w:marBottom w:val="0"/>
          <w:divBdr>
            <w:top w:val="none" w:sz="0" w:space="0" w:color="auto"/>
            <w:left w:val="none" w:sz="0" w:space="0" w:color="auto"/>
            <w:bottom w:val="none" w:sz="0" w:space="0" w:color="auto"/>
            <w:right w:val="none" w:sz="0" w:space="0" w:color="auto"/>
          </w:divBdr>
          <w:divsChild>
            <w:div w:id="19863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353">
      <w:bodyDiv w:val="1"/>
      <w:marLeft w:val="0"/>
      <w:marRight w:val="0"/>
      <w:marTop w:val="0"/>
      <w:marBottom w:val="0"/>
      <w:divBdr>
        <w:top w:val="none" w:sz="0" w:space="0" w:color="auto"/>
        <w:left w:val="none" w:sz="0" w:space="0" w:color="auto"/>
        <w:bottom w:val="none" w:sz="0" w:space="0" w:color="auto"/>
        <w:right w:val="none" w:sz="0" w:space="0" w:color="auto"/>
      </w:divBdr>
      <w:divsChild>
        <w:div w:id="961956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753353">
              <w:marLeft w:val="0"/>
              <w:marRight w:val="0"/>
              <w:marTop w:val="0"/>
              <w:marBottom w:val="0"/>
              <w:divBdr>
                <w:top w:val="none" w:sz="0" w:space="0" w:color="auto"/>
                <w:left w:val="none" w:sz="0" w:space="0" w:color="auto"/>
                <w:bottom w:val="none" w:sz="0" w:space="0" w:color="auto"/>
                <w:right w:val="none" w:sz="0" w:space="0" w:color="auto"/>
              </w:divBdr>
              <w:divsChild>
                <w:div w:id="24260415">
                  <w:marLeft w:val="0"/>
                  <w:marRight w:val="0"/>
                  <w:marTop w:val="0"/>
                  <w:marBottom w:val="200"/>
                  <w:divBdr>
                    <w:top w:val="none" w:sz="0" w:space="0" w:color="auto"/>
                    <w:left w:val="none" w:sz="0" w:space="0" w:color="auto"/>
                    <w:bottom w:val="none" w:sz="0" w:space="0" w:color="auto"/>
                    <w:right w:val="none" w:sz="0" w:space="0" w:color="auto"/>
                  </w:divBdr>
                </w:div>
                <w:div w:id="54667093">
                  <w:marLeft w:val="0"/>
                  <w:marRight w:val="0"/>
                  <w:marTop w:val="240"/>
                  <w:marBottom w:val="240"/>
                  <w:divBdr>
                    <w:top w:val="none" w:sz="0" w:space="0" w:color="auto"/>
                    <w:left w:val="none" w:sz="0" w:space="0" w:color="auto"/>
                    <w:bottom w:val="none" w:sz="0" w:space="0" w:color="auto"/>
                    <w:right w:val="none" w:sz="0" w:space="0" w:color="auto"/>
                  </w:divBdr>
                </w:div>
                <w:div w:id="80413520">
                  <w:marLeft w:val="0"/>
                  <w:marRight w:val="0"/>
                  <w:marTop w:val="240"/>
                  <w:marBottom w:val="240"/>
                  <w:divBdr>
                    <w:top w:val="none" w:sz="0" w:space="0" w:color="auto"/>
                    <w:left w:val="none" w:sz="0" w:space="0" w:color="auto"/>
                    <w:bottom w:val="none" w:sz="0" w:space="0" w:color="auto"/>
                    <w:right w:val="none" w:sz="0" w:space="0" w:color="auto"/>
                  </w:divBdr>
                </w:div>
                <w:div w:id="110053117">
                  <w:marLeft w:val="0"/>
                  <w:marRight w:val="0"/>
                  <w:marTop w:val="0"/>
                  <w:marBottom w:val="200"/>
                  <w:divBdr>
                    <w:top w:val="none" w:sz="0" w:space="0" w:color="auto"/>
                    <w:left w:val="none" w:sz="0" w:space="0" w:color="auto"/>
                    <w:bottom w:val="none" w:sz="0" w:space="0" w:color="auto"/>
                    <w:right w:val="none" w:sz="0" w:space="0" w:color="auto"/>
                  </w:divBdr>
                </w:div>
                <w:div w:id="113719553">
                  <w:marLeft w:val="0"/>
                  <w:marRight w:val="0"/>
                  <w:marTop w:val="0"/>
                  <w:marBottom w:val="200"/>
                  <w:divBdr>
                    <w:top w:val="none" w:sz="0" w:space="0" w:color="auto"/>
                    <w:left w:val="none" w:sz="0" w:space="0" w:color="auto"/>
                    <w:bottom w:val="none" w:sz="0" w:space="0" w:color="auto"/>
                    <w:right w:val="none" w:sz="0" w:space="0" w:color="auto"/>
                  </w:divBdr>
                </w:div>
                <w:div w:id="188759535">
                  <w:marLeft w:val="0"/>
                  <w:marRight w:val="0"/>
                  <w:marTop w:val="360"/>
                  <w:marBottom w:val="80"/>
                  <w:divBdr>
                    <w:top w:val="none" w:sz="0" w:space="0" w:color="auto"/>
                    <w:left w:val="none" w:sz="0" w:space="0" w:color="auto"/>
                    <w:bottom w:val="none" w:sz="0" w:space="0" w:color="auto"/>
                    <w:right w:val="none" w:sz="0" w:space="0" w:color="auto"/>
                  </w:divBdr>
                </w:div>
                <w:div w:id="253439813">
                  <w:marLeft w:val="0"/>
                  <w:marRight w:val="0"/>
                  <w:marTop w:val="0"/>
                  <w:marBottom w:val="200"/>
                  <w:divBdr>
                    <w:top w:val="none" w:sz="0" w:space="0" w:color="auto"/>
                    <w:left w:val="none" w:sz="0" w:space="0" w:color="auto"/>
                    <w:bottom w:val="none" w:sz="0" w:space="0" w:color="auto"/>
                    <w:right w:val="none" w:sz="0" w:space="0" w:color="auto"/>
                  </w:divBdr>
                </w:div>
                <w:div w:id="317199149">
                  <w:marLeft w:val="0"/>
                  <w:marRight w:val="0"/>
                  <w:marTop w:val="0"/>
                  <w:marBottom w:val="200"/>
                  <w:divBdr>
                    <w:top w:val="none" w:sz="0" w:space="0" w:color="auto"/>
                    <w:left w:val="none" w:sz="0" w:space="0" w:color="auto"/>
                    <w:bottom w:val="none" w:sz="0" w:space="0" w:color="auto"/>
                    <w:right w:val="none" w:sz="0" w:space="0" w:color="auto"/>
                  </w:divBdr>
                </w:div>
                <w:div w:id="333847070">
                  <w:marLeft w:val="0"/>
                  <w:marRight w:val="0"/>
                  <w:marTop w:val="0"/>
                  <w:marBottom w:val="200"/>
                  <w:divBdr>
                    <w:top w:val="none" w:sz="0" w:space="0" w:color="auto"/>
                    <w:left w:val="none" w:sz="0" w:space="0" w:color="auto"/>
                    <w:bottom w:val="none" w:sz="0" w:space="0" w:color="auto"/>
                    <w:right w:val="none" w:sz="0" w:space="0" w:color="auto"/>
                  </w:divBdr>
                </w:div>
                <w:div w:id="334236663">
                  <w:marLeft w:val="0"/>
                  <w:marRight w:val="0"/>
                  <w:marTop w:val="0"/>
                  <w:marBottom w:val="200"/>
                  <w:divBdr>
                    <w:top w:val="none" w:sz="0" w:space="0" w:color="auto"/>
                    <w:left w:val="none" w:sz="0" w:space="0" w:color="auto"/>
                    <w:bottom w:val="none" w:sz="0" w:space="0" w:color="auto"/>
                    <w:right w:val="none" w:sz="0" w:space="0" w:color="auto"/>
                  </w:divBdr>
                </w:div>
                <w:div w:id="375348611">
                  <w:marLeft w:val="0"/>
                  <w:marRight w:val="0"/>
                  <w:marTop w:val="0"/>
                  <w:marBottom w:val="200"/>
                  <w:divBdr>
                    <w:top w:val="none" w:sz="0" w:space="0" w:color="auto"/>
                    <w:left w:val="none" w:sz="0" w:space="0" w:color="auto"/>
                    <w:bottom w:val="none" w:sz="0" w:space="0" w:color="auto"/>
                    <w:right w:val="none" w:sz="0" w:space="0" w:color="auto"/>
                  </w:divBdr>
                </w:div>
                <w:div w:id="416100945">
                  <w:marLeft w:val="0"/>
                  <w:marRight w:val="0"/>
                  <w:marTop w:val="0"/>
                  <w:marBottom w:val="200"/>
                  <w:divBdr>
                    <w:top w:val="none" w:sz="0" w:space="0" w:color="auto"/>
                    <w:left w:val="none" w:sz="0" w:space="0" w:color="auto"/>
                    <w:bottom w:val="none" w:sz="0" w:space="0" w:color="auto"/>
                    <w:right w:val="none" w:sz="0" w:space="0" w:color="auto"/>
                  </w:divBdr>
                </w:div>
                <w:div w:id="449906652">
                  <w:marLeft w:val="0"/>
                  <w:marRight w:val="0"/>
                  <w:marTop w:val="240"/>
                  <w:marBottom w:val="240"/>
                  <w:divBdr>
                    <w:top w:val="none" w:sz="0" w:space="0" w:color="auto"/>
                    <w:left w:val="none" w:sz="0" w:space="0" w:color="auto"/>
                    <w:bottom w:val="none" w:sz="0" w:space="0" w:color="auto"/>
                    <w:right w:val="none" w:sz="0" w:space="0" w:color="auto"/>
                  </w:divBdr>
                </w:div>
                <w:div w:id="478037703">
                  <w:marLeft w:val="0"/>
                  <w:marRight w:val="0"/>
                  <w:marTop w:val="240"/>
                  <w:marBottom w:val="240"/>
                  <w:divBdr>
                    <w:top w:val="none" w:sz="0" w:space="0" w:color="auto"/>
                    <w:left w:val="none" w:sz="0" w:space="0" w:color="auto"/>
                    <w:bottom w:val="none" w:sz="0" w:space="0" w:color="auto"/>
                    <w:right w:val="none" w:sz="0" w:space="0" w:color="auto"/>
                  </w:divBdr>
                </w:div>
                <w:div w:id="513417117">
                  <w:marLeft w:val="0"/>
                  <w:marRight w:val="0"/>
                  <w:marTop w:val="0"/>
                  <w:marBottom w:val="200"/>
                  <w:divBdr>
                    <w:top w:val="none" w:sz="0" w:space="0" w:color="auto"/>
                    <w:left w:val="none" w:sz="0" w:space="0" w:color="auto"/>
                    <w:bottom w:val="none" w:sz="0" w:space="0" w:color="auto"/>
                    <w:right w:val="none" w:sz="0" w:space="0" w:color="auto"/>
                  </w:divBdr>
                </w:div>
                <w:div w:id="522136644">
                  <w:marLeft w:val="0"/>
                  <w:marRight w:val="0"/>
                  <w:marTop w:val="0"/>
                  <w:marBottom w:val="200"/>
                  <w:divBdr>
                    <w:top w:val="none" w:sz="0" w:space="0" w:color="auto"/>
                    <w:left w:val="none" w:sz="0" w:space="0" w:color="auto"/>
                    <w:bottom w:val="none" w:sz="0" w:space="0" w:color="auto"/>
                    <w:right w:val="none" w:sz="0" w:space="0" w:color="auto"/>
                  </w:divBdr>
                </w:div>
                <w:div w:id="537744441">
                  <w:marLeft w:val="0"/>
                  <w:marRight w:val="0"/>
                  <w:marTop w:val="240"/>
                  <w:marBottom w:val="240"/>
                  <w:divBdr>
                    <w:top w:val="none" w:sz="0" w:space="0" w:color="auto"/>
                    <w:left w:val="none" w:sz="0" w:space="0" w:color="auto"/>
                    <w:bottom w:val="none" w:sz="0" w:space="0" w:color="auto"/>
                    <w:right w:val="none" w:sz="0" w:space="0" w:color="auto"/>
                  </w:divBdr>
                </w:div>
                <w:div w:id="563639110">
                  <w:marLeft w:val="0"/>
                  <w:marRight w:val="0"/>
                  <w:marTop w:val="0"/>
                  <w:marBottom w:val="200"/>
                  <w:divBdr>
                    <w:top w:val="none" w:sz="0" w:space="0" w:color="auto"/>
                    <w:left w:val="none" w:sz="0" w:space="0" w:color="auto"/>
                    <w:bottom w:val="none" w:sz="0" w:space="0" w:color="auto"/>
                    <w:right w:val="none" w:sz="0" w:space="0" w:color="auto"/>
                  </w:divBdr>
                </w:div>
                <w:div w:id="575672560">
                  <w:marLeft w:val="0"/>
                  <w:marRight w:val="0"/>
                  <w:marTop w:val="0"/>
                  <w:marBottom w:val="200"/>
                  <w:divBdr>
                    <w:top w:val="none" w:sz="0" w:space="0" w:color="auto"/>
                    <w:left w:val="none" w:sz="0" w:space="0" w:color="auto"/>
                    <w:bottom w:val="none" w:sz="0" w:space="0" w:color="auto"/>
                    <w:right w:val="none" w:sz="0" w:space="0" w:color="auto"/>
                  </w:divBdr>
                </w:div>
                <w:div w:id="606423095">
                  <w:marLeft w:val="0"/>
                  <w:marRight w:val="0"/>
                  <w:marTop w:val="0"/>
                  <w:marBottom w:val="200"/>
                  <w:divBdr>
                    <w:top w:val="none" w:sz="0" w:space="0" w:color="auto"/>
                    <w:left w:val="none" w:sz="0" w:space="0" w:color="auto"/>
                    <w:bottom w:val="none" w:sz="0" w:space="0" w:color="auto"/>
                    <w:right w:val="none" w:sz="0" w:space="0" w:color="auto"/>
                  </w:divBdr>
                </w:div>
                <w:div w:id="703168505">
                  <w:marLeft w:val="0"/>
                  <w:marRight w:val="0"/>
                  <w:marTop w:val="0"/>
                  <w:marBottom w:val="200"/>
                  <w:divBdr>
                    <w:top w:val="none" w:sz="0" w:space="0" w:color="auto"/>
                    <w:left w:val="none" w:sz="0" w:space="0" w:color="auto"/>
                    <w:bottom w:val="none" w:sz="0" w:space="0" w:color="auto"/>
                    <w:right w:val="none" w:sz="0" w:space="0" w:color="auto"/>
                  </w:divBdr>
                </w:div>
                <w:div w:id="718867397">
                  <w:marLeft w:val="0"/>
                  <w:marRight w:val="0"/>
                  <w:marTop w:val="240"/>
                  <w:marBottom w:val="40"/>
                  <w:divBdr>
                    <w:top w:val="none" w:sz="0" w:space="0" w:color="auto"/>
                    <w:left w:val="none" w:sz="0" w:space="0" w:color="auto"/>
                    <w:bottom w:val="none" w:sz="0" w:space="0" w:color="auto"/>
                    <w:right w:val="none" w:sz="0" w:space="0" w:color="auto"/>
                  </w:divBdr>
                </w:div>
                <w:div w:id="904726932">
                  <w:marLeft w:val="0"/>
                  <w:marRight w:val="0"/>
                  <w:marTop w:val="0"/>
                  <w:marBottom w:val="200"/>
                  <w:divBdr>
                    <w:top w:val="none" w:sz="0" w:space="0" w:color="auto"/>
                    <w:left w:val="none" w:sz="0" w:space="0" w:color="auto"/>
                    <w:bottom w:val="none" w:sz="0" w:space="0" w:color="auto"/>
                    <w:right w:val="none" w:sz="0" w:space="0" w:color="auto"/>
                  </w:divBdr>
                </w:div>
                <w:div w:id="972249129">
                  <w:marLeft w:val="0"/>
                  <w:marRight w:val="0"/>
                  <w:marTop w:val="0"/>
                  <w:marBottom w:val="200"/>
                  <w:divBdr>
                    <w:top w:val="none" w:sz="0" w:space="0" w:color="auto"/>
                    <w:left w:val="none" w:sz="0" w:space="0" w:color="auto"/>
                    <w:bottom w:val="none" w:sz="0" w:space="0" w:color="auto"/>
                    <w:right w:val="none" w:sz="0" w:space="0" w:color="auto"/>
                  </w:divBdr>
                </w:div>
                <w:div w:id="1014763136">
                  <w:marLeft w:val="0"/>
                  <w:marRight w:val="0"/>
                  <w:marTop w:val="240"/>
                  <w:marBottom w:val="40"/>
                  <w:divBdr>
                    <w:top w:val="none" w:sz="0" w:space="0" w:color="auto"/>
                    <w:left w:val="none" w:sz="0" w:space="0" w:color="auto"/>
                    <w:bottom w:val="none" w:sz="0" w:space="0" w:color="auto"/>
                    <w:right w:val="none" w:sz="0" w:space="0" w:color="auto"/>
                  </w:divBdr>
                </w:div>
                <w:div w:id="1152789077">
                  <w:marLeft w:val="0"/>
                  <w:marRight w:val="0"/>
                  <w:marTop w:val="0"/>
                  <w:marBottom w:val="200"/>
                  <w:divBdr>
                    <w:top w:val="none" w:sz="0" w:space="0" w:color="auto"/>
                    <w:left w:val="none" w:sz="0" w:space="0" w:color="auto"/>
                    <w:bottom w:val="none" w:sz="0" w:space="0" w:color="auto"/>
                    <w:right w:val="none" w:sz="0" w:space="0" w:color="auto"/>
                  </w:divBdr>
                </w:div>
                <w:div w:id="1153984891">
                  <w:marLeft w:val="0"/>
                  <w:marRight w:val="0"/>
                  <w:marTop w:val="0"/>
                  <w:marBottom w:val="200"/>
                  <w:divBdr>
                    <w:top w:val="none" w:sz="0" w:space="0" w:color="auto"/>
                    <w:left w:val="none" w:sz="0" w:space="0" w:color="auto"/>
                    <w:bottom w:val="none" w:sz="0" w:space="0" w:color="auto"/>
                    <w:right w:val="none" w:sz="0" w:space="0" w:color="auto"/>
                  </w:divBdr>
                </w:div>
                <w:div w:id="1223523140">
                  <w:marLeft w:val="0"/>
                  <w:marRight w:val="0"/>
                  <w:marTop w:val="360"/>
                  <w:marBottom w:val="80"/>
                  <w:divBdr>
                    <w:top w:val="none" w:sz="0" w:space="0" w:color="auto"/>
                    <w:left w:val="none" w:sz="0" w:space="0" w:color="auto"/>
                    <w:bottom w:val="none" w:sz="0" w:space="0" w:color="auto"/>
                    <w:right w:val="none" w:sz="0" w:space="0" w:color="auto"/>
                  </w:divBdr>
                </w:div>
                <w:div w:id="1253078565">
                  <w:marLeft w:val="0"/>
                  <w:marRight w:val="0"/>
                  <w:marTop w:val="0"/>
                  <w:marBottom w:val="200"/>
                  <w:divBdr>
                    <w:top w:val="none" w:sz="0" w:space="0" w:color="auto"/>
                    <w:left w:val="none" w:sz="0" w:space="0" w:color="auto"/>
                    <w:bottom w:val="none" w:sz="0" w:space="0" w:color="auto"/>
                    <w:right w:val="none" w:sz="0" w:space="0" w:color="auto"/>
                  </w:divBdr>
                </w:div>
                <w:div w:id="1301619862">
                  <w:marLeft w:val="0"/>
                  <w:marRight w:val="0"/>
                  <w:marTop w:val="0"/>
                  <w:marBottom w:val="200"/>
                  <w:divBdr>
                    <w:top w:val="none" w:sz="0" w:space="0" w:color="auto"/>
                    <w:left w:val="none" w:sz="0" w:space="0" w:color="auto"/>
                    <w:bottom w:val="none" w:sz="0" w:space="0" w:color="auto"/>
                    <w:right w:val="none" w:sz="0" w:space="0" w:color="auto"/>
                  </w:divBdr>
                </w:div>
                <w:div w:id="1316497170">
                  <w:marLeft w:val="360"/>
                  <w:marRight w:val="0"/>
                  <w:marTop w:val="0"/>
                  <w:marBottom w:val="200"/>
                  <w:divBdr>
                    <w:top w:val="none" w:sz="0" w:space="0" w:color="auto"/>
                    <w:left w:val="none" w:sz="0" w:space="0" w:color="auto"/>
                    <w:bottom w:val="none" w:sz="0" w:space="0" w:color="auto"/>
                    <w:right w:val="none" w:sz="0" w:space="0" w:color="auto"/>
                  </w:divBdr>
                </w:div>
                <w:div w:id="1345785910">
                  <w:marLeft w:val="0"/>
                  <w:marRight w:val="0"/>
                  <w:marTop w:val="240"/>
                  <w:marBottom w:val="240"/>
                  <w:divBdr>
                    <w:top w:val="none" w:sz="0" w:space="0" w:color="auto"/>
                    <w:left w:val="none" w:sz="0" w:space="0" w:color="auto"/>
                    <w:bottom w:val="none" w:sz="0" w:space="0" w:color="auto"/>
                    <w:right w:val="none" w:sz="0" w:space="0" w:color="auto"/>
                  </w:divBdr>
                </w:div>
                <w:div w:id="1349408754">
                  <w:marLeft w:val="0"/>
                  <w:marRight w:val="0"/>
                  <w:marTop w:val="0"/>
                  <w:marBottom w:val="200"/>
                  <w:divBdr>
                    <w:top w:val="none" w:sz="0" w:space="0" w:color="auto"/>
                    <w:left w:val="none" w:sz="0" w:space="0" w:color="auto"/>
                    <w:bottom w:val="none" w:sz="0" w:space="0" w:color="auto"/>
                    <w:right w:val="none" w:sz="0" w:space="0" w:color="auto"/>
                  </w:divBdr>
                </w:div>
                <w:div w:id="1381399809">
                  <w:marLeft w:val="0"/>
                  <w:marRight w:val="0"/>
                  <w:marTop w:val="0"/>
                  <w:marBottom w:val="200"/>
                  <w:divBdr>
                    <w:top w:val="none" w:sz="0" w:space="0" w:color="auto"/>
                    <w:left w:val="none" w:sz="0" w:space="0" w:color="auto"/>
                    <w:bottom w:val="none" w:sz="0" w:space="0" w:color="auto"/>
                    <w:right w:val="none" w:sz="0" w:space="0" w:color="auto"/>
                  </w:divBdr>
                </w:div>
                <w:div w:id="1393962028">
                  <w:marLeft w:val="0"/>
                  <w:marRight w:val="0"/>
                  <w:marTop w:val="0"/>
                  <w:marBottom w:val="200"/>
                  <w:divBdr>
                    <w:top w:val="none" w:sz="0" w:space="0" w:color="auto"/>
                    <w:left w:val="none" w:sz="0" w:space="0" w:color="auto"/>
                    <w:bottom w:val="none" w:sz="0" w:space="0" w:color="auto"/>
                    <w:right w:val="none" w:sz="0" w:space="0" w:color="auto"/>
                  </w:divBdr>
                </w:div>
                <w:div w:id="1405374888">
                  <w:marLeft w:val="0"/>
                  <w:marRight w:val="0"/>
                  <w:marTop w:val="0"/>
                  <w:marBottom w:val="200"/>
                  <w:divBdr>
                    <w:top w:val="none" w:sz="0" w:space="0" w:color="auto"/>
                    <w:left w:val="none" w:sz="0" w:space="0" w:color="auto"/>
                    <w:bottom w:val="none" w:sz="0" w:space="0" w:color="auto"/>
                    <w:right w:val="none" w:sz="0" w:space="0" w:color="auto"/>
                  </w:divBdr>
                </w:div>
                <w:div w:id="1446316139">
                  <w:marLeft w:val="0"/>
                  <w:marRight w:val="0"/>
                  <w:marTop w:val="240"/>
                  <w:marBottom w:val="240"/>
                  <w:divBdr>
                    <w:top w:val="none" w:sz="0" w:space="0" w:color="auto"/>
                    <w:left w:val="none" w:sz="0" w:space="0" w:color="auto"/>
                    <w:bottom w:val="none" w:sz="0" w:space="0" w:color="auto"/>
                    <w:right w:val="none" w:sz="0" w:space="0" w:color="auto"/>
                  </w:divBdr>
                </w:div>
                <w:div w:id="1500002902">
                  <w:marLeft w:val="0"/>
                  <w:marRight w:val="0"/>
                  <w:marTop w:val="0"/>
                  <w:marBottom w:val="200"/>
                  <w:divBdr>
                    <w:top w:val="none" w:sz="0" w:space="0" w:color="auto"/>
                    <w:left w:val="none" w:sz="0" w:space="0" w:color="auto"/>
                    <w:bottom w:val="none" w:sz="0" w:space="0" w:color="auto"/>
                    <w:right w:val="none" w:sz="0" w:space="0" w:color="auto"/>
                  </w:divBdr>
                </w:div>
                <w:div w:id="1534420394">
                  <w:marLeft w:val="360"/>
                  <w:marRight w:val="0"/>
                  <w:marTop w:val="0"/>
                  <w:marBottom w:val="200"/>
                  <w:divBdr>
                    <w:top w:val="none" w:sz="0" w:space="0" w:color="auto"/>
                    <w:left w:val="none" w:sz="0" w:space="0" w:color="auto"/>
                    <w:bottom w:val="none" w:sz="0" w:space="0" w:color="auto"/>
                    <w:right w:val="none" w:sz="0" w:space="0" w:color="auto"/>
                  </w:divBdr>
                </w:div>
                <w:div w:id="1644197888">
                  <w:marLeft w:val="0"/>
                  <w:marRight w:val="0"/>
                  <w:marTop w:val="240"/>
                  <w:marBottom w:val="240"/>
                  <w:divBdr>
                    <w:top w:val="none" w:sz="0" w:space="0" w:color="auto"/>
                    <w:left w:val="none" w:sz="0" w:space="0" w:color="auto"/>
                    <w:bottom w:val="none" w:sz="0" w:space="0" w:color="auto"/>
                    <w:right w:val="none" w:sz="0" w:space="0" w:color="auto"/>
                  </w:divBdr>
                </w:div>
                <w:div w:id="1661277428">
                  <w:marLeft w:val="0"/>
                  <w:marRight w:val="0"/>
                  <w:marTop w:val="0"/>
                  <w:marBottom w:val="200"/>
                  <w:divBdr>
                    <w:top w:val="none" w:sz="0" w:space="0" w:color="auto"/>
                    <w:left w:val="none" w:sz="0" w:space="0" w:color="auto"/>
                    <w:bottom w:val="none" w:sz="0" w:space="0" w:color="auto"/>
                    <w:right w:val="none" w:sz="0" w:space="0" w:color="auto"/>
                  </w:divBdr>
                </w:div>
                <w:div w:id="1669556069">
                  <w:marLeft w:val="0"/>
                  <w:marRight w:val="0"/>
                  <w:marTop w:val="360"/>
                  <w:marBottom w:val="80"/>
                  <w:divBdr>
                    <w:top w:val="none" w:sz="0" w:space="0" w:color="auto"/>
                    <w:left w:val="none" w:sz="0" w:space="0" w:color="auto"/>
                    <w:bottom w:val="none" w:sz="0" w:space="0" w:color="auto"/>
                    <w:right w:val="none" w:sz="0" w:space="0" w:color="auto"/>
                  </w:divBdr>
                </w:div>
                <w:div w:id="1674063379">
                  <w:marLeft w:val="0"/>
                  <w:marRight w:val="0"/>
                  <w:marTop w:val="360"/>
                  <w:marBottom w:val="80"/>
                  <w:divBdr>
                    <w:top w:val="none" w:sz="0" w:space="0" w:color="auto"/>
                    <w:left w:val="none" w:sz="0" w:space="0" w:color="auto"/>
                    <w:bottom w:val="none" w:sz="0" w:space="0" w:color="auto"/>
                    <w:right w:val="none" w:sz="0" w:space="0" w:color="auto"/>
                  </w:divBdr>
                </w:div>
                <w:div w:id="1684353790">
                  <w:marLeft w:val="0"/>
                  <w:marRight w:val="0"/>
                  <w:marTop w:val="240"/>
                  <w:marBottom w:val="40"/>
                  <w:divBdr>
                    <w:top w:val="none" w:sz="0" w:space="0" w:color="auto"/>
                    <w:left w:val="none" w:sz="0" w:space="0" w:color="auto"/>
                    <w:bottom w:val="none" w:sz="0" w:space="0" w:color="auto"/>
                    <w:right w:val="none" w:sz="0" w:space="0" w:color="auto"/>
                  </w:divBdr>
                </w:div>
                <w:div w:id="1802572594">
                  <w:marLeft w:val="0"/>
                  <w:marRight w:val="0"/>
                  <w:marTop w:val="0"/>
                  <w:marBottom w:val="200"/>
                  <w:divBdr>
                    <w:top w:val="none" w:sz="0" w:space="0" w:color="auto"/>
                    <w:left w:val="none" w:sz="0" w:space="0" w:color="auto"/>
                    <w:bottom w:val="none" w:sz="0" w:space="0" w:color="auto"/>
                    <w:right w:val="none" w:sz="0" w:space="0" w:color="auto"/>
                  </w:divBdr>
                </w:div>
                <w:div w:id="1920208487">
                  <w:marLeft w:val="0"/>
                  <w:marRight w:val="0"/>
                  <w:marTop w:val="0"/>
                  <w:marBottom w:val="200"/>
                  <w:divBdr>
                    <w:top w:val="none" w:sz="0" w:space="0" w:color="auto"/>
                    <w:left w:val="none" w:sz="0" w:space="0" w:color="auto"/>
                    <w:bottom w:val="none" w:sz="0" w:space="0" w:color="auto"/>
                    <w:right w:val="none" w:sz="0" w:space="0" w:color="auto"/>
                  </w:divBdr>
                </w:div>
                <w:div w:id="1920291564">
                  <w:marLeft w:val="0"/>
                  <w:marRight w:val="0"/>
                  <w:marTop w:val="0"/>
                  <w:marBottom w:val="200"/>
                  <w:divBdr>
                    <w:top w:val="none" w:sz="0" w:space="0" w:color="auto"/>
                    <w:left w:val="none" w:sz="0" w:space="0" w:color="auto"/>
                    <w:bottom w:val="none" w:sz="0" w:space="0" w:color="auto"/>
                    <w:right w:val="none" w:sz="0" w:space="0" w:color="auto"/>
                  </w:divBdr>
                </w:div>
                <w:div w:id="1985772635">
                  <w:marLeft w:val="0"/>
                  <w:marRight w:val="0"/>
                  <w:marTop w:val="0"/>
                  <w:marBottom w:val="200"/>
                  <w:divBdr>
                    <w:top w:val="none" w:sz="0" w:space="0" w:color="auto"/>
                    <w:left w:val="none" w:sz="0" w:space="0" w:color="auto"/>
                    <w:bottom w:val="none" w:sz="0" w:space="0" w:color="auto"/>
                    <w:right w:val="none" w:sz="0" w:space="0" w:color="auto"/>
                  </w:divBdr>
                </w:div>
                <w:div w:id="2004816233">
                  <w:marLeft w:val="0"/>
                  <w:marRight w:val="0"/>
                  <w:marTop w:val="0"/>
                  <w:marBottom w:val="200"/>
                  <w:divBdr>
                    <w:top w:val="none" w:sz="0" w:space="0" w:color="auto"/>
                    <w:left w:val="none" w:sz="0" w:space="0" w:color="auto"/>
                    <w:bottom w:val="none" w:sz="0" w:space="0" w:color="auto"/>
                    <w:right w:val="none" w:sz="0" w:space="0" w:color="auto"/>
                  </w:divBdr>
                </w:div>
                <w:div w:id="2127389002">
                  <w:marLeft w:val="36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02796015.2013.1208746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F8905E4A5EBD4C8E45CA4F0DF96CFA" ma:contentTypeVersion="14" ma:contentTypeDescription="Skapa ett nytt dokument." ma:contentTypeScope="" ma:versionID="740d1fc7dce88d3bbf77658bbe4737c9">
  <xsd:schema xmlns:xsd="http://www.w3.org/2001/XMLSchema" xmlns:xs="http://www.w3.org/2001/XMLSchema" xmlns:p="http://schemas.microsoft.com/office/2006/metadata/properties" xmlns:ns3="1165eb95-904d-4959-8a9c-1514b587bc57" xmlns:ns4="6f85dfe9-9ed3-4db0-8abd-099dd0fff8d4" targetNamespace="http://schemas.microsoft.com/office/2006/metadata/properties" ma:root="true" ma:fieldsID="234e624fb991e074209112f705f6b13b" ns3:_="" ns4:_="">
    <xsd:import namespace="1165eb95-904d-4959-8a9c-1514b587bc57"/>
    <xsd:import namespace="6f85dfe9-9ed3-4db0-8abd-099dd0fff8d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5eb95-904d-4959-8a9c-1514b587b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5dfe9-9ed3-4db0-8abd-099dd0fff8d4"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165eb95-904d-4959-8a9c-1514b587bc57" xsi:nil="true"/>
  </documentManagement>
</p:properties>
</file>

<file path=customXml/itemProps1.xml><?xml version="1.0" encoding="utf-8"?>
<ds:datastoreItem xmlns:ds="http://schemas.openxmlformats.org/officeDocument/2006/customXml" ds:itemID="{5EDE0FCC-FE3A-4DA7-BCBF-0442FD68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5eb95-904d-4959-8a9c-1514b587bc57"/>
    <ds:schemaRef ds:uri="6f85dfe9-9ed3-4db0-8abd-099dd0fff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98D9C-A18B-4114-8C8C-FD3BEBF4945B}">
  <ds:schemaRefs>
    <ds:schemaRef ds:uri="http://schemas.openxmlformats.org/officeDocument/2006/bibliography"/>
  </ds:schemaRefs>
</ds:datastoreItem>
</file>

<file path=customXml/itemProps3.xml><?xml version="1.0" encoding="utf-8"?>
<ds:datastoreItem xmlns:ds="http://schemas.openxmlformats.org/officeDocument/2006/customXml" ds:itemID="{73A0F7BA-E054-4ED7-BA48-3844C6F4E493}">
  <ds:schemaRefs>
    <ds:schemaRef ds:uri="http://schemas.microsoft.com/sharepoint/v3/contenttype/forms"/>
  </ds:schemaRefs>
</ds:datastoreItem>
</file>

<file path=customXml/itemProps4.xml><?xml version="1.0" encoding="utf-8"?>
<ds:datastoreItem xmlns:ds="http://schemas.openxmlformats.org/officeDocument/2006/customXml" ds:itemID="{C2D9BC80-C84B-4E32-8F2D-B2E0EBE7646F}">
  <ds:schemaRefs>
    <ds:schemaRef ds:uri="http://schemas.microsoft.com/office/2006/metadata/properties"/>
    <ds:schemaRef ds:uri="http://schemas.microsoft.com/office/infopath/2007/PartnerControls"/>
    <ds:schemaRef ds:uri="1165eb95-904d-4959-8a9c-1514b587bc57"/>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4667</Words>
  <Characters>24739</Characters>
  <Application>Microsoft Office Word</Application>
  <DocSecurity>0</DocSecurity>
  <Lines>206</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MADIF8 PROCEEDINGS STYLE TEMPLATE</vt:lpstr>
      <vt:lpstr>MADIF8 PROCEEDINGS STYLE TEMPLATE</vt:lpstr>
    </vt:vector>
  </TitlesOfParts>
  <Manager/>
  <Company/>
  <LinksUpToDate>false</LinksUpToDate>
  <CharactersWithSpaces>29348</CharactersWithSpaces>
  <SharedDoc>false</SharedDoc>
  <HyperlinkBase/>
  <HLinks>
    <vt:vector size="6" baseType="variant">
      <vt:variant>
        <vt:i4>3342455</vt:i4>
      </vt:variant>
      <vt:variant>
        <vt:i4>0</vt:i4>
      </vt:variant>
      <vt:variant>
        <vt:i4>0</vt:i4>
      </vt:variant>
      <vt:variant>
        <vt:i4>5</vt:i4>
      </vt:variant>
      <vt:variant>
        <vt:lpwstr>https://doi.org/10.1080/02796015.2013.12087465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Ola Helenius</dc:creator>
  <cp:keywords/>
  <dc:description/>
  <cp:lastModifiedBy>Ola Helenius</cp:lastModifiedBy>
  <cp:revision>4</cp:revision>
  <dcterms:created xsi:type="dcterms:W3CDTF">2025-12-01T17:32:00Z</dcterms:created>
  <dcterms:modified xsi:type="dcterms:W3CDTF">2025-12-01T18:51:00Z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0x0101005FF8905E4A5EBD4C8E45CA4F0DF96CFA</vt:lpwstr>
  </property>
  <property fmtid="{D5CDD505-2E9C-101B-9397-08002B2CF9AE}" pid="3" name="grammarly_documentId">
    <vt:lpwstr>documentId_4494</vt:lpwstr>
  </property>
  <property fmtid="{D5CDD505-2E9C-101B-9397-08002B2CF9AE}" pid="4" name="grammarly_documentContext">
    <vt:lpwstr>{"goals":[],"domain":"general","emotions":[],"dialect":"american"}</vt:lpwstr>
  </property>
</Properties>
</file>