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9E2A" w14:textId="77777777" w:rsidR="00084739" w:rsidRPr="00B37A12" w:rsidRDefault="00084739" w:rsidP="00084739">
      <w:pPr>
        <w:pStyle w:val="Brdtext"/>
      </w:pPr>
    </w:p>
    <w:p w14:paraId="241E64A9" w14:textId="002392CD" w:rsidR="00280FBB" w:rsidRPr="00B37A12" w:rsidRDefault="00280FBB" w:rsidP="00280FBB">
      <w:pPr>
        <w:pStyle w:val="Rubrik1"/>
      </w:pPr>
      <w:r w:rsidRPr="00B37A12">
        <w:t xml:space="preserve">From Prescription to Participation: Teacher Agency in a Long-Term Mathematics PD </w:t>
      </w:r>
    </w:p>
    <w:p w14:paraId="3D087219" w14:textId="7FFFEF80" w:rsidR="00F5400D" w:rsidRPr="00B37A12" w:rsidRDefault="00F5400D" w:rsidP="000761F4">
      <w:pPr>
        <w:pStyle w:val="Rubrik1"/>
      </w:pPr>
    </w:p>
    <w:p w14:paraId="080E0699" w14:textId="537C8D31" w:rsidR="00CE6A6A" w:rsidRPr="00B37A12" w:rsidRDefault="00280FBB" w:rsidP="00CE6A6A">
      <w:pPr>
        <w:pStyle w:val="Rubrik8"/>
        <w:rPr>
          <w:vertAlign w:val="superscript"/>
        </w:rPr>
      </w:pPr>
      <w:r w:rsidRPr="00B37A12">
        <w:t>Maria Johansson</w:t>
      </w:r>
      <w:r w:rsidRPr="00B37A12">
        <w:rPr>
          <w:vertAlign w:val="superscript"/>
        </w:rPr>
        <w:t>1</w:t>
      </w:r>
      <w:r w:rsidRPr="00B37A12">
        <w:t>, Anna Wernberg</w:t>
      </w:r>
      <w:r w:rsidRPr="00B37A12">
        <w:rPr>
          <w:vertAlign w:val="superscript"/>
        </w:rPr>
        <w:t>2</w:t>
      </w:r>
      <w:r w:rsidRPr="00B37A12">
        <w:t xml:space="preserve"> and Kerstin Larsson</w:t>
      </w:r>
      <w:r w:rsidRPr="00B37A12">
        <w:rPr>
          <w:vertAlign w:val="superscript"/>
        </w:rPr>
        <w:t>1</w:t>
      </w:r>
    </w:p>
    <w:p w14:paraId="0A4F7E69" w14:textId="75ADFA17" w:rsidR="00280FBB" w:rsidRPr="00B37A12" w:rsidRDefault="00280FBB" w:rsidP="00280FBB">
      <w:pPr>
        <w:pStyle w:val="Rubrik9"/>
      </w:pPr>
      <w:r w:rsidRPr="00B37A12">
        <w:rPr>
          <w:vertAlign w:val="superscript"/>
        </w:rPr>
        <w:t>1</w:t>
      </w:r>
      <w:r w:rsidRPr="00B37A12">
        <w:t xml:space="preserve">Luleå University of technology and </w:t>
      </w:r>
      <w:r w:rsidRPr="00B37A12">
        <w:rPr>
          <w:vertAlign w:val="superscript"/>
        </w:rPr>
        <w:t>2</w:t>
      </w:r>
      <w:r w:rsidRPr="00B37A12">
        <w:t>Malmö University</w:t>
      </w:r>
    </w:p>
    <w:p w14:paraId="0F3ADE74" w14:textId="24EB33A3" w:rsidR="00CE6A6A" w:rsidRPr="00B37A12" w:rsidRDefault="00280FBB" w:rsidP="00280FBB">
      <w:pPr>
        <w:pStyle w:val="Abstract"/>
      </w:pPr>
      <w:r w:rsidRPr="00B37A12">
        <w:t xml:space="preserve">This article explores teacher agency and the interplay of prescriptive and self-directed professional development (PD) approaches within a long-term mathematics initiative in Sweden. Thirteen teacher reflections were </w:t>
      </w:r>
      <w:r w:rsidR="00A44594" w:rsidRPr="00B37A12">
        <w:t>analysed</w:t>
      </w:r>
      <w:r w:rsidRPr="00B37A12">
        <w:t xml:space="preserve"> to examine how agency and ambit are expressed in practice and how they relate to student learning and instructional change. Drawing on Boylan et al.’s (2018) conceptual model, the findings reveal a shift from traditional, top-down teaching to more exploratory, personalized, and collaborative mathematics education. The article contributes to ongoing discussions about how PD can be designed to support sustained teacher engagement, reflection, and autonomy.</w:t>
      </w:r>
    </w:p>
    <w:p w14:paraId="0FBD591B" w14:textId="77777777" w:rsidR="00280FBB" w:rsidRPr="00B37A12" w:rsidRDefault="00280FBB" w:rsidP="00280FBB">
      <w:pPr>
        <w:pStyle w:val="Rubrik2"/>
      </w:pPr>
      <w:r w:rsidRPr="00B37A12">
        <w:t>Introduction</w:t>
      </w:r>
    </w:p>
    <w:p w14:paraId="763C9E4D" w14:textId="2EF4074A" w:rsidR="00364D75" w:rsidRPr="00B37A12" w:rsidRDefault="00364D75" w:rsidP="00A06FC4">
      <w:r w:rsidRPr="00B37A12">
        <w:t xml:space="preserve">In recent years, professional development (PD) in mathematics education has shifted from a predominantly theoretical orientation toward models that integrate practical resources and classroom strategies. Historically, PD programs emphasized theoretical foundations, with the expectation that teachers would independently translate these into practice (Desimone, 2009; Boylan et al., 2018). </w:t>
      </w:r>
      <w:r w:rsidR="00AF630D">
        <w:t>Previous research highlights that the design of professional development materials should not only address content and methods, but also the relational dimensions between developers, teachers, and students (Helenius et al., 2014).</w:t>
      </w:r>
      <w:r w:rsidR="00D61872">
        <w:t xml:space="preserve"> Swedish research has also shown how teacher agency develops in the interplay between centrally designed PD materials and collegial discussions, highlighting the dual influence of structure and teacher interpretation (</w:t>
      </w:r>
      <w:proofErr w:type="spellStart"/>
      <w:r w:rsidR="00D61872">
        <w:t>Insulander</w:t>
      </w:r>
      <w:proofErr w:type="spellEnd"/>
      <w:r w:rsidR="00D61872">
        <w:t xml:space="preserve"> et al, 2019). </w:t>
      </w:r>
      <w:r w:rsidRPr="00B37A12">
        <w:t xml:space="preserve">In Sweden, the Mathematics </w:t>
      </w:r>
      <w:r w:rsidR="00232916" w:rsidRPr="00B37A12">
        <w:t xml:space="preserve">boost </w:t>
      </w:r>
      <w:r w:rsidRPr="00B37A12">
        <w:t xml:space="preserve">exemplifies this model, providing structured opportunities for theory-based professional </w:t>
      </w:r>
      <w:r w:rsidR="009C0ECD">
        <w:t>development</w:t>
      </w:r>
      <w:r w:rsidRPr="00B37A12">
        <w:t xml:space="preserve"> (Helenius et al., 2021).</w:t>
      </w:r>
    </w:p>
    <w:p w14:paraId="4C20D57C" w14:textId="3E96ACA6" w:rsidR="008D64BC" w:rsidRPr="00B37A12" w:rsidRDefault="008D64BC" w:rsidP="00A06FC4">
      <w:r w:rsidRPr="00B37A12">
        <w:t>Furthermore, shifts in classroom authority are central to understanding teacher agency. Wagner and Herbel-Eisenmann (2014) identified how authority structures in mathematics classrooms, including personal authority, discourse as authority, discursive inevitability, and personal latitude, influence both teachers’ and students’ opportunities to participate. This perspective provides an important background for analysing how teachers in long-term PD initiatives negotiate authority and participation.</w:t>
      </w:r>
      <w:r w:rsidR="00A06FC4">
        <w:t xml:space="preserve"> </w:t>
      </w:r>
      <w:r w:rsidR="00364D75" w:rsidRPr="00B37A12">
        <w:t xml:space="preserve">More recent initiatives, however, combine explicit teaching strategies and curriculum materials with </w:t>
      </w:r>
      <w:r w:rsidR="00364D75" w:rsidRPr="00B37A12">
        <w:lastRenderedPageBreak/>
        <w:t xml:space="preserve">theoretical insight (Maass et al., 2019; </w:t>
      </w:r>
      <w:proofErr w:type="spellStart"/>
      <w:r w:rsidR="00364D75" w:rsidRPr="00B37A12">
        <w:t>Koichu</w:t>
      </w:r>
      <w:proofErr w:type="spellEnd"/>
      <w:r w:rsidR="00364D75" w:rsidRPr="00B37A12">
        <w:t xml:space="preserve"> et al., 2021). These hybrid approaches do not fit neatly into the PD models analysed by Boylan et al. (2018)</w:t>
      </w:r>
      <w:r w:rsidR="004A0DBC" w:rsidRPr="00B37A12">
        <w:t>.</w:t>
      </w:r>
      <w:r w:rsidR="00364D75" w:rsidRPr="00B37A12">
        <w:t xml:space="preserve"> </w:t>
      </w:r>
      <w:r w:rsidR="00BF6419" w:rsidRPr="00B37A12">
        <w:t>Instead,</w:t>
      </w:r>
      <w:r w:rsidR="00364D75" w:rsidRPr="00B37A12">
        <w:t xml:space="preserve"> </w:t>
      </w:r>
      <w:r w:rsidR="004A0DBC" w:rsidRPr="00B37A12">
        <w:t xml:space="preserve">they are reflecting </w:t>
      </w:r>
      <w:r w:rsidR="00364D75" w:rsidRPr="00B37A12">
        <w:t>a growing international focus on implementation</w:t>
      </w:r>
      <w:r w:rsidR="00232916" w:rsidRPr="00B37A12">
        <w:t xml:space="preserve">, </w:t>
      </w:r>
      <w:r w:rsidR="00364D75" w:rsidRPr="00B37A12">
        <w:t>how innovations are enacted, sustained, and adapted in practice (Coburn, 2003; Century &amp; Cassata, 2016; Ahl et al., 2023). This shift raises important questions about the design of PD programs that balance innovation, sustainability, and teacher autonomy.</w:t>
      </w:r>
      <w:r w:rsidR="00A06FC4">
        <w:t xml:space="preserve"> </w:t>
      </w:r>
      <w:r w:rsidRPr="00B37A12">
        <w:t xml:space="preserve">This development aligns with </w:t>
      </w:r>
      <w:r w:rsidR="007453DA">
        <w:t>the</w:t>
      </w:r>
      <w:r w:rsidRPr="00B37A12">
        <w:t xml:space="preserve"> systematic mapping review by Ahl et al. (2023), which showed that implementation research in mathematics education has increasingly focused on how innovations are enacted, sustained, and adapted in practice, rather than solely on outcomes. This broader perspective situates the present study within an international research trend.</w:t>
      </w:r>
    </w:p>
    <w:p w14:paraId="5959CE79" w14:textId="53B710C9" w:rsidR="008D64BC" w:rsidRPr="00B37A12" w:rsidRDefault="00364D75" w:rsidP="00A06FC4">
      <w:r w:rsidRPr="00B37A12">
        <w:t>In Sweden, national initiatives such as Mathematics Boost and TRR (</w:t>
      </w:r>
      <w:proofErr w:type="spellStart"/>
      <w:r w:rsidRPr="00B37A12">
        <w:t>Tänka</w:t>
      </w:r>
      <w:proofErr w:type="spellEnd"/>
      <w:r w:rsidRPr="00B37A12">
        <w:t xml:space="preserve">, </w:t>
      </w:r>
      <w:proofErr w:type="spellStart"/>
      <w:r w:rsidRPr="00B37A12">
        <w:t>Räkna</w:t>
      </w:r>
      <w:proofErr w:type="spellEnd"/>
      <w:r w:rsidRPr="00B37A12">
        <w:t xml:space="preserve">, </w:t>
      </w:r>
      <w:proofErr w:type="spellStart"/>
      <w:r w:rsidRPr="00B37A12">
        <w:t>Resonera</w:t>
      </w:r>
      <w:proofErr w:type="spellEnd"/>
      <w:r w:rsidRPr="00B37A12">
        <w:t>) illustrate attempts to align pedagogical development with both policy reforms and the everyday realities of classroom practice (Helenius, 2021).</w:t>
      </w:r>
      <w:r w:rsidR="00D61872">
        <w:t xml:space="preserve"> </w:t>
      </w:r>
      <w:r w:rsidR="00D61872" w:rsidRPr="00A06FC4">
        <w:t>This aligns with research showing how teacher agency develops within national PD initiatives (</w:t>
      </w:r>
      <w:proofErr w:type="spellStart"/>
      <w:r w:rsidR="00D61872" w:rsidRPr="00AB1ED8">
        <w:t>Insulander</w:t>
      </w:r>
      <w:proofErr w:type="spellEnd"/>
      <w:r w:rsidR="00D61872">
        <w:t xml:space="preserve"> et al</w:t>
      </w:r>
      <w:r w:rsidR="00D61872" w:rsidRPr="00A06FC4">
        <w:t xml:space="preserve">, </w:t>
      </w:r>
      <w:r w:rsidR="00D61872">
        <w:t>2019</w:t>
      </w:r>
      <w:r w:rsidR="00D61872" w:rsidRPr="00A06FC4">
        <w:t>).</w:t>
      </w:r>
      <w:r w:rsidRPr="00B37A12">
        <w:t xml:space="preserve"> Yet the challenge remains to develop models that simultaneously support innovation and foster teacher agency.</w:t>
      </w:r>
      <w:r w:rsidR="00A06FC4">
        <w:t xml:space="preserve"> </w:t>
      </w:r>
      <w:r w:rsidR="008D64BC" w:rsidRPr="00B37A12">
        <w:t>As Helenius (2022) shows in his analysis of stakeholder scaffolding in the TRR program, large-scale implementation requires deliberate coordination across multiple organizational levels. Such scaffolding plays a crucial role in supporting teachers’ enactment of new teaching models, highlighting the institutional dimension of agency.</w:t>
      </w:r>
    </w:p>
    <w:p w14:paraId="519B1EF7" w14:textId="300DC497" w:rsidR="00364D75" w:rsidRPr="00B37A12" w:rsidRDefault="00364D75" w:rsidP="00A06FC4">
      <w:r w:rsidRPr="00B37A12">
        <w:t>This paper examines a multi-year PD initiative in Sweden, designed to promote professional growth “on teachers’ terms.” Grounded in research on self-directed and collaborative learning (Boylan et al., 2018), the project supported early years and lower elementary teachers in refining mathematics teaching. Rather than offering a standardized program, it emphasized adaptability, teacher choice, and sustained engagement.</w:t>
      </w:r>
      <w:r w:rsidR="00A06FC4">
        <w:t xml:space="preserve"> </w:t>
      </w:r>
      <w:r w:rsidRPr="00B37A12">
        <w:t>To analyse the design and impact of this initiative, the study draws on Boylan et al.’s (2018) framework, with particular attention to</w:t>
      </w:r>
      <w:r w:rsidRPr="00B37A12">
        <w:rPr>
          <w:rStyle w:val="apple-converted-space"/>
        </w:rPr>
        <w:t> </w:t>
      </w:r>
      <w:r w:rsidRPr="00B37A12">
        <w:rPr>
          <w:rStyle w:val="Stark"/>
          <w:b w:val="0"/>
          <w:bCs w:val="0"/>
        </w:rPr>
        <w:t>agency</w:t>
      </w:r>
      <w:r w:rsidRPr="00B37A12">
        <w:t>, teachers’ control over their professional learning and</w:t>
      </w:r>
      <w:r w:rsidRPr="00B37A12">
        <w:rPr>
          <w:rStyle w:val="apple-converted-space"/>
        </w:rPr>
        <w:t> </w:t>
      </w:r>
      <w:r w:rsidRPr="00B37A12">
        <w:rPr>
          <w:rStyle w:val="Stark"/>
          <w:b w:val="0"/>
          <w:bCs w:val="0"/>
        </w:rPr>
        <w:t>ambit</w:t>
      </w:r>
      <w:r w:rsidRPr="00B37A12">
        <w:t>. The research investigates how the program’s features, and the connections among them, shaped teachers’ professional learning, how practical and theoretical components interacted, and how teacher agency was expressed in participants’ written reflections.</w:t>
      </w:r>
    </w:p>
    <w:p w14:paraId="7D32B7AE" w14:textId="77777777" w:rsidR="0084214C" w:rsidRPr="00B37A12" w:rsidRDefault="0084214C" w:rsidP="0084214C">
      <w:pPr>
        <w:pStyle w:val="Rubrik2"/>
        <w:rPr>
          <w:sz w:val="24"/>
          <w:szCs w:val="24"/>
        </w:rPr>
      </w:pPr>
      <w:r w:rsidRPr="00B37A12">
        <w:t>Theoretical Background</w:t>
      </w:r>
    </w:p>
    <w:p w14:paraId="1DBD84C0" w14:textId="6C214F53" w:rsidR="0084214C" w:rsidRPr="00A06FC4" w:rsidRDefault="0084214C" w:rsidP="00A06FC4">
      <w:pPr>
        <w:rPr>
          <w:sz w:val="22"/>
          <w:szCs w:val="22"/>
          <w:lang w:val="en-US"/>
        </w:rPr>
      </w:pPr>
      <w:r w:rsidRPr="00B37A12">
        <w:t xml:space="preserve">According to Boylan et al. (2018), agency in professional learning refers to an individual’s ability to set goals, make decisions, and influence the course of their learning. </w:t>
      </w:r>
      <w:r w:rsidR="00AF630D">
        <w:t>In their study of the Swedish national mathematics modules, Helenius et al. (2014) identified three key components for sustainable professional development</w:t>
      </w:r>
      <w:r w:rsidR="00AC409A">
        <w:t xml:space="preserve">, </w:t>
      </w:r>
      <w:r w:rsidR="00AF630D">
        <w:t xml:space="preserve">content, tasks, and relationships, that interact rather than follow a linear sequence. </w:t>
      </w:r>
      <w:r w:rsidR="00A578B8">
        <w:t>In addition, studies of Swedish PD programmes demonstrate how professional development materials and structured discussions can serve as mediating tools for teacher agency (</w:t>
      </w:r>
      <w:proofErr w:type="spellStart"/>
      <w:r w:rsidR="00A578B8">
        <w:t>Insulander</w:t>
      </w:r>
      <w:proofErr w:type="spellEnd"/>
      <w:r w:rsidR="00A578B8">
        <w:t xml:space="preserve"> et al., 2019). </w:t>
      </w:r>
      <w:r w:rsidRPr="00B37A12">
        <w:t>High levels of agency support autonomy, motivation, creativity, and ownership of both learning and teaching practices. In contrast, low agency can result in passivity and compliance with top-down directives.</w:t>
      </w:r>
    </w:p>
    <w:p w14:paraId="0254915B" w14:textId="0DA055C1" w:rsidR="00AC409A" w:rsidRPr="0048505A" w:rsidRDefault="0084214C" w:rsidP="00A27247">
      <w:pPr>
        <w:rPr>
          <w:sz w:val="24"/>
          <w:szCs w:val="24"/>
          <w:lang w:val="sv-SE" w:eastAsia="sv-SE"/>
        </w:rPr>
      </w:pPr>
      <w:r w:rsidRPr="00B37A12">
        <w:t>Ambit describes the range of experiences and practices considered legitimate within a PD framework, a dimension that has recently been examined in depth to understand how various innovation carriers</w:t>
      </w:r>
      <w:r w:rsidR="00232916" w:rsidRPr="00B37A12">
        <w:t xml:space="preserve">, </w:t>
      </w:r>
      <w:r w:rsidRPr="00B37A12">
        <w:t>curriculum reforms, professional development, and curriculum resources</w:t>
      </w:r>
      <w:r w:rsidR="00232916" w:rsidRPr="00B37A12">
        <w:t xml:space="preserve">, </w:t>
      </w:r>
      <w:r w:rsidRPr="00B37A12">
        <w:t xml:space="preserve">interact with enactment and outcomes (Ahl et al., 2023). A narrow ambit implies prescriptive content and delivery, while a broader ambit allows for adaptation, experimentation, and inclusion of local needs. </w:t>
      </w:r>
      <w:r w:rsidR="00AC409A" w:rsidRPr="00AC409A">
        <w:t xml:space="preserve">The balance between agency and ambit influences not only teachers’ professional growth but also students’ opportunities to learn. </w:t>
      </w:r>
      <w:bookmarkStart w:id="0" w:name="OLE_LINK1"/>
      <w:r w:rsidR="00A27247">
        <w:t>To summarise</w:t>
      </w:r>
      <w:r w:rsidR="00A27247">
        <w:rPr>
          <w:lang w:eastAsia="sv-SE"/>
        </w:rPr>
        <w:t>, teacher agency refers to teachers’ capacity to make intentional choices, act with professional judgment, and shape their learning trajectories. In contrast, ambit delineates the boundaries of what is considered legitimate or possible within a professional development framework. While agency emphasizes teachers’ capacity for action, ambit refers to the scope and structure that either constrain or enable such action. The balance between them can therefore be understood as the dynamic interplay between professional autonomy and institutional prescription.</w:t>
      </w:r>
      <w:bookmarkEnd w:id="0"/>
      <w:r w:rsidR="00A27247" w:rsidRPr="0048505A">
        <w:rPr>
          <w:sz w:val="24"/>
          <w:szCs w:val="24"/>
          <w:lang w:val="sv-SE" w:eastAsia="sv-SE"/>
        </w:rPr>
        <w:t xml:space="preserve"> </w:t>
      </w:r>
      <w:r w:rsidR="00AC409A" w:rsidRPr="00AC409A">
        <w:t>Recent reviews show that these two elements interact in multiple ways depending on the implementation context and the types of innovations being introduced (Ahl et al., 2023).</w:t>
      </w:r>
    </w:p>
    <w:p w14:paraId="758EC011" w14:textId="7867733E" w:rsidR="0084214C" w:rsidRPr="00B37A12" w:rsidRDefault="00A33194" w:rsidP="003A2722">
      <w:r w:rsidRPr="00B37A12">
        <w:t>In addition, research on highly prescriptive curriculum programs shows that even in tightly structured settings, teachers adapt materials in ways that reflect their professional experience. Ahl</w:t>
      </w:r>
      <w:r w:rsidR="00000B29" w:rsidRPr="00B37A12">
        <w:t xml:space="preserve"> et al.</w:t>
      </w:r>
      <w:r w:rsidRPr="00B37A12">
        <w:t xml:space="preserve"> (2022), using the Documentational Approach to Didactics, demonstrated how teacher adaptations in the TRR program shaped </w:t>
      </w:r>
      <w:r w:rsidR="003A2722">
        <w:t>alignment</w:t>
      </w:r>
      <w:r w:rsidRPr="00B37A12">
        <w:t xml:space="preserve"> and implementation outcomes. This highlights the importance of </w:t>
      </w:r>
      <w:r w:rsidR="007453DA" w:rsidRPr="00B37A12">
        <w:t>analysing</w:t>
      </w:r>
      <w:r w:rsidRPr="00B37A12">
        <w:t xml:space="preserve"> not only whether teachers follow prescribed guides but also how their adaptations contribute to or challenge intended program goals.</w:t>
      </w:r>
      <w:r w:rsidR="003A2722">
        <w:t xml:space="preserve"> </w:t>
      </w:r>
      <w:r w:rsidR="0084214C" w:rsidRPr="00B37A12">
        <w:t>Research in mathematics education highlights that prescriptive PD can ensure alignment with standards but may restrict creativity and responsiveness, a finding echoed in a systematic mapping review of over 100 studies on implementation research in mathematics education (Ahl et al., 2023). Self-directed PD supports personalization and innovation but may suffer from a lack of structure. Thus, finding a productive balance is critical, especially when designing long-term initiatives aimed at sustainable change.</w:t>
      </w:r>
    </w:p>
    <w:p w14:paraId="2BE3EACF" w14:textId="77777777" w:rsidR="0084214C" w:rsidRPr="00B37A12" w:rsidRDefault="0084214C" w:rsidP="0084214C">
      <w:pPr>
        <w:pStyle w:val="Rubrik2"/>
        <w:rPr>
          <w:sz w:val="24"/>
          <w:szCs w:val="24"/>
        </w:rPr>
      </w:pPr>
      <w:bookmarkStart w:id="1" w:name="OLE_LINK3"/>
      <w:r w:rsidRPr="00B37A12">
        <w:t>Methodology</w:t>
      </w:r>
    </w:p>
    <w:bookmarkEnd w:id="1"/>
    <w:p w14:paraId="71B0D51F" w14:textId="48F34A15" w:rsidR="005F4AA5" w:rsidRPr="00B37A12" w:rsidRDefault="005F4AA5" w:rsidP="005F4AA5">
      <w:pPr>
        <w:pStyle w:val="Brdtext"/>
      </w:pPr>
      <w:r w:rsidRPr="00B37A12">
        <w:t>The study involved thirteen teachers from early years and lower elementary grades who have taken part in an ongoing professional development (PD) initiative</w:t>
      </w:r>
      <w:r w:rsidR="00232916" w:rsidRPr="00B37A12">
        <w:t xml:space="preserve"> in</w:t>
      </w:r>
      <w:r w:rsidRPr="00B37A12">
        <w:t xml:space="preserve"> Sweden, which began in 2019. Data for this study consist of written reflections collected in spring 2025. All participants provided consent for their reflections to be used in research.</w:t>
      </w:r>
    </w:p>
    <w:p w14:paraId="473B41B9" w14:textId="3F20038E" w:rsidR="005F4AA5" w:rsidRPr="00B37A12" w:rsidRDefault="005F4AA5" w:rsidP="005F4AA5">
      <w:r w:rsidRPr="00B37A12">
        <w:t>The PD initiative has been running continuously since 2019 and is still ongoing. It is organized around meetings, each lasting 3.5 hours</w:t>
      </w:r>
      <w:r w:rsidR="004A0DBC" w:rsidRPr="00B37A12">
        <w:t>,</w:t>
      </w:r>
      <w:r w:rsidR="00232916" w:rsidRPr="00B37A12">
        <w:t xml:space="preserve"> 4-6 times per year</w:t>
      </w:r>
      <w:r w:rsidRPr="00B37A12">
        <w:t>. Teachers gather either in grade-level groups or as a full school staff. Sessions typically include:</w:t>
      </w:r>
    </w:p>
    <w:p w14:paraId="78DEFF0F" w14:textId="77777777" w:rsidR="005F4AA5" w:rsidRPr="00B37A12" w:rsidRDefault="005F4AA5" w:rsidP="005F4AA5"/>
    <w:p w14:paraId="47553D02" w14:textId="77777777" w:rsidR="005F4AA5" w:rsidRPr="00B37A12" w:rsidRDefault="005F4AA5" w:rsidP="005F4AA5">
      <w:pPr>
        <w:pStyle w:val="Liststycke"/>
        <w:numPr>
          <w:ilvl w:val="0"/>
          <w:numId w:val="6"/>
        </w:numPr>
      </w:pPr>
      <w:r w:rsidRPr="00B37A12">
        <w:t>Structured discussions of classroom challenges,</w:t>
      </w:r>
    </w:p>
    <w:p w14:paraId="2C1257A9" w14:textId="77777777" w:rsidR="005F4AA5" w:rsidRPr="00B37A12" w:rsidRDefault="005F4AA5" w:rsidP="005F4AA5">
      <w:pPr>
        <w:pStyle w:val="Liststycke"/>
        <w:numPr>
          <w:ilvl w:val="0"/>
          <w:numId w:val="6"/>
        </w:numPr>
      </w:pPr>
      <w:r w:rsidRPr="00B37A12">
        <w:t>Follow-up on topics from previous meetings, and</w:t>
      </w:r>
    </w:p>
    <w:p w14:paraId="56B9B161" w14:textId="77777777" w:rsidR="005F4AA5" w:rsidRPr="00B37A12" w:rsidRDefault="005F4AA5" w:rsidP="005F4AA5">
      <w:pPr>
        <w:pStyle w:val="Liststycke"/>
        <w:numPr>
          <w:ilvl w:val="0"/>
          <w:numId w:val="6"/>
        </w:numPr>
      </w:pPr>
      <w:r w:rsidRPr="00B37A12">
        <w:t>A teacher-selected mini-lecture on a theme of shared interest.</w:t>
      </w:r>
    </w:p>
    <w:p w14:paraId="7B9B56CC" w14:textId="77777777" w:rsidR="005F4AA5" w:rsidRPr="00B37A12" w:rsidRDefault="005F4AA5" w:rsidP="005F4AA5">
      <w:pPr>
        <w:pStyle w:val="Liststycke"/>
        <w:ind w:left="1145" w:firstLine="0"/>
      </w:pPr>
    </w:p>
    <w:p w14:paraId="2CD6BEEA" w14:textId="4A9FB1DB" w:rsidR="005F4AA5" w:rsidRPr="00B37A12" w:rsidRDefault="005F4AA5" w:rsidP="005F4AA5">
      <w:r w:rsidRPr="00B37A12">
        <w:t>The project leader</w:t>
      </w:r>
      <w:r w:rsidR="00232916" w:rsidRPr="00B37A12">
        <w:t>, first author,</w:t>
      </w:r>
      <w:r w:rsidRPr="00B37A12">
        <w:t xml:space="preserve"> also maintains ongoing dialogue with school leaders and special education staff to ensure alignment with school priorities and student needs.</w:t>
      </w:r>
    </w:p>
    <w:p w14:paraId="17C576EE" w14:textId="77777777" w:rsidR="005F4AA5" w:rsidRPr="00B37A12" w:rsidRDefault="005F4AA5" w:rsidP="005F4AA5">
      <w:r w:rsidRPr="00B37A12">
        <w:t>In spring 2025, participating teachers were invited to submit written or recorded reflections as part of the project’s evaluative process. The reflections were guided by four open-ended prompts designed to capture their experiences of instructional change, student learning, and professional growth:</w:t>
      </w:r>
    </w:p>
    <w:p w14:paraId="2F043F2F" w14:textId="77777777" w:rsidR="005F4AA5" w:rsidRPr="00B37A12" w:rsidRDefault="005F4AA5" w:rsidP="005F4AA5"/>
    <w:p w14:paraId="0D705424" w14:textId="77777777" w:rsidR="005F4AA5" w:rsidRPr="00B37A12" w:rsidRDefault="005F4AA5" w:rsidP="005F4AA5">
      <w:pPr>
        <w:pStyle w:val="Numreradlista2"/>
      </w:pPr>
      <w:r w:rsidRPr="00B37A12">
        <w:rPr>
          <w:rStyle w:val="Stark"/>
          <w:b w:val="0"/>
          <w:bCs w:val="0"/>
        </w:rPr>
        <w:t>Changes in teaching practice</w:t>
      </w:r>
      <w:r w:rsidRPr="00B37A12">
        <w:rPr>
          <w:rStyle w:val="apple-converted-space"/>
        </w:rPr>
        <w:t> </w:t>
      </w:r>
      <w:r w:rsidRPr="00B37A12">
        <w:t>–</w:t>
      </w:r>
      <w:r w:rsidRPr="00B37A12">
        <w:rPr>
          <w:rStyle w:val="apple-converted-space"/>
        </w:rPr>
        <w:t> </w:t>
      </w:r>
      <w:r w:rsidRPr="00B37A12">
        <w:rPr>
          <w:rStyle w:val="Betoning"/>
          <w:i w:val="0"/>
          <w:iCs w:val="0"/>
        </w:rPr>
        <w:t xml:space="preserve">How do you feel your teaching has changed </w:t>
      </w:r>
      <w:proofErr w:type="gramStart"/>
      <w:r w:rsidRPr="00B37A12">
        <w:rPr>
          <w:rStyle w:val="Betoning"/>
          <w:i w:val="0"/>
          <w:iCs w:val="0"/>
        </w:rPr>
        <w:t>during the course of</w:t>
      </w:r>
      <w:proofErr w:type="gramEnd"/>
      <w:r w:rsidRPr="00B37A12">
        <w:rPr>
          <w:rStyle w:val="Betoning"/>
          <w:i w:val="0"/>
          <w:iCs w:val="0"/>
        </w:rPr>
        <w:t xml:space="preserve"> the project? Reflect on the causes of these changes and what you think they depend on.</w:t>
      </w:r>
    </w:p>
    <w:p w14:paraId="2958AE17" w14:textId="711D3BF1" w:rsidR="005F4AA5" w:rsidRPr="00B37A12" w:rsidRDefault="005F4AA5" w:rsidP="005F4AA5">
      <w:pPr>
        <w:pStyle w:val="Numreradlista2"/>
      </w:pPr>
      <w:r w:rsidRPr="00B37A12">
        <w:rPr>
          <w:rStyle w:val="Stark"/>
          <w:b w:val="0"/>
          <w:bCs w:val="0"/>
        </w:rPr>
        <w:t xml:space="preserve">Students’ </w:t>
      </w:r>
      <w:r w:rsidR="00BF6419" w:rsidRPr="00B37A12">
        <w:rPr>
          <w:rStyle w:val="Stark"/>
          <w:b w:val="0"/>
          <w:bCs w:val="0"/>
        </w:rPr>
        <w:t>behaviour</w:t>
      </w:r>
      <w:r w:rsidRPr="00B37A12">
        <w:rPr>
          <w:rStyle w:val="Stark"/>
          <w:b w:val="0"/>
          <w:bCs w:val="0"/>
        </w:rPr>
        <w:t xml:space="preserve"> in the classroom</w:t>
      </w:r>
      <w:r w:rsidRPr="00B37A12">
        <w:rPr>
          <w:rStyle w:val="apple-converted-space"/>
        </w:rPr>
        <w:t> </w:t>
      </w:r>
      <w:r w:rsidRPr="00B37A12">
        <w:t>–</w:t>
      </w:r>
      <w:r w:rsidRPr="00B37A12">
        <w:rPr>
          <w:rStyle w:val="apple-converted-space"/>
        </w:rPr>
        <w:t> </w:t>
      </w:r>
      <w:r w:rsidRPr="00B37A12">
        <w:rPr>
          <w:rStyle w:val="Betoning"/>
          <w:i w:val="0"/>
          <w:iCs w:val="0"/>
        </w:rPr>
        <w:t xml:space="preserve">How have the students’ strengths changed over time? Reflect on their </w:t>
      </w:r>
      <w:r w:rsidR="00BF6419" w:rsidRPr="00B37A12">
        <w:rPr>
          <w:rStyle w:val="Betoning"/>
          <w:i w:val="0"/>
          <w:iCs w:val="0"/>
        </w:rPr>
        <w:t>behaviour</w:t>
      </w:r>
      <w:r w:rsidRPr="00B37A12">
        <w:rPr>
          <w:rStyle w:val="Betoning"/>
          <w:i w:val="0"/>
          <w:iCs w:val="0"/>
        </w:rPr>
        <w:t xml:space="preserve"> now compared to earlier.</w:t>
      </w:r>
    </w:p>
    <w:p w14:paraId="4A1B66FF" w14:textId="77777777" w:rsidR="005F4AA5" w:rsidRPr="00B37A12" w:rsidRDefault="005F4AA5" w:rsidP="005F4AA5">
      <w:pPr>
        <w:pStyle w:val="Numreradlista2"/>
      </w:pPr>
      <w:r w:rsidRPr="00B37A12">
        <w:rPr>
          <w:rStyle w:val="Stark"/>
          <w:b w:val="0"/>
          <w:bCs w:val="0"/>
        </w:rPr>
        <w:t>Reflections on the journey</w:t>
      </w:r>
      <w:r w:rsidRPr="00B37A12">
        <w:rPr>
          <w:rStyle w:val="apple-converted-space"/>
        </w:rPr>
        <w:t> </w:t>
      </w:r>
      <w:r w:rsidRPr="00B37A12">
        <w:t>–</w:t>
      </w:r>
      <w:r w:rsidRPr="00B37A12">
        <w:rPr>
          <w:rStyle w:val="apple-converted-space"/>
        </w:rPr>
        <w:t> </w:t>
      </w:r>
      <w:r w:rsidRPr="00B37A12">
        <w:rPr>
          <w:rStyle w:val="Betoning"/>
          <w:i w:val="0"/>
          <w:iCs w:val="0"/>
        </w:rPr>
        <w:t>Share your reflections on the whole process.</w:t>
      </w:r>
    </w:p>
    <w:p w14:paraId="184B18C9" w14:textId="77777777" w:rsidR="005F4AA5" w:rsidRPr="00B37A12" w:rsidRDefault="005F4AA5" w:rsidP="005F4AA5">
      <w:pPr>
        <w:pStyle w:val="Numreradlista2"/>
        <w:rPr>
          <w:rStyle w:val="Betoning"/>
          <w:i w:val="0"/>
          <w:iCs w:val="0"/>
        </w:rPr>
      </w:pPr>
      <w:r w:rsidRPr="00B37A12">
        <w:rPr>
          <w:rStyle w:val="Stark"/>
          <w:b w:val="0"/>
          <w:bCs w:val="0"/>
        </w:rPr>
        <w:t>The role and selection of teaching materials</w:t>
      </w:r>
      <w:r w:rsidRPr="00B37A12">
        <w:rPr>
          <w:rStyle w:val="apple-converted-space"/>
        </w:rPr>
        <w:t> </w:t>
      </w:r>
      <w:r w:rsidRPr="00B37A12">
        <w:t>–</w:t>
      </w:r>
      <w:r w:rsidRPr="00B37A12">
        <w:rPr>
          <w:rStyle w:val="apple-converted-space"/>
        </w:rPr>
        <w:t> </w:t>
      </w:r>
      <w:r w:rsidRPr="00B37A12">
        <w:rPr>
          <w:rStyle w:val="Betoning"/>
          <w:i w:val="0"/>
          <w:iCs w:val="0"/>
        </w:rPr>
        <w:t>How do you choose teaching materials, and what role do they play in your teaching?</w:t>
      </w:r>
    </w:p>
    <w:p w14:paraId="6FF551E3" w14:textId="77777777" w:rsidR="005F4AA5" w:rsidRPr="00B37A12" w:rsidRDefault="005F4AA5" w:rsidP="005F4AA5">
      <w:pPr>
        <w:pStyle w:val="Numreradlista2"/>
        <w:numPr>
          <w:ilvl w:val="0"/>
          <w:numId w:val="0"/>
        </w:numPr>
        <w:ind w:left="283"/>
      </w:pPr>
    </w:p>
    <w:p w14:paraId="5B5A5492" w14:textId="2B9F7EE6" w:rsidR="005F4AA5" w:rsidRPr="00B37A12" w:rsidRDefault="005F4AA5" w:rsidP="00A06FC4">
      <w:r w:rsidRPr="00B37A12">
        <w:t>These reflections provided insight into how teachers understood the long-term influence of the PD initiative on their practice and how they exercised agency in relation to classroom teaching and curriculum resources.</w:t>
      </w:r>
      <w:r w:rsidR="00A06FC4">
        <w:t xml:space="preserve"> </w:t>
      </w:r>
      <w:r w:rsidRPr="00B37A12">
        <w:t>Thematic analysis was employed, guided by Boylan et al.’s (2018) concepts of</w:t>
      </w:r>
      <w:r w:rsidRPr="00B37A12">
        <w:rPr>
          <w:rStyle w:val="apple-converted-space"/>
          <w:color w:val="000000"/>
        </w:rPr>
        <w:t> </w:t>
      </w:r>
      <w:r w:rsidRPr="00A06FC4">
        <w:rPr>
          <w:rStyle w:val="Stark"/>
          <w:b w:val="0"/>
          <w:bCs w:val="0"/>
          <w:color w:val="000000"/>
        </w:rPr>
        <w:t>agency</w:t>
      </w:r>
      <w:r w:rsidRPr="00B37A12">
        <w:rPr>
          <w:rStyle w:val="apple-converted-space"/>
          <w:color w:val="000000"/>
        </w:rPr>
        <w:t> </w:t>
      </w:r>
      <w:r w:rsidRPr="00B37A12">
        <w:t>(teachers’ control over their professional learning) and</w:t>
      </w:r>
      <w:r w:rsidRPr="00B37A12">
        <w:rPr>
          <w:rStyle w:val="apple-converted-space"/>
          <w:color w:val="000000"/>
        </w:rPr>
        <w:t> </w:t>
      </w:r>
      <w:r w:rsidRPr="00A06FC4">
        <w:rPr>
          <w:rStyle w:val="Stark"/>
          <w:b w:val="0"/>
          <w:bCs w:val="0"/>
          <w:color w:val="000000"/>
        </w:rPr>
        <w:t>ambit</w:t>
      </w:r>
      <w:r w:rsidRPr="00B37A12">
        <w:rPr>
          <w:rStyle w:val="apple-converted-space"/>
          <w:color w:val="000000"/>
        </w:rPr>
        <w:t> </w:t>
      </w:r>
      <w:r w:rsidRPr="00B37A12">
        <w:t xml:space="preserve">(the scope of experiences considered valuable). Coding combined inductive and deductive approaches: codes were generated to capture emergent themes while being informed by the conceptual framework. The analysis focused on how teachers described changes in </w:t>
      </w:r>
      <w:r w:rsidR="0019317A">
        <w:t>teaching</w:t>
      </w:r>
      <w:r w:rsidR="0019317A" w:rsidRPr="00B37A12">
        <w:t xml:space="preserve"> </w:t>
      </w:r>
      <w:r w:rsidR="0019317A">
        <w:t>practice</w:t>
      </w:r>
      <w:r w:rsidRPr="00B37A12">
        <w:t xml:space="preserve">, their perceptions of student engagement, the role of </w:t>
      </w:r>
      <w:r w:rsidR="0019317A">
        <w:t>teaching</w:t>
      </w:r>
      <w:r w:rsidR="0019317A" w:rsidRPr="00B37A12">
        <w:t xml:space="preserve"> </w:t>
      </w:r>
      <w:r w:rsidRPr="00B37A12">
        <w:t xml:space="preserve">materials, and their experiences of </w:t>
      </w:r>
      <w:r w:rsidR="0019317A">
        <w:t>professional</w:t>
      </w:r>
      <w:r w:rsidR="0019317A" w:rsidRPr="00B37A12">
        <w:t xml:space="preserve"> </w:t>
      </w:r>
      <w:r w:rsidRPr="00B37A12">
        <w:t>learning.</w:t>
      </w:r>
    </w:p>
    <w:p w14:paraId="37D8E710" w14:textId="7A2E2567" w:rsidR="005F4AA5" w:rsidRPr="00B37A12" w:rsidRDefault="005F4AA5" w:rsidP="005F4AA5">
      <w:r w:rsidRPr="00B37A12">
        <w:t>Participation in the study was voluntary, and teachers provided informed consent before submitting their reflections. Data were anonymized during transcription and analysis to ensure confidentiality, and all identifying details were removed. The study followed ethical standards for educational research</w:t>
      </w:r>
      <w:r w:rsidR="007718C0">
        <w:t xml:space="preserve"> (</w:t>
      </w:r>
      <w:r w:rsidR="007718C0" w:rsidRPr="0048505A">
        <w:rPr>
          <w:lang w:val="sv-SE" w:eastAsia="sv-SE"/>
        </w:rPr>
        <w:t>Vetenskapsrådet, 2024)</w:t>
      </w:r>
      <w:r w:rsidRPr="00B37A12">
        <w:t>, ensuring that participation had no consequences for teachers’ professional roles and that they retained the right to withdraw their contributions at any stage.</w:t>
      </w:r>
    </w:p>
    <w:p w14:paraId="43F9D2BB" w14:textId="77777777" w:rsidR="0084214C" w:rsidRPr="00B37A12" w:rsidRDefault="0084214C" w:rsidP="0084214C">
      <w:pPr>
        <w:pStyle w:val="Rubrik2"/>
      </w:pPr>
      <w:r w:rsidRPr="00B37A12">
        <w:t>Results</w:t>
      </w:r>
    </w:p>
    <w:p w14:paraId="621628CC" w14:textId="405410DE" w:rsidR="0084214C" w:rsidRPr="00B37A12" w:rsidRDefault="0084214C" w:rsidP="00E96F12">
      <w:r w:rsidRPr="00B37A12">
        <w:t xml:space="preserve">This analysis summarizes teacher reflections from a mathematics professional development (PD) project. Thirteen written responses were </w:t>
      </w:r>
      <w:r w:rsidR="00232916" w:rsidRPr="00B37A12">
        <w:t>analysed</w:t>
      </w:r>
      <w:r w:rsidRPr="00B37A12">
        <w:t xml:space="preserve"> and categorized into key themes </w:t>
      </w:r>
      <w:proofErr w:type="gramStart"/>
      <w:r w:rsidRPr="00B37A12">
        <w:t>including</w:t>
      </w:r>
      <w:r w:rsidR="004A0DBC" w:rsidRPr="00B37A12">
        <w:t>;</w:t>
      </w:r>
      <w:proofErr w:type="gramEnd"/>
      <w:r w:rsidRPr="00B37A12">
        <w:t xml:space="preserve"> </w:t>
      </w:r>
      <w:r w:rsidR="0019317A" w:rsidRPr="00B37A12">
        <w:t xml:space="preserve">changes in </w:t>
      </w:r>
      <w:r w:rsidR="0019317A">
        <w:t>teaching</w:t>
      </w:r>
      <w:r w:rsidR="0019317A" w:rsidRPr="00B37A12">
        <w:t xml:space="preserve"> </w:t>
      </w:r>
      <w:r w:rsidR="0019317A">
        <w:t>practice</w:t>
      </w:r>
      <w:r w:rsidR="0019317A" w:rsidRPr="00B37A12">
        <w:t>, t</w:t>
      </w:r>
      <w:r w:rsidR="0019317A">
        <w:t>eacher’s</w:t>
      </w:r>
      <w:r w:rsidR="0019317A" w:rsidRPr="00B37A12">
        <w:t xml:space="preserve"> perceptions of student engagement, the role of </w:t>
      </w:r>
      <w:r w:rsidR="0019317A">
        <w:t>teaching</w:t>
      </w:r>
      <w:r w:rsidR="0019317A" w:rsidRPr="00B37A12">
        <w:t xml:space="preserve"> materials, and their experiences of </w:t>
      </w:r>
      <w:r w:rsidR="0019317A">
        <w:t>professional</w:t>
      </w:r>
      <w:r w:rsidR="0019317A" w:rsidRPr="00B37A12">
        <w:t xml:space="preserve"> learning.</w:t>
      </w:r>
      <w:r w:rsidR="0019317A" w:rsidRPr="00B37A12" w:rsidDel="0019317A">
        <w:t xml:space="preserve"> </w:t>
      </w:r>
      <w:r w:rsidR="0019317A">
        <w:t>T</w:t>
      </w:r>
      <w:r w:rsidRPr="00B37A12">
        <w:t>hese findings are discussed in relation to the concepts of agency and ambit in professional learning, as outlined by Boylan et al. (2018).</w:t>
      </w:r>
    </w:p>
    <w:p w14:paraId="5CEFD3EF" w14:textId="19ED2EC3" w:rsidR="00AC71A0" w:rsidRPr="00B37A12" w:rsidRDefault="008D64BC" w:rsidP="00A06FC4">
      <w:r w:rsidRPr="00B37A12">
        <w:t>These findings resonate with Wagner and Herbel-Eisenmann’s (2014) framework on authority structures. In particular, the increase in student participation and collaborative reasoning observed in this study can be linked to shifts toward greater personal latitude in classroom discourse, where students are positioned as active contributors to mathematical meaning-making.</w:t>
      </w:r>
    </w:p>
    <w:p w14:paraId="07280449" w14:textId="77777777" w:rsidR="0084214C" w:rsidRPr="00A06FC4" w:rsidRDefault="0084214C" w:rsidP="00A06FC4">
      <w:pPr>
        <w:pStyle w:val="Rubrik3"/>
      </w:pPr>
      <w:bookmarkStart w:id="2" w:name="OLE_LINK13"/>
      <w:r w:rsidRPr="00A06FC4">
        <w:t>Changes in Teaching Practice</w:t>
      </w:r>
    </w:p>
    <w:p w14:paraId="04B994B9" w14:textId="2F0B5D48" w:rsidR="00825367" w:rsidRPr="00544FF5" w:rsidRDefault="0084214C" w:rsidP="003A2722">
      <w:pPr>
        <w:pStyle w:val="Brdtext"/>
      </w:pPr>
      <w:r w:rsidRPr="00B37A12">
        <w:t>Many teachers described a shift toward more intentional and reflective teaching. Rather than strictly following a textbook, teachers reported selecting tasks that encourage reasoning and mathematical language development. One teacher noted: “I spend more time on tasks that focus on students’ reasoning. I want to see and hear that they understand the mathematics rather than just producing the correct answer.”</w:t>
      </w:r>
      <w:r w:rsidR="00A06FC4">
        <w:t xml:space="preserve"> </w:t>
      </w:r>
      <w:r w:rsidR="003B5C19" w:rsidRPr="00B37A12">
        <w:t xml:space="preserve">This change </w:t>
      </w:r>
      <w:r w:rsidR="00BB5531">
        <w:t>can mean</w:t>
      </w:r>
      <w:r w:rsidR="003B5C19" w:rsidRPr="00B37A12">
        <w:t xml:space="preserve"> that teachers dared to move away from a prescriptive model and instead allowed for both teacher and student agency, aligning with Boylan et al.’s (2018) framework for self-directed professional learning. </w:t>
      </w:r>
      <w:r w:rsidRPr="00B37A12">
        <w:t>Several participants also described adopting “mathematical glasses” as a metaphor for emphasizing the conceptual and linguistic components of mathematics.</w:t>
      </w:r>
      <w:r w:rsidR="004F143D" w:rsidRPr="00B37A12">
        <w:t xml:space="preserve"> “Now the math lesson has become like we put on our math glasses and step into a role”.</w:t>
      </w:r>
      <w:r w:rsidR="003B5C19" w:rsidRPr="00B37A12">
        <w:t xml:space="preserve"> </w:t>
      </w:r>
      <w:r w:rsidR="003A2722">
        <w:t xml:space="preserve"> </w:t>
      </w:r>
      <w:r w:rsidR="003B5C19" w:rsidRPr="00544FF5">
        <w:rPr>
          <w:lang w:eastAsia="sv-SE"/>
        </w:rPr>
        <w:t>Another teacher stressed: “I am more careful to use precise mathematical terms, like saying ‘equals’ instead of ‘becomes’, and I follow up students’ answers with open questions such as ‘How do you know that?’ or ‘How did you think?”</w:t>
      </w:r>
      <w:r w:rsidR="00A06FC4">
        <w:rPr>
          <w:lang w:eastAsia="sv-SE"/>
        </w:rPr>
        <w:t xml:space="preserve">. </w:t>
      </w:r>
      <w:r w:rsidR="00825367" w:rsidRPr="00544FF5">
        <w:rPr>
          <w:lang w:eastAsia="sv-SE"/>
        </w:rPr>
        <w:t xml:space="preserve">Teachers also highlighted that this shift required more preparation but gave deeper rewards. As one teacher explained: “Earlier, I just followed the book with little preparation. With the new book, and the activities we’ve tested, I prepare </w:t>
      </w:r>
      <w:proofErr w:type="gramStart"/>
      <w:r w:rsidR="00825367" w:rsidRPr="00544FF5">
        <w:rPr>
          <w:lang w:eastAsia="sv-SE"/>
        </w:rPr>
        <w:t>more</w:t>
      </w:r>
      <w:r w:rsidR="003A2722">
        <w:rPr>
          <w:lang w:eastAsia="sv-SE"/>
        </w:rPr>
        <w:t xml:space="preserve">, </w:t>
      </w:r>
      <w:r w:rsidR="00825367" w:rsidRPr="00544FF5">
        <w:rPr>
          <w:lang w:eastAsia="sv-SE"/>
        </w:rPr>
        <w:t xml:space="preserve"> both</w:t>
      </w:r>
      <w:proofErr w:type="gramEnd"/>
      <w:r w:rsidR="00825367" w:rsidRPr="00544FF5">
        <w:rPr>
          <w:lang w:eastAsia="sv-SE"/>
        </w:rPr>
        <w:t xml:space="preserve"> theoretically and practically</w:t>
      </w:r>
      <w:r w:rsidR="003A2722">
        <w:rPr>
          <w:lang w:eastAsia="sv-SE"/>
        </w:rPr>
        <w:t xml:space="preserve">, </w:t>
      </w:r>
      <w:r w:rsidR="00825367" w:rsidRPr="00544FF5">
        <w:rPr>
          <w:lang w:eastAsia="sv-SE"/>
        </w:rPr>
        <w:t xml:space="preserve">but it’s worth it. I feel calmer now, and I can really hear the students’ understanding when they talk to each other.” Another </w:t>
      </w:r>
      <w:r w:rsidR="003A2722">
        <w:rPr>
          <w:lang w:eastAsia="sv-SE"/>
        </w:rPr>
        <w:t>wrote</w:t>
      </w:r>
      <w:r w:rsidR="00825367" w:rsidRPr="00544FF5">
        <w:rPr>
          <w:lang w:eastAsia="sv-SE"/>
        </w:rPr>
        <w:t>: “I have challenged both myself and the students much more. I have dared to move away from the book and use other tasks, like those we received in workshops. That has given the students more variation and better understanding.”</w:t>
      </w:r>
    </w:p>
    <w:p w14:paraId="4A54012F" w14:textId="62066CEB" w:rsidR="00825367" w:rsidRPr="00544FF5" w:rsidRDefault="00825367" w:rsidP="00544FF5">
      <w:pPr>
        <w:rPr>
          <w:lang w:eastAsia="sv-SE"/>
        </w:rPr>
      </w:pPr>
      <w:r w:rsidRPr="00544FF5">
        <w:rPr>
          <w:lang w:eastAsia="sv-SE"/>
        </w:rPr>
        <w:t xml:space="preserve">A recurring theme was the value of open-ended and exploratory tasks, where there was not always one “correct” solution. One teacher described: “When we work with broader problems where there isn’t just one right answer, more students dare to try. Earlier some never said anything for fear of being wrong, but now they contribute.” Another </w:t>
      </w:r>
      <w:r w:rsidR="00BB5531">
        <w:rPr>
          <w:lang w:eastAsia="sv-SE"/>
        </w:rPr>
        <w:t>wrote</w:t>
      </w:r>
      <w:r w:rsidRPr="00544FF5">
        <w:rPr>
          <w:lang w:eastAsia="sv-SE"/>
        </w:rPr>
        <w:t>: “Students have become more relaxed and want to reflect and experiment with everyday math problems, like figuring out how many students are absent and setting up different equations to show it.”</w:t>
      </w:r>
    </w:p>
    <w:p w14:paraId="452FFC01" w14:textId="28FE040B" w:rsidR="00825367" w:rsidRPr="00544FF5" w:rsidRDefault="00825367" w:rsidP="00825367">
      <w:pPr>
        <w:rPr>
          <w:lang w:eastAsia="sv-SE"/>
        </w:rPr>
      </w:pPr>
      <w:r w:rsidRPr="00544FF5">
        <w:rPr>
          <w:lang w:eastAsia="sv-SE"/>
        </w:rPr>
        <w:t xml:space="preserve">Several teachers pointed out that the project helped them to see mathematics everywhere and to use everyday contexts for learning. One explained how she used her students’ curiosity about her newborn lambs as a way of exploring number concepts: “When the children ask if more lambs are born, we can investigate together.” Another </w:t>
      </w:r>
      <w:r w:rsidR="00610352">
        <w:rPr>
          <w:lang w:eastAsia="sv-SE"/>
        </w:rPr>
        <w:t>wrote about</w:t>
      </w:r>
      <w:r w:rsidR="00610352" w:rsidRPr="00544FF5">
        <w:rPr>
          <w:lang w:eastAsia="sv-SE"/>
        </w:rPr>
        <w:t xml:space="preserve"> </w:t>
      </w:r>
      <w:r w:rsidRPr="00544FF5">
        <w:rPr>
          <w:lang w:eastAsia="sv-SE"/>
        </w:rPr>
        <w:t>the importance of collective learning: “Instead of individual tasks, I now choose activities where everyone can join in, regardless of whether they are strong or struggling in mathematics.”</w:t>
      </w:r>
    </w:p>
    <w:p w14:paraId="17883E7D" w14:textId="69C04C60" w:rsidR="00AC71A0" w:rsidRPr="00B37A12" w:rsidRDefault="00610352" w:rsidP="00A06FC4">
      <w:pPr>
        <w:rPr>
          <w:lang w:eastAsia="sv-SE"/>
        </w:rPr>
      </w:pPr>
      <w:r>
        <w:rPr>
          <w:lang w:eastAsia="sv-SE"/>
        </w:rPr>
        <w:t>The r</w:t>
      </w:r>
      <w:r w:rsidRPr="00544FF5">
        <w:rPr>
          <w:lang w:eastAsia="sv-SE"/>
        </w:rPr>
        <w:t xml:space="preserve">eflections </w:t>
      </w:r>
      <w:r w:rsidR="00825367" w:rsidRPr="00544FF5">
        <w:rPr>
          <w:lang w:eastAsia="sv-SE"/>
        </w:rPr>
        <w:t>also show that teachers felt less stressed and more confident in prioritizing: “I have reflected more over children’s mathematical learning. I feel less stress over math lessons now that I know how to target specific areas.”</w:t>
      </w:r>
      <w:r w:rsidR="007453DA">
        <w:rPr>
          <w:lang w:eastAsia="sv-SE"/>
        </w:rPr>
        <w:t xml:space="preserve"> </w:t>
      </w:r>
      <w:r w:rsidR="00825367" w:rsidRPr="00544FF5">
        <w:rPr>
          <w:lang w:eastAsia="sv-SE"/>
        </w:rPr>
        <w:t xml:space="preserve">In summary, the </w:t>
      </w:r>
      <w:r>
        <w:rPr>
          <w:lang w:eastAsia="sv-SE"/>
        </w:rPr>
        <w:t xml:space="preserve">reported </w:t>
      </w:r>
      <w:r w:rsidR="00825367" w:rsidRPr="00544FF5">
        <w:rPr>
          <w:lang w:eastAsia="sv-SE"/>
        </w:rPr>
        <w:t xml:space="preserve">changes in teaching practice </w:t>
      </w:r>
      <w:r>
        <w:rPr>
          <w:lang w:eastAsia="sv-SE"/>
        </w:rPr>
        <w:t>shows</w:t>
      </w:r>
      <w:r w:rsidRPr="00544FF5">
        <w:rPr>
          <w:lang w:eastAsia="sv-SE"/>
        </w:rPr>
        <w:t xml:space="preserve"> </w:t>
      </w:r>
      <w:r w:rsidR="00825367" w:rsidRPr="00544FF5">
        <w:rPr>
          <w:lang w:eastAsia="sv-SE"/>
        </w:rPr>
        <w:t>a movement toward more reflective, language-rich, and student-</w:t>
      </w:r>
      <w:proofErr w:type="spellStart"/>
      <w:r w:rsidR="00825367" w:rsidRPr="00544FF5">
        <w:rPr>
          <w:lang w:eastAsia="sv-SE"/>
        </w:rPr>
        <w:t>centered</w:t>
      </w:r>
      <w:proofErr w:type="spellEnd"/>
      <w:r w:rsidR="00825367" w:rsidRPr="00544FF5">
        <w:rPr>
          <w:lang w:eastAsia="sv-SE"/>
        </w:rPr>
        <w:t xml:space="preserve"> mathematics teaching. Teachers reported increased confidence, greater awareness of mathematical language, and more varied and open tasks that foster reasoning and collaboration.</w:t>
      </w:r>
    </w:p>
    <w:p w14:paraId="74D0238C" w14:textId="0CFA3C88" w:rsidR="0084214C" w:rsidRPr="00B37A12" w:rsidRDefault="0019317A" w:rsidP="00A06FC4">
      <w:pPr>
        <w:pStyle w:val="Rubrik3"/>
      </w:pPr>
      <w:bookmarkStart w:id="3" w:name="OLE_LINK14"/>
      <w:bookmarkEnd w:id="2"/>
      <w:r>
        <w:t>P</w:t>
      </w:r>
      <w:r w:rsidRPr="00B37A12">
        <w:t xml:space="preserve">erceptions of </w:t>
      </w:r>
      <w:r>
        <w:t>S</w:t>
      </w:r>
      <w:r w:rsidR="0084214C" w:rsidRPr="00B37A12">
        <w:t xml:space="preserve">tudent </w:t>
      </w:r>
      <w:r w:rsidR="0084214C" w:rsidRPr="00A06FC4">
        <w:t>Engagement</w:t>
      </w:r>
      <w:r w:rsidR="0084214C" w:rsidRPr="00B37A12">
        <w:t xml:space="preserve"> in the Classroom</w:t>
      </w:r>
    </w:p>
    <w:p w14:paraId="0B600829" w14:textId="415E8406" w:rsidR="00825367" w:rsidRPr="00B37A12" w:rsidRDefault="0084214C" w:rsidP="003A2722">
      <w:pPr>
        <w:pStyle w:val="Brdtext"/>
      </w:pPr>
      <w:r w:rsidRPr="00B37A12">
        <w:t xml:space="preserve">Teachers reported notable changes in students’ classroom </w:t>
      </w:r>
      <w:r w:rsidR="00232916" w:rsidRPr="00B37A12">
        <w:t>behaviour</w:t>
      </w:r>
      <w:r w:rsidRPr="00B37A12">
        <w:t>. A prominent theme was increased student participation in mathematical discussions. As one teacher stated: “They talk about mathematics with me and, more importantly, with each other!”</w:t>
      </w:r>
      <w:r w:rsidR="00A06FC4">
        <w:t xml:space="preserve"> </w:t>
      </w:r>
      <w:r w:rsidR="00825367" w:rsidRPr="00544FF5">
        <w:rPr>
          <w:lang w:eastAsia="sv-SE"/>
        </w:rPr>
        <w:t xml:space="preserve">Teachers </w:t>
      </w:r>
      <w:r w:rsidR="009E3E55">
        <w:rPr>
          <w:lang w:eastAsia="sv-SE"/>
        </w:rPr>
        <w:t>described</w:t>
      </w:r>
      <w:r w:rsidR="009E3E55" w:rsidRPr="00544FF5">
        <w:rPr>
          <w:lang w:eastAsia="sv-SE"/>
        </w:rPr>
        <w:t xml:space="preserve"> </w:t>
      </w:r>
      <w:r w:rsidR="00825367" w:rsidRPr="00544FF5">
        <w:rPr>
          <w:lang w:eastAsia="sv-SE"/>
        </w:rPr>
        <w:t>that students who previously remained silent began to contribute: “When we work with broader problems where there isn’t just one right answer, more students dare to try. Earlier some never said anything for fear of being wrong, but now they contribute.” Another teacher reflected: “Students who once struggled with confidence now participate in discussions and show their reasoning openly.”</w:t>
      </w:r>
    </w:p>
    <w:p w14:paraId="2102CB6A" w14:textId="678E1919" w:rsidR="00825367" w:rsidRPr="00544FF5" w:rsidRDefault="00825367" w:rsidP="00A06FC4">
      <w:pPr>
        <w:rPr>
          <w:lang w:eastAsia="sv-SE"/>
        </w:rPr>
      </w:pPr>
      <w:r w:rsidRPr="00544FF5">
        <w:rPr>
          <w:lang w:eastAsia="sv-SE"/>
        </w:rPr>
        <w:t xml:space="preserve">A recurring </w:t>
      </w:r>
      <w:r w:rsidR="00610352">
        <w:rPr>
          <w:lang w:eastAsia="sv-SE"/>
        </w:rPr>
        <w:t>theme in the written reflections</w:t>
      </w:r>
      <w:r w:rsidR="00610352" w:rsidRPr="00544FF5">
        <w:rPr>
          <w:lang w:eastAsia="sv-SE"/>
        </w:rPr>
        <w:t xml:space="preserve"> </w:t>
      </w:r>
      <w:r w:rsidRPr="00544FF5">
        <w:rPr>
          <w:lang w:eastAsia="sv-SE"/>
        </w:rPr>
        <w:t xml:space="preserve">was that collaborative tasks not only improved mathematical reasoning but also strengthened social interaction. One teacher noted: “Working in groups has made students better at listening to each other and helping each other. They are more used to reasoning together and it creates a more open climate in the classroom.” Several teachers emphasized that the shift toward dialogue and reasoning helped reduce students’ anxiety around mathematics. As one explained: “Before, some students panicked when they didn’t understand immediately. Now they take more time, </w:t>
      </w:r>
      <w:r w:rsidR="00A06FC4" w:rsidRPr="00544FF5">
        <w:rPr>
          <w:lang w:eastAsia="sv-SE"/>
        </w:rPr>
        <w:t>analyse</w:t>
      </w:r>
      <w:r w:rsidRPr="00544FF5">
        <w:rPr>
          <w:lang w:eastAsia="sv-SE"/>
        </w:rPr>
        <w:t xml:space="preserve"> the problem, and feel safer as mathematicians.”</w:t>
      </w:r>
    </w:p>
    <w:p w14:paraId="621D8AF8" w14:textId="7712A011" w:rsidR="00AC71A0" w:rsidRPr="00544FF5" w:rsidRDefault="00825367" w:rsidP="005C1B9E">
      <w:r w:rsidRPr="00544FF5">
        <w:rPr>
          <w:lang w:eastAsia="sv-SE"/>
        </w:rPr>
        <w:t xml:space="preserve">In summary, teachers reported that students’ engagement in mathematics lessons grew stronger as they gained confidence, learned to express their reasoning, and discovered the value of collaboration. </w:t>
      </w:r>
      <w:r w:rsidR="00610352">
        <w:rPr>
          <w:lang w:eastAsia="sv-SE"/>
        </w:rPr>
        <w:t>They expressed that o</w:t>
      </w:r>
      <w:r w:rsidR="00610352" w:rsidRPr="00544FF5">
        <w:rPr>
          <w:lang w:eastAsia="sv-SE"/>
        </w:rPr>
        <w:t>pen</w:t>
      </w:r>
      <w:r w:rsidRPr="00544FF5">
        <w:rPr>
          <w:lang w:eastAsia="sv-SE"/>
        </w:rPr>
        <w:t xml:space="preserve">-ended tasks and mathematical dialogue gave space for more voices to be heard, contributing to a richer and more inclusive classroom culture. </w:t>
      </w:r>
      <w:r w:rsidR="0084214C" w:rsidRPr="00B37A12">
        <w:t>This aligns with research showing that student agency and open-ended tasks foster deeper mathematical understanding (Ball, 2003; Boylan et al., 2018).</w:t>
      </w:r>
    </w:p>
    <w:p w14:paraId="05DCCC99" w14:textId="77777777" w:rsidR="0084214C" w:rsidRPr="00B37A12" w:rsidRDefault="0084214C" w:rsidP="005C1B9E">
      <w:pPr>
        <w:pStyle w:val="Rubrik3"/>
      </w:pPr>
      <w:bookmarkStart w:id="4" w:name="OLE_LINK5"/>
      <w:bookmarkStart w:id="5" w:name="OLE_LINK15"/>
      <w:bookmarkEnd w:id="3"/>
      <w:r w:rsidRPr="00B37A12">
        <w:t xml:space="preserve">Professional Learning: Ambit and </w:t>
      </w:r>
      <w:r w:rsidRPr="005C1B9E">
        <w:t>Agency</w:t>
      </w:r>
    </w:p>
    <w:bookmarkEnd w:id="4"/>
    <w:p w14:paraId="56139646" w14:textId="1E426DC6" w:rsidR="00AF630D" w:rsidRDefault="0075568D" w:rsidP="00A06FC4">
      <w:pPr>
        <w:pStyle w:val="Brdtext"/>
        <w:rPr>
          <w:sz w:val="22"/>
          <w:szCs w:val="22"/>
          <w:lang w:val="en-US"/>
        </w:rPr>
      </w:pPr>
      <w:r w:rsidRPr="00B37A12">
        <w:t xml:space="preserve">Many teachers expressed that they had felt encouraged to experiment with new teaching methods, often due to concrete examples and collegial discussions. </w:t>
      </w:r>
      <w:r w:rsidR="00AF630D">
        <w:t>Helenius et al. (2014) argue that relational aspects, between teachers, between teachers and students, and between teachers and designers, must be integrated into PD design to create meaningful learning opportunities.</w:t>
      </w:r>
      <w:r w:rsidR="00A578B8">
        <w:t xml:space="preserve"> </w:t>
      </w:r>
      <w:proofErr w:type="gramStart"/>
      <w:r w:rsidR="00A578B8">
        <w:t>Similar to</w:t>
      </w:r>
      <w:proofErr w:type="gramEnd"/>
      <w:r w:rsidR="00A578B8">
        <w:t xml:space="preserve"> findings from earlier Swedish case studies, teachers in this project exercised agency by appropriating and reshaping PD tasks in ways that reflected their local needs and collegial practices (</w:t>
      </w:r>
      <w:proofErr w:type="spellStart"/>
      <w:r w:rsidR="00A578B8">
        <w:t>Insulander</w:t>
      </w:r>
      <w:proofErr w:type="spellEnd"/>
      <w:r w:rsidR="00A578B8">
        <w:t xml:space="preserve"> et al., 2019).</w:t>
      </w:r>
    </w:p>
    <w:p w14:paraId="1C1C8FA3" w14:textId="512220D8" w:rsidR="00D21C13" w:rsidRPr="00B37A12" w:rsidRDefault="0075568D" w:rsidP="00A06FC4">
      <w:r w:rsidRPr="00B37A12">
        <w:t xml:space="preserve">As one participant </w:t>
      </w:r>
      <w:r w:rsidR="009E4402">
        <w:t>wrote</w:t>
      </w:r>
      <w:r w:rsidRPr="00B37A12">
        <w:t xml:space="preserve">, receiving concrete tips and engaging in meaningful dialogue with colleagues expanded their willingness to try new approaches. Similarly, another teacher </w:t>
      </w:r>
      <w:r w:rsidR="00232916" w:rsidRPr="00B37A12">
        <w:t>wrote</w:t>
      </w:r>
      <w:r w:rsidRPr="00B37A12">
        <w:t xml:space="preserve"> that they had challenged both themselves and their students through more varied teaching, illustrating how collaboration fostered the confidence to depart from routine practices</w:t>
      </w:r>
      <w:r w:rsidR="00D21C13" w:rsidRPr="00B37A12">
        <w:t>,</w:t>
      </w:r>
      <w:r w:rsidR="00D21C13" w:rsidRPr="00544FF5">
        <w:t xml:space="preserve"> </w:t>
      </w:r>
      <w:r w:rsidR="00A46EF5" w:rsidRPr="00544FF5">
        <w:t>another</w:t>
      </w:r>
      <w:r w:rsidR="00D21C13" w:rsidRPr="00544FF5">
        <w:t xml:space="preserve"> teacher emphasized that collaboration provided courage: “I have challenged both myself and the students with more varied teaching. It feels easier to test something new when I know my colleagues are also trying it.”</w:t>
      </w:r>
    </w:p>
    <w:p w14:paraId="4F98DFB8" w14:textId="441A606E" w:rsidR="00C90280" w:rsidRPr="0048505A" w:rsidRDefault="00D21C13" w:rsidP="00C90280">
      <w:pPr>
        <w:rPr>
          <w:sz w:val="24"/>
          <w:szCs w:val="24"/>
          <w:lang w:val="sv-SE" w:eastAsia="sv-SE"/>
        </w:rPr>
      </w:pPr>
      <w:r w:rsidRPr="00544FF5">
        <w:rPr>
          <w:lang w:eastAsia="sv-SE"/>
        </w:rPr>
        <w:t xml:space="preserve">Teachers frequently highlighted that this type of peer collaboration expanded their view of what counts as legitimate and valuable practice. What once might have felt like stepping outside the norm gradually became part of a broader ambit of professional learning. Several </w:t>
      </w:r>
      <w:r w:rsidR="009E4402">
        <w:rPr>
          <w:lang w:eastAsia="sv-SE"/>
        </w:rPr>
        <w:t>wrote</w:t>
      </w:r>
      <w:r w:rsidR="009E4402" w:rsidRPr="00544FF5">
        <w:rPr>
          <w:lang w:eastAsia="sv-SE"/>
        </w:rPr>
        <w:t xml:space="preserve"> </w:t>
      </w:r>
      <w:r w:rsidRPr="00544FF5">
        <w:rPr>
          <w:lang w:eastAsia="sv-SE"/>
        </w:rPr>
        <w:t xml:space="preserve">that they now reflect more on why certain mathematical concepts are difficult for students and share strategies to make them more accessible. </w:t>
      </w:r>
      <w:r w:rsidR="0075568D" w:rsidRPr="00B37A12">
        <w:t>This peer collaboration appeared to expand the perceived ambit of their professional learning</w:t>
      </w:r>
      <w:r w:rsidR="00232916" w:rsidRPr="00B37A12">
        <w:t xml:space="preserve">, </w:t>
      </w:r>
      <w:r w:rsidR="0075568D" w:rsidRPr="00B37A12">
        <w:t>what counts as legitimate and valuable practice. This broader ambit, as defined by Boylan et al. (2018), reflects greater professional agency and ownership of instructional methods.</w:t>
      </w:r>
      <w:r w:rsidR="00A578B8">
        <w:t xml:space="preserve"> </w:t>
      </w:r>
      <w:r w:rsidR="00C90280">
        <w:rPr>
          <w:lang w:eastAsia="sv-SE"/>
        </w:rPr>
        <w:t>The reflections in this study reveal how teachers gradually expanded the ambit of legitimate practice, from following textbooks to designing tasks collaboratively. This expansion was made possible through increased agency: teachers took ownership of instructional decisions and justified them through shared professional reasoning.</w:t>
      </w:r>
    </w:p>
    <w:p w14:paraId="1A57B464" w14:textId="36CB7E98" w:rsidR="00AC71A0" w:rsidRPr="005C1B9E" w:rsidRDefault="00AC71A0" w:rsidP="005C1B9E">
      <w:pPr>
        <w:rPr>
          <w:sz w:val="22"/>
          <w:szCs w:val="22"/>
          <w:lang w:val="en-US"/>
        </w:rPr>
      </w:pPr>
    </w:p>
    <w:p w14:paraId="112C8224" w14:textId="17DD5CD0" w:rsidR="0084214C" w:rsidRPr="00B37A12" w:rsidRDefault="0019317A" w:rsidP="0084214C">
      <w:pPr>
        <w:pStyle w:val="Rubrik3"/>
      </w:pPr>
      <w:r>
        <w:t>T</w:t>
      </w:r>
      <w:r w:rsidRPr="00B37A12">
        <w:t xml:space="preserve">he </w:t>
      </w:r>
      <w:r w:rsidR="00E96F12">
        <w:t>R</w:t>
      </w:r>
      <w:r w:rsidRPr="00B37A12">
        <w:t xml:space="preserve">ole of </w:t>
      </w:r>
      <w:r w:rsidR="0084214C" w:rsidRPr="00B37A12">
        <w:t>Teaching Materials</w:t>
      </w:r>
    </w:p>
    <w:p w14:paraId="73896B6E" w14:textId="4E7C5B33" w:rsidR="0084214C" w:rsidRPr="00B37A12" w:rsidRDefault="0084214C" w:rsidP="00D21C13">
      <w:pPr>
        <w:pStyle w:val="Brdtext"/>
      </w:pPr>
      <w:proofErr w:type="gramStart"/>
      <w:r w:rsidRPr="00B37A12">
        <w:t>A number of</w:t>
      </w:r>
      <w:proofErr w:type="gramEnd"/>
      <w:r w:rsidRPr="00B37A12">
        <w:t xml:space="preserve"> teachers described a more flexible relationship to teaching materials. While previously constrained by textbooks, they now felt more empowered to supplement with investigative and hands-on activities. One teacher shared: “I used to see teacher guides as something to copy from, but now I reflect more on how I explain mathematical relationships.”</w:t>
      </w:r>
      <w:r w:rsidR="00D21C13" w:rsidRPr="00B37A12">
        <w:t xml:space="preserve"> </w:t>
      </w:r>
      <w:r w:rsidR="00D21C13" w:rsidRPr="00544FF5">
        <w:t>Another reflected: “No material can provide everything a group needs. I use the textbook as a foundation, but I adapt and add activities so all students can be included.”</w:t>
      </w:r>
    </w:p>
    <w:p w14:paraId="79EB4F52" w14:textId="3E903E62" w:rsidR="0084214C" w:rsidRPr="00B37A12" w:rsidRDefault="0084214C" w:rsidP="00D21C13">
      <w:r w:rsidRPr="00B37A12">
        <w:t xml:space="preserve">Still, some tension remains around the comprehensive scope of the </w:t>
      </w:r>
      <w:r w:rsidR="00D21C13" w:rsidRPr="00B37A12">
        <w:t>new textbook</w:t>
      </w:r>
      <w:r w:rsidRPr="00B37A12">
        <w:t xml:space="preserve">, which was described as both beneficial and overwhelming. </w:t>
      </w:r>
      <w:r w:rsidR="00D21C13" w:rsidRPr="00544FF5">
        <w:t>On the one hand, it provided a structured sequence, ready-made activities, and research-based content. On the other hand, several described it as overwhelming: “If you try to do everything in the new book, there is little time left to pause, reflect, or practice more.”</w:t>
      </w:r>
      <w:r w:rsidR="00D21C13" w:rsidRPr="00544FF5">
        <w:rPr>
          <w:rFonts w:ascii="Helvetica" w:hAnsi="Helvetica" w:cs="Helvetica"/>
          <w:color w:val="000000"/>
          <w:sz w:val="29"/>
          <w:szCs w:val="29"/>
          <w:lang w:eastAsia="sv-SE"/>
        </w:rPr>
        <w:t xml:space="preserve"> </w:t>
      </w:r>
      <w:r w:rsidRPr="00B37A12">
        <w:t>This highlights the need for a balance between structured support and teacher autonomy</w:t>
      </w:r>
      <w:r w:rsidR="00232916" w:rsidRPr="00B37A12">
        <w:t xml:space="preserve">, </w:t>
      </w:r>
      <w:r w:rsidRPr="00B37A12">
        <w:t>a key interaction between ambit and agency.</w:t>
      </w:r>
      <w:r w:rsidR="00D21C13" w:rsidRPr="00B37A12">
        <w:t xml:space="preserve"> </w:t>
      </w:r>
      <w:r w:rsidR="00610352">
        <w:t>Some t</w:t>
      </w:r>
      <w:r w:rsidR="00610352" w:rsidRPr="00544FF5">
        <w:t xml:space="preserve">eachers </w:t>
      </w:r>
      <w:r w:rsidR="00D21C13" w:rsidRPr="00544FF5">
        <w:t>concluded that the most productive approach was to see textbooks and curriculum packages as valuable tools, but not as strict scripts that must be followed line by line.</w:t>
      </w:r>
    </w:p>
    <w:p w14:paraId="534F0070" w14:textId="77777777" w:rsidR="0084214C" w:rsidRPr="00B37A12" w:rsidRDefault="0084214C" w:rsidP="0084214C">
      <w:pPr>
        <w:pStyle w:val="Rubrik3"/>
      </w:pPr>
      <w:bookmarkStart w:id="6" w:name="OLE_LINK16"/>
      <w:bookmarkEnd w:id="5"/>
      <w:r w:rsidRPr="00B37A12">
        <w:t>Summary of Key Themes</w:t>
      </w:r>
    </w:p>
    <w:p w14:paraId="49B89701" w14:textId="0D06916B" w:rsidR="00B37A12" w:rsidRPr="00544FF5" w:rsidRDefault="00B37A12" w:rsidP="00544FF5">
      <w:pPr>
        <w:pStyle w:val="Brdtext"/>
        <w:rPr>
          <w:lang w:eastAsia="sv-SE"/>
        </w:rPr>
      </w:pPr>
      <w:r w:rsidRPr="00544FF5">
        <w:rPr>
          <w:lang w:eastAsia="sv-SE"/>
        </w:rPr>
        <w:t xml:space="preserve">A thematic analysis of the thirteen teacher responses revealed </w:t>
      </w:r>
      <w:proofErr w:type="gramStart"/>
      <w:r w:rsidRPr="00544FF5">
        <w:rPr>
          <w:lang w:eastAsia="sv-SE"/>
        </w:rPr>
        <w:t>a number of</w:t>
      </w:r>
      <w:proofErr w:type="gramEnd"/>
      <w:r w:rsidRPr="00544FF5">
        <w:rPr>
          <w:lang w:eastAsia="sv-SE"/>
        </w:rPr>
        <w:t xml:space="preserve"> interrelated developments. Many teachers reported that their teaching had become more intentional, with greater awareness of planning and prioritization. </w:t>
      </w:r>
      <w:r w:rsidR="00610352">
        <w:rPr>
          <w:lang w:eastAsia="sv-SE"/>
        </w:rPr>
        <w:t>The teachers reported that t</w:t>
      </w:r>
      <w:r w:rsidR="00610352" w:rsidRPr="00544FF5">
        <w:rPr>
          <w:lang w:eastAsia="sv-SE"/>
        </w:rPr>
        <w:t xml:space="preserve">his </w:t>
      </w:r>
      <w:r w:rsidRPr="00544FF5">
        <w:rPr>
          <w:lang w:eastAsia="sv-SE"/>
        </w:rPr>
        <w:t>shift was accompanied by students’ improved reasoning and collaboration</w:t>
      </w:r>
      <w:r w:rsidR="00610352">
        <w:rPr>
          <w:lang w:eastAsia="sv-SE"/>
        </w:rPr>
        <w:t xml:space="preserve">. </w:t>
      </w:r>
      <w:r w:rsidRPr="00544FF5">
        <w:rPr>
          <w:lang w:eastAsia="sv-SE"/>
        </w:rPr>
        <w:t>Teachers also described a more flexible use of teaching materials, no longer constrained by textbooks but instead combining structured resources with exploratory and hands-on activities.</w:t>
      </w:r>
    </w:p>
    <w:p w14:paraId="4985D1E9" w14:textId="246CB163" w:rsidR="00B37A12" w:rsidRPr="00544FF5" w:rsidRDefault="00B37A12" w:rsidP="00544FF5">
      <w:pPr>
        <w:rPr>
          <w:lang w:eastAsia="sv-SE"/>
        </w:rPr>
      </w:pPr>
      <w:r w:rsidRPr="00544FF5">
        <w:rPr>
          <w:lang w:eastAsia="sv-SE"/>
        </w:rPr>
        <w:t xml:space="preserve">A central theme was the role of collegial learning. Through professional dialogue, teachers not only gained concrete strategies but also expanded their sense of what counts as legitimate practice. This reflects a broadening </w:t>
      </w:r>
      <w:r w:rsidRPr="005C1B9E">
        <w:rPr>
          <w:rFonts w:ascii="Times-Bold" w:hAnsi="Times-Bold" w:cs="Times-Bold"/>
          <w:lang w:eastAsia="sv-SE"/>
        </w:rPr>
        <w:t>ambit</w:t>
      </w:r>
      <w:r w:rsidRPr="00544FF5">
        <w:rPr>
          <w:lang w:eastAsia="sv-SE"/>
        </w:rPr>
        <w:t xml:space="preserve"> of professional learning, where experimentation and shared reflection became valued aspects of teaching. At the same time, teachers reported an increased sense of </w:t>
      </w:r>
      <w:r w:rsidRPr="005C1B9E">
        <w:rPr>
          <w:rFonts w:ascii="Times-Bold" w:hAnsi="Times-Bold" w:cs="Times-Bold"/>
          <w:lang w:eastAsia="sv-SE"/>
        </w:rPr>
        <w:t>agency</w:t>
      </w:r>
      <w:r w:rsidR="005C1B9E">
        <w:rPr>
          <w:lang w:eastAsia="sv-SE"/>
        </w:rPr>
        <w:t xml:space="preserve">, </w:t>
      </w:r>
      <w:r w:rsidRPr="00544FF5">
        <w:rPr>
          <w:lang w:eastAsia="sv-SE"/>
        </w:rPr>
        <w:t>greater confidence and ownership of their instructional choices, even when moving beyond routine practices.</w:t>
      </w:r>
    </w:p>
    <w:p w14:paraId="6EEC906D" w14:textId="3D7FA326" w:rsidR="00AC71A0" w:rsidRDefault="00B37A12" w:rsidP="005C1B9E">
      <w:r w:rsidRPr="00544FF5">
        <w:rPr>
          <w:lang w:eastAsia="sv-SE"/>
        </w:rPr>
        <w:t>Several teachers also pointed to challenges, particularly with group work for students with neurodivergent needs, highlighting the need for careful scaffolding and differentiated approaches. Nonetheless, the overall findings align with Wagner’s</w:t>
      </w:r>
      <w:r w:rsidR="003A2722">
        <w:rPr>
          <w:lang w:eastAsia="sv-SE"/>
        </w:rPr>
        <w:t xml:space="preserve"> (2014)</w:t>
      </w:r>
      <w:r w:rsidRPr="00544FF5">
        <w:rPr>
          <w:lang w:eastAsia="sv-SE"/>
        </w:rPr>
        <w:t xml:space="preserve"> argument that professional development is most transformative when it expands teachers’ repertoires and strengthens their professional identity. In this case, the project not only changed classroom practice but also contributed to a culture of agency, expanded ambit, and a more exploratory, student-centred approach to mathematics instruction.</w:t>
      </w:r>
      <w:r w:rsidR="00544FF5">
        <w:rPr>
          <w:lang w:eastAsia="sv-SE"/>
        </w:rPr>
        <w:t xml:space="preserve"> </w:t>
      </w:r>
      <w:r w:rsidR="0084214C" w:rsidRPr="00B37A12">
        <w:t>The findings indicate that the PD project contributed to an enhanced sense of professional agency, a broadened ambit of teaching methods, and a more exploratory and student-</w:t>
      </w:r>
      <w:r w:rsidR="00232916" w:rsidRPr="00B37A12">
        <w:t>centred</w:t>
      </w:r>
      <w:r w:rsidR="0084214C" w:rsidRPr="00B37A12">
        <w:t xml:space="preserve"> approach to mathematics instruction.</w:t>
      </w:r>
    </w:p>
    <w:p w14:paraId="757DDCAA" w14:textId="3D0ED16F" w:rsidR="00A27247" w:rsidRPr="00B37A12" w:rsidRDefault="00A27247" w:rsidP="00C90280">
      <w:r>
        <w:rPr>
          <w:lang w:eastAsia="sv-SE"/>
        </w:rPr>
        <w:t>In this study, teachers’ reflections suggest that agency was exercised within an expanding ambit. Initially, their professional choices were confined by prescriptive curriculum materials, but over time collegial discussions and reflective practice broadened the ambit of what counted as valid teaching. Thus, professional growth emerged not through the absence of structure, but through teachers’ negotiation of structure and freedom.</w:t>
      </w:r>
    </w:p>
    <w:bookmarkEnd w:id="6"/>
    <w:p w14:paraId="6E4B8207" w14:textId="7266D3C5" w:rsidR="00AC71A0" w:rsidRPr="00AC71A0" w:rsidRDefault="0084214C" w:rsidP="00AC71A0">
      <w:pPr>
        <w:pStyle w:val="Rubrik2"/>
      </w:pPr>
      <w:r w:rsidRPr="00B37A12">
        <w:t>Discussion</w:t>
      </w:r>
    </w:p>
    <w:p w14:paraId="3DFF9630" w14:textId="77777777" w:rsidR="00990AF3" w:rsidRDefault="0084214C" w:rsidP="003A2722">
      <w:pPr>
        <w:pStyle w:val="Brdtext"/>
        <w:rPr>
          <w:sz w:val="22"/>
          <w:szCs w:val="22"/>
          <w:lang w:val="en-US"/>
        </w:rPr>
      </w:pPr>
      <w:r w:rsidRPr="00B37A12">
        <w:t xml:space="preserve">These results demonstrate that </w:t>
      </w:r>
      <w:r w:rsidR="00232916" w:rsidRPr="00B37A12">
        <w:t>structured,</w:t>
      </w:r>
      <w:r w:rsidRPr="00B37A12">
        <w:t xml:space="preserve"> yet reflective professional development can support meaningful shifts in both teaching and learning. The project encouraged teachers to move from a prescriptive model of instruction</w:t>
      </w:r>
      <w:r w:rsidR="00232916" w:rsidRPr="00B37A12">
        <w:t xml:space="preserve">, </w:t>
      </w:r>
      <w:r w:rsidRPr="00B37A12">
        <w:t>where outcomes and methods are externally set</w:t>
      </w:r>
      <w:r w:rsidR="00232916" w:rsidRPr="00B37A12">
        <w:t xml:space="preserve">, </w:t>
      </w:r>
      <w:r w:rsidRPr="00B37A12">
        <w:t>towards a more self-directed approach that values experimentation, dialogue, and conceptual understanding.</w:t>
      </w:r>
      <w:r w:rsidR="004A5602">
        <w:t xml:space="preserve"> These results resonate with research showing that teacher agency in PD programmes often emerges through negotiation between prescribed materials and collective sense-making processes in collegial discussions (</w:t>
      </w:r>
      <w:proofErr w:type="spellStart"/>
      <w:r w:rsidR="004A5602">
        <w:t>Insulander</w:t>
      </w:r>
      <w:proofErr w:type="spellEnd"/>
      <w:r w:rsidR="004A5602">
        <w:t xml:space="preserve"> et al., 2019).</w:t>
      </w:r>
      <w:r w:rsidR="005C1B9E">
        <w:rPr>
          <w:sz w:val="22"/>
          <w:szCs w:val="22"/>
          <w:lang w:val="en-US"/>
        </w:rPr>
        <w:t xml:space="preserve"> </w:t>
      </w:r>
      <w:r w:rsidR="00990AF3">
        <w:t>This is consistent with findings from a systematic review showing that effective mathematics PD often combines structured input with opportunities for inquiry and collaboration (Alsina et al., 2021).</w:t>
      </w:r>
    </w:p>
    <w:p w14:paraId="3A2EE710" w14:textId="1F30C01C" w:rsidR="0084214C" w:rsidRPr="0048505A" w:rsidRDefault="0084214C" w:rsidP="00FC1F93">
      <w:pPr>
        <w:rPr>
          <w:sz w:val="24"/>
          <w:szCs w:val="24"/>
          <w:lang w:val="sv-SE" w:eastAsia="sv-SE"/>
        </w:rPr>
      </w:pPr>
      <w:r w:rsidRPr="00B37A12">
        <w:t>The expanded ambit of acceptable instructional practices, fostered by collegial sharing and practical examples, appears to have played a key role in promoting teacher agency. This supports Boylan et al.’s (2018) assertion that professional learning is most effective when it balances structure with autonomy.</w:t>
      </w:r>
      <w:r w:rsidR="005C1B9E">
        <w:rPr>
          <w:sz w:val="22"/>
          <w:szCs w:val="22"/>
          <w:lang w:val="en-US"/>
        </w:rPr>
        <w:t xml:space="preserve"> </w:t>
      </w:r>
      <w:r w:rsidRPr="00B37A12">
        <w:t>Moreover, the reflections suggest that increasing student agency</w:t>
      </w:r>
      <w:r w:rsidR="00232916" w:rsidRPr="00B37A12">
        <w:t xml:space="preserve">, </w:t>
      </w:r>
      <w:r w:rsidRPr="00B37A12">
        <w:t>through collaborative work, open-ended questions, and mathematical discourse</w:t>
      </w:r>
      <w:r w:rsidR="00232916" w:rsidRPr="00B37A12">
        <w:t xml:space="preserve">, </w:t>
      </w:r>
      <w:r w:rsidRPr="00B37A12">
        <w:t>had a positive impact on classroom culture and learning outcomes.</w:t>
      </w:r>
      <w:r w:rsidR="00FC1F93">
        <w:t xml:space="preserve"> </w:t>
      </w:r>
      <w:r w:rsidR="00FC1F93">
        <w:rPr>
          <w:lang w:eastAsia="sv-SE"/>
        </w:rPr>
        <w:t>Boylan et al. (2018) emphasize that the ambit of a professional learning model defines the scope of legitimate practices, while agency reflects how actors operate within—or seek to expand—that scope. In this study, the teachers’ agency was enacted through the very act of stretching the ambit of acceptable mathematics teaching.</w:t>
      </w:r>
    </w:p>
    <w:p w14:paraId="5ABA39E6" w14:textId="607CD07D" w:rsidR="008D64BC" w:rsidRPr="00B37A12" w:rsidRDefault="0084214C" w:rsidP="005C1B9E">
      <w:r w:rsidRPr="00B37A12">
        <w:t>However, challenges were also identified. Some teachers noted that certain students, particularly those with NPF, struggled with group dynamics, and others felt time-pressured by the comprehensive curriculum. These tensions underscore the importance of maintaining flexibility within professional development frameworks and adapting instructional materials to local contexts.</w:t>
      </w:r>
      <w:r w:rsidR="005C1B9E">
        <w:t xml:space="preserve"> </w:t>
      </w:r>
      <w:r w:rsidR="008D64BC" w:rsidRPr="00B37A12">
        <w:t>This is consistent with Koljonen et al, (2023), who found that even in tightly scripted teaching models such as TRR, teachers adapted lessons in ways that reflected their professional judgement. Their findings illustrate that fidelity and adaptation are intertwined, reinforcing the central role of teacher agency in large-scale PD.</w:t>
      </w:r>
    </w:p>
    <w:p w14:paraId="5A3D27CA" w14:textId="01A46C3B" w:rsidR="0084214C" w:rsidRPr="00B37A12" w:rsidRDefault="0084214C" w:rsidP="0084214C">
      <w:r w:rsidRPr="00B37A12">
        <w:t>Overall, the findings reinforce the need for professional learning that empowers teachers to navigate between prescriptive curricula and student-</w:t>
      </w:r>
      <w:r w:rsidR="00190A67" w:rsidRPr="00B37A12">
        <w:t>centred</w:t>
      </w:r>
      <w:r w:rsidRPr="00B37A12">
        <w:t xml:space="preserve"> practices, expanding both their sense of agency and the ambit of what is possible in mathematics education.</w:t>
      </w:r>
    </w:p>
    <w:p w14:paraId="772C505D" w14:textId="77777777" w:rsidR="0084214C" w:rsidRPr="00B37A12" w:rsidRDefault="0084214C" w:rsidP="0084214C">
      <w:pPr>
        <w:pStyle w:val="Rubrik2"/>
      </w:pPr>
      <w:r w:rsidRPr="00B37A12">
        <w:t>Conclusion</w:t>
      </w:r>
    </w:p>
    <w:p w14:paraId="7A13F3C5" w14:textId="576E48FA" w:rsidR="0084214C" w:rsidRPr="00B37A12" w:rsidRDefault="0084214C" w:rsidP="0084214C">
      <w:pPr>
        <w:pStyle w:val="Brdtext"/>
      </w:pPr>
      <w:r w:rsidRPr="00B37A12">
        <w:t xml:space="preserve">This study contributes to a growing body of implementation research in mathematics education by highlighting how long-term, dialogic PD initiatives can cultivate teacher agency and broaden the ambit of acceptable instructional practice. Teachers in the project </w:t>
      </w:r>
      <w:r w:rsidR="00610352">
        <w:t>reported</w:t>
      </w:r>
      <w:r w:rsidR="00610352" w:rsidRPr="00B37A12">
        <w:t xml:space="preserve"> </w:t>
      </w:r>
      <w:r w:rsidRPr="00B37A12">
        <w:t>a shift from compliance with fixed curricula toward more reflective, student-</w:t>
      </w:r>
      <w:r w:rsidR="00190A67" w:rsidRPr="00B37A12">
        <w:t>centred</w:t>
      </w:r>
      <w:r w:rsidRPr="00B37A12">
        <w:t xml:space="preserve"> approaches. Through collaboration, self-direction, and support for local adaptation, teachers engaged deeply with both theoretical underpinnings and practical enactment.</w:t>
      </w:r>
    </w:p>
    <w:p w14:paraId="6A7BD3A9" w14:textId="3409802C" w:rsidR="0084214C" w:rsidRPr="00B37A12" w:rsidRDefault="0084214C" w:rsidP="0084214C">
      <w:r w:rsidRPr="00B37A12">
        <w:t xml:space="preserve">Importantly, this work shows that implementation success is not solely a matter of </w:t>
      </w:r>
      <w:r w:rsidR="003A2722">
        <w:t>alig</w:t>
      </w:r>
      <w:r w:rsidR="00BF6419">
        <w:t>n</w:t>
      </w:r>
      <w:r w:rsidR="003A2722">
        <w:t>ment</w:t>
      </w:r>
      <w:r w:rsidRPr="00B37A12">
        <w:t xml:space="preserve"> to a predefined model but also depends on the space afforded for professional judgement, experimentation, and the cultivation of trust among </w:t>
      </w:r>
      <w:r w:rsidR="007453DA">
        <w:t>the teachers</w:t>
      </w:r>
      <w:r w:rsidRPr="00B37A12">
        <w:t>. While some tensions remained</w:t>
      </w:r>
      <w:r w:rsidR="00190A67" w:rsidRPr="00B37A12">
        <w:t xml:space="preserve">, </w:t>
      </w:r>
      <w:r w:rsidRPr="00B37A12">
        <w:t>particularly around time constraints and differentiated student needs</w:t>
      </w:r>
      <w:r w:rsidR="00190A67" w:rsidRPr="00B37A12">
        <w:t xml:space="preserve">, </w:t>
      </w:r>
      <w:r w:rsidRPr="00B37A12">
        <w:t>the reflections collected offer compelling evidence that sustainable instructional change can be achieved when PD is responsive, participatory, and grounded in both research and practice.</w:t>
      </w:r>
    </w:p>
    <w:p w14:paraId="304CD67E" w14:textId="19E67BA5" w:rsidR="00AC71A0" w:rsidRPr="00B37A12" w:rsidRDefault="0084214C" w:rsidP="005C1B9E">
      <w:r w:rsidRPr="00B37A12">
        <w:t xml:space="preserve">Further research </w:t>
      </w:r>
      <w:r w:rsidR="00610352">
        <w:t>could</w:t>
      </w:r>
      <w:r w:rsidR="00610352" w:rsidRPr="00B37A12">
        <w:t xml:space="preserve"> </w:t>
      </w:r>
      <w:r w:rsidRPr="00B37A12">
        <w:t>continue to investigate the dynamic interplay between top-down reform goals and bottom-up adaptation, especially in underexplored areas such as the planning and piloting phases of innovation. Future studies may also address how implementation evolves over longer timeframes and under varying organizational conditions, thereby contributing to more robust design and theorization of mathematics PD programs.</w:t>
      </w:r>
    </w:p>
    <w:p w14:paraId="1881B25D" w14:textId="77777777" w:rsidR="0084214C" w:rsidRPr="00B37A12" w:rsidRDefault="0084214C" w:rsidP="0084214C">
      <w:pPr>
        <w:pStyle w:val="Rubrik2"/>
      </w:pPr>
      <w:r w:rsidRPr="00B37A12">
        <w:t>References</w:t>
      </w:r>
    </w:p>
    <w:p w14:paraId="52F1C74C" w14:textId="59EBEF35" w:rsidR="00990AF3" w:rsidRPr="00990AF3" w:rsidRDefault="00990AF3" w:rsidP="00990AF3">
      <w:pPr>
        <w:pStyle w:val="References"/>
      </w:pPr>
      <w:bookmarkStart w:id="7" w:name="OLE_LINK43"/>
      <w:r w:rsidRPr="00990AF3">
        <w:t>Alsina, Á., Pincheira, N., &amp; Franco, J. (2025). Mathematics teachers’ professional development: A systematic review of training methods.</w:t>
      </w:r>
      <w:r w:rsidRPr="00990AF3">
        <w:rPr>
          <w:rStyle w:val="apple-converted-space"/>
        </w:rPr>
        <w:t> </w:t>
      </w:r>
      <w:r w:rsidRPr="00990AF3">
        <w:rPr>
          <w:i/>
          <w:iCs/>
        </w:rPr>
        <w:t>EURASIA Journal of Mathematics, Science and Technology Education</w:t>
      </w:r>
      <w:r w:rsidRPr="00990AF3">
        <w:t>,</w:t>
      </w:r>
      <w:r w:rsidRPr="00990AF3">
        <w:rPr>
          <w:rStyle w:val="apple-converted-space"/>
        </w:rPr>
        <w:t> </w:t>
      </w:r>
      <w:r w:rsidRPr="00990AF3">
        <w:rPr>
          <w:i/>
          <w:iCs/>
        </w:rPr>
        <w:t>21</w:t>
      </w:r>
      <w:r w:rsidRPr="00990AF3">
        <w:t>(3)</w:t>
      </w:r>
      <w:r>
        <w:t>.</w:t>
      </w:r>
    </w:p>
    <w:p w14:paraId="199A65AC" w14:textId="1BC440AC" w:rsidR="00C40552" w:rsidRPr="00B37A12" w:rsidRDefault="00C40552" w:rsidP="00A06FC4">
      <w:pPr>
        <w:pStyle w:val="References"/>
      </w:pPr>
      <w:bookmarkStart w:id="8" w:name="OLE_LINK44"/>
      <w:bookmarkEnd w:id="7"/>
      <w:r w:rsidRPr="00B37A12">
        <w:t>Ahl, L. M., Helenius, O., &amp; Koljonen, T. (2022). Gauging fidelity to an implemented teaching model through the lens of the Documentational Approach to Didactics.</w:t>
      </w:r>
      <w:r w:rsidRPr="00B37A12">
        <w:rPr>
          <w:rStyle w:val="apple-converted-space"/>
          <w:color w:val="000000"/>
        </w:rPr>
        <w:t> </w:t>
      </w:r>
      <w:r w:rsidRPr="00B37A12">
        <w:rPr>
          <w:rStyle w:val="Betoning"/>
          <w:color w:val="000000"/>
        </w:rPr>
        <w:t>Implementation and Replication Studies in Mathematics Education, 2</w:t>
      </w:r>
      <w:r w:rsidRPr="00B37A12">
        <w:t>(1), 45–75.</w:t>
      </w:r>
      <w:r w:rsidRPr="00B37A12">
        <w:rPr>
          <w:rStyle w:val="apple-converted-space"/>
          <w:color w:val="000000"/>
        </w:rPr>
        <w:t> </w:t>
      </w:r>
    </w:p>
    <w:p w14:paraId="42A45FFE" w14:textId="7CDB7F5B" w:rsidR="0084214C" w:rsidRPr="00B37A12" w:rsidRDefault="0084214C" w:rsidP="0084214C">
      <w:pPr>
        <w:pStyle w:val="References"/>
      </w:pPr>
      <w:bookmarkStart w:id="9" w:name="OLE_LINK45"/>
      <w:bookmarkEnd w:id="8"/>
      <w:r w:rsidRPr="00B37A12">
        <w:t xml:space="preserve">Ahl, L. M., Helenius, O., Sánchez Aguilar, M., Jankvist, U. T., &amp; Misfeldt, M. (2023). Implementation research in mathematics education: A systematic mapping review. </w:t>
      </w:r>
      <w:r w:rsidRPr="00B37A12">
        <w:rPr>
          <w:i/>
          <w:iCs/>
        </w:rPr>
        <w:t>Implementation and Replication Studies in Mathematics Education</w:t>
      </w:r>
      <w:r w:rsidRPr="00B37A12">
        <w:t xml:space="preserve">, </w:t>
      </w:r>
      <w:r w:rsidRPr="00990AF3">
        <w:rPr>
          <w:i/>
          <w:iCs/>
        </w:rPr>
        <w:t>3</w:t>
      </w:r>
      <w:r w:rsidRPr="00B37A12">
        <w:t xml:space="preserve">(2), 135–199. </w:t>
      </w:r>
    </w:p>
    <w:p w14:paraId="370374AE" w14:textId="77777777" w:rsidR="0084214C" w:rsidRPr="00B37A12" w:rsidRDefault="0084214C" w:rsidP="0084214C">
      <w:pPr>
        <w:pStyle w:val="References"/>
      </w:pPr>
      <w:bookmarkStart w:id="10" w:name="OLE_LINK46"/>
      <w:bookmarkEnd w:id="9"/>
      <w:r w:rsidRPr="00B37A12">
        <w:t xml:space="preserve">Ball, D. L. (2003). Mathematical proficiency for all students: Toward a strategic research and development program in mathematics education. </w:t>
      </w:r>
      <w:r w:rsidRPr="00B37A12">
        <w:rPr>
          <w:i/>
          <w:iCs/>
        </w:rPr>
        <w:t>RAND Corporation</w:t>
      </w:r>
      <w:r w:rsidRPr="00B37A12">
        <w:t>.</w:t>
      </w:r>
    </w:p>
    <w:p w14:paraId="1AA01626" w14:textId="77777777" w:rsidR="0084214C" w:rsidRPr="00B37A12" w:rsidRDefault="0084214C" w:rsidP="0084214C">
      <w:pPr>
        <w:pStyle w:val="References"/>
      </w:pPr>
      <w:bookmarkStart w:id="11" w:name="OLE_LINK47"/>
      <w:bookmarkEnd w:id="10"/>
      <w:r w:rsidRPr="00B37A12">
        <w:t xml:space="preserve">Boylan, M., Coldwell, M., Maxwell, B., &amp; Jordan, J. (2018). Rethinking models of professional learning as tools: a conceptual analysis to inform research and practice. </w:t>
      </w:r>
      <w:r w:rsidRPr="00B37A12">
        <w:rPr>
          <w:i/>
          <w:iCs/>
        </w:rPr>
        <w:t>Professional Development in Education</w:t>
      </w:r>
      <w:r w:rsidRPr="00B37A12">
        <w:t xml:space="preserve">, </w:t>
      </w:r>
      <w:r w:rsidRPr="00990AF3">
        <w:rPr>
          <w:i/>
          <w:iCs/>
        </w:rPr>
        <w:t>44</w:t>
      </w:r>
      <w:r w:rsidRPr="00B37A12">
        <w:t>(1), 120–139.</w:t>
      </w:r>
    </w:p>
    <w:p w14:paraId="0A7E689B" w14:textId="77777777" w:rsidR="0084214C" w:rsidRPr="00B37A12" w:rsidRDefault="0084214C" w:rsidP="0084214C">
      <w:pPr>
        <w:pStyle w:val="References"/>
      </w:pPr>
      <w:bookmarkStart w:id="12" w:name="OLE_LINK48"/>
      <w:bookmarkEnd w:id="11"/>
      <w:r w:rsidRPr="00B37A12">
        <w:t xml:space="preserve">Century, J., &amp; Cassata, A. (2016). Implementation research: Finding common ground on what, how, why, where, and who. </w:t>
      </w:r>
      <w:r w:rsidRPr="00B37A12">
        <w:rPr>
          <w:i/>
          <w:iCs/>
        </w:rPr>
        <w:t>Review of Research in Education</w:t>
      </w:r>
      <w:r w:rsidRPr="00B37A12">
        <w:t xml:space="preserve">, </w:t>
      </w:r>
      <w:r w:rsidRPr="00990AF3">
        <w:rPr>
          <w:i/>
          <w:iCs/>
        </w:rPr>
        <w:t>40</w:t>
      </w:r>
      <w:r w:rsidRPr="00B37A12">
        <w:t>(1), 169–215.</w:t>
      </w:r>
    </w:p>
    <w:p w14:paraId="2E7FA9A6" w14:textId="77777777" w:rsidR="0084214C" w:rsidRPr="00B37A12" w:rsidRDefault="0084214C" w:rsidP="0084214C">
      <w:pPr>
        <w:pStyle w:val="References"/>
      </w:pPr>
      <w:bookmarkStart w:id="13" w:name="OLE_LINK49"/>
      <w:bookmarkEnd w:id="12"/>
      <w:r w:rsidRPr="00B37A12">
        <w:t xml:space="preserve">Coburn, C. E. (2003). Rethinking scale: Moving beyond numbers to deep and lasting change. </w:t>
      </w:r>
      <w:r w:rsidRPr="00B37A12">
        <w:rPr>
          <w:i/>
          <w:iCs/>
        </w:rPr>
        <w:t>Educational Researcher</w:t>
      </w:r>
      <w:r w:rsidRPr="00B37A12">
        <w:t xml:space="preserve">, </w:t>
      </w:r>
      <w:r w:rsidRPr="00990AF3">
        <w:rPr>
          <w:i/>
          <w:iCs/>
        </w:rPr>
        <w:t>32</w:t>
      </w:r>
      <w:r w:rsidRPr="00B37A12">
        <w:t>(6), 3–12.</w:t>
      </w:r>
    </w:p>
    <w:p w14:paraId="729C06A4" w14:textId="77777777" w:rsidR="0084214C" w:rsidRPr="00B37A12" w:rsidRDefault="0084214C" w:rsidP="00544FF5">
      <w:pPr>
        <w:pStyle w:val="References"/>
      </w:pPr>
      <w:bookmarkStart w:id="14" w:name="OLE_LINK50"/>
      <w:bookmarkEnd w:id="13"/>
      <w:r w:rsidRPr="00B37A12">
        <w:t xml:space="preserve">Desimone, L. M. (2009). Improving impact studies of teachers’ professional development: Toward better conceptualizations and measures. </w:t>
      </w:r>
      <w:r w:rsidRPr="00B37A12">
        <w:rPr>
          <w:i/>
          <w:iCs/>
        </w:rPr>
        <w:t>Educational Researcher</w:t>
      </w:r>
      <w:r w:rsidRPr="00B37A12">
        <w:t xml:space="preserve">, </w:t>
      </w:r>
      <w:r w:rsidRPr="00990AF3">
        <w:rPr>
          <w:i/>
          <w:iCs/>
        </w:rPr>
        <w:t>38</w:t>
      </w:r>
      <w:r w:rsidRPr="00B37A12">
        <w:t>(3), 181–199.</w:t>
      </w:r>
    </w:p>
    <w:p w14:paraId="66B7AA67" w14:textId="77777777" w:rsidR="0084214C" w:rsidRPr="00B37A12" w:rsidRDefault="0084214C" w:rsidP="0084214C">
      <w:pPr>
        <w:pStyle w:val="References"/>
      </w:pPr>
      <w:bookmarkStart w:id="15" w:name="OLE_LINK51"/>
      <w:bookmarkEnd w:id="14"/>
      <w:r w:rsidRPr="00B37A12">
        <w:t xml:space="preserve">Helenius, O. (2021). A stakeholder analysis of the development of a large-scale professional development program. </w:t>
      </w:r>
      <w:r w:rsidRPr="00B37A12">
        <w:rPr>
          <w:i/>
          <w:iCs/>
        </w:rPr>
        <w:t>Implementation and Replication Studies in Mathematics Education</w:t>
      </w:r>
      <w:r w:rsidRPr="00B37A12">
        <w:t xml:space="preserve">, </w:t>
      </w:r>
      <w:r w:rsidRPr="00990AF3">
        <w:rPr>
          <w:i/>
          <w:iCs/>
        </w:rPr>
        <w:t>1</w:t>
      </w:r>
      <w:r w:rsidRPr="00B37A12">
        <w:t>(2), 227–256.</w:t>
      </w:r>
    </w:p>
    <w:p w14:paraId="0E3A5FF2" w14:textId="2C489592" w:rsidR="00C40552" w:rsidRDefault="00C40552" w:rsidP="00C40552">
      <w:pPr>
        <w:pStyle w:val="References"/>
      </w:pPr>
      <w:bookmarkStart w:id="16" w:name="OLE_LINK52"/>
      <w:bookmarkEnd w:id="15"/>
      <w:r w:rsidRPr="00B37A12">
        <w:t>Helenius, O. (2022). Designing stakeholder scaffolding for implementing a teaching model at scale. In</w:t>
      </w:r>
      <w:r w:rsidRPr="00B37A12">
        <w:rPr>
          <w:rStyle w:val="apple-converted-space"/>
          <w:color w:val="000000"/>
        </w:rPr>
        <w:t> </w:t>
      </w:r>
      <w:r w:rsidRPr="00B37A12">
        <w:rPr>
          <w:rStyle w:val="Betoning"/>
          <w:color w:val="000000"/>
        </w:rPr>
        <w:t>Proceedings of the Twelfth Congress of the European Society for Research in Mathematics Education (CERME12)</w:t>
      </w:r>
      <w:r w:rsidRPr="00B37A12">
        <w:t>. Bozen-Bolzano, Italy. HAL Archive.</w:t>
      </w:r>
      <w:r w:rsidRPr="00B37A12">
        <w:rPr>
          <w:rStyle w:val="apple-converted-space"/>
          <w:color w:val="000000"/>
        </w:rPr>
        <w:t> </w:t>
      </w:r>
      <w:r w:rsidRPr="00B37A12">
        <w:t xml:space="preserve"> </w:t>
      </w:r>
    </w:p>
    <w:bookmarkEnd w:id="16"/>
    <w:p w14:paraId="261E385A" w14:textId="79B1F539" w:rsidR="00D61872" w:rsidRPr="0048505A" w:rsidRDefault="00D61872" w:rsidP="00D61872">
      <w:pPr>
        <w:pStyle w:val="References"/>
      </w:pPr>
      <w:r w:rsidRPr="00A06FC4">
        <w:t>Helenius, O., Johansson, M., Lange, T., Meaney, T., Riesbeck, E., &amp; Wernberg, A. (2014). Theorising the design of professional development web modules. In</w:t>
      </w:r>
      <w:r w:rsidRPr="00A06FC4">
        <w:rPr>
          <w:rStyle w:val="apple-converted-space"/>
        </w:rPr>
        <w:t> </w:t>
      </w:r>
      <w:r w:rsidRPr="00A06FC4">
        <w:t xml:space="preserve">9th </w:t>
      </w:r>
      <w:r w:rsidRPr="00A06FC4">
        <w:rPr>
          <w:i/>
          <w:iCs/>
        </w:rPr>
        <w:t>Swedish mathematics education research seminar</w:t>
      </w:r>
      <w:r w:rsidRPr="00A06FC4">
        <w:t xml:space="preserve">, </w:t>
      </w:r>
      <w:proofErr w:type="spellStart"/>
      <w:r w:rsidRPr="00A06FC4">
        <w:t>Umeå</w:t>
      </w:r>
      <w:proofErr w:type="spellEnd"/>
      <w:r w:rsidRPr="00A06FC4">
        <w:t xml:space="preserve">, February 4-5, 2014. </w:t>
      </w:r>
      <w:r w:rsidRPr="0048505A">
        <w:t>Svensk förening för matematikdidaktisk forskning (SMDF).</w:t>
      </w:r>
    </w:p>
    <w:p w14:paraId="7A4DE2CF" w14:textId="7A18CF0D" w:rsidR="00D61872" w:rsidRPr="00D61872" w:rsidRDefault="00D61872" w:rsidP="00D61872">
      <w:pPr>
        <w:pStyle w:val="References"/>
      </w:pPr>
      <w:bookmarkStart w:id="17" w:name="OLE_LINK36"/>
      <w:bookmarkStart w:id="18" w:name="OLE_LINK53"/>
      <w:r w:rsidRPr="0048505A">
        <w:t>Insulander</w:t>
      </w:r>
      <w:bookmarkEnd w:id="17"/>
      <w:r w:rsidRPr="0048505A">
        <w:t xml:space="preserve">, E., Brehmer, D., &amp; </w:t>
      </w:r>
      <w:proofErr w:type="spellStart"/>
      <w:r w:rsidRPr="0048505A">
        <w:t>Ryve</w:t>
      </w:r>
      <w:proofErr w:type="spellEnd"/>
      <w:r w:rsidRPr="0048505A">
        <w:t xml:space="preserve">, A. (2019). </w:t>
      </w:r>
      <w:r w:rsidRPr="00A06FC4">
        <w:t>Teacher agency in professional development programmes–A case study of professional development material and collegial discussion.</w:t>
      </w:r>
      <w:r w:rsidRPr="00A06FC4">
        <w:rPr>
          <w:rStyle w:val="apple-converted-space"/>
        </w:rPr>
        <w:t> </w:t>
      </w:r>
      <w:r w:rsidRPr="00A06FC4">
        <w:t>Learning, Culture and Social Interaction,</w:t>
      </w:r>
      <w:r w:rsidRPr="00A06FC4">
        <w:rPr>
          <w:rStyle w:val="apple-converted-space"/>
        </w:rPr>
        <w:t> </w:t>
      </w:r>
      <w:r w:rsidRPr="00A06FC4">
        <w:t>23, 100330.</w:t>
      </w:r>
    </w:p>
    <w:p w14:paraId="2F110FC1" w14:textId="77777777" w:rsidR="0084214C" w:rsidRPr="00B37A12" w:rsidRDefault="0084214C" w:rsidP="0084214C">
      <w:pPr>
        <w:pStyle w:val="References"/>
      </w:pPr>
      <w:bookmarkStart w:id="19" w:name="OLE_LINK54"/>
      <w:bookmarkEnd w:id="18"/>
      <w:proofErr w:type="spellStart"/>
      <w:r w:rsidRPr="00B37A12">
        <w:t>Koichu</w:t>
      </w:r>
      <w:proofErr w:type="spellEnd"/>
      <w:r w:rsidRPr="00B37A12">
        <w:t xml:space="preserve">, B., Aguilar, M. S., &amp; Misfeldt, M. (2021). Implementation and </w:t>
      </w:r>
      <w:proofErr w:type="spellStart"/>
      <w:r w:rsidRPr="00B37A12">
        <w:t>implementability</w:t>
      </w:r>
      <w:proofErr w:type="spellEnd"/>
      <w:r w:rsidRPr="00B37A12">
        <w:t xml:space="preserve"> of mathematics education research. </w:t>
      </w:r>
      <w:r w:rsidRPr="00B37A12">
        <w:rPr>
          <w:i/>
          <w:iCs/>
        </w:rPr>
        <w:t>ZDM – Mathematics Education</w:t>
      </w:r>
      <w:r w:rsidRPr="00B37A12">
        <w:t xml:space="preserve">, </w:t>
      </w:r>
      <w:r w:rsidRPr="00990AF3">
        <w:rPr>
          <w:i/>
          <w:iCs/>
        </w:rPr>
        <w:t>53</w:t>
      </w:r>
      <w:r w:rsidRPr="00B37A12">
        <w:t>(5).</w:t>
      </w:r>
    </w:p>
    <w:p w14:paraId="2BF2B178" w14:textId="2BA2F4C1" w:rsidR="00C40552" w:rsidRPr="00B37A12" w:rsidRDefault="00C40552" w:rsidP="00C40552">
      <w:pPr>
        <w:pStyle w:val="References"/>
      </w:pPr>
      <w:bookmarkStart w:id="20" w:name="OLE_LINK55"/>
      <w:bookmarkEnd w:id="19"/>
      <w:r w:rsidRPr="00B37A12">
        <w:t>Koljonen, T., Helenius, O., &amp; Ahl, L. M. (2023). Evaluating the enactment of a scripted teaching model. In</w:t>
      </w:r>
      <w:r w:rsidRPr="00B37A12">
        <w:rPr>
          <w:rStyle w:val="apple-converted-space"/>
          <w:color w:val="000000"/>
        </w:rPr>
        <w:t> </w:t>
      </w:r>
      <w:r w:rsidRPr="00B37A12">
        <w:rPr>
          <w:rStyle w:val="Betoning"/>
          <w:color w:val="000000"/>
        </w:rPr>
        <w:t xml:space="preserve">Proceedings of the Thirteenth </w:t>
      </w:r>
      <w:r w:rsidRPr="00A06FC4">
        <w:rPr>
          <w:rStyle w:val="Betoning"/>
          <w:i w:val="0"/>
          <w:iCs w:val="0"/>
        </w:rPr>
        <w:t>Congress</w:t>
      </w:r>
      <w:r w:rsidRPr="00B37A12">
        <w:rPr>
          <w:rStyle w:val="Betoning"/>
          <w:color w:val="000000"/>
        </w:rPr>
        <w:t xml:space="preserve"> of the European Society for Research in Mathematics Education (CERME13)</w:t>
      </w:r>
      <w:r w:rsidRPr="00B37A12">
        <w:t>. Budapest, Hungary. HAL Archive.</w:t>
      </w:r>
      <w:r w:rsidRPr="00B37A12">
        <w:rPr>
          <w:rStyle w:val="apple-converted-space"/>
          <w:color w:val="000000"/>
        </w:rPr>
        <w:t> </w:t>
      </w:r>
      <w:r w:rsidRPr="00B37A12">
        <w:t xml:space="preserve"> </w:t>
      </w:r>
    </w:p>
    <w:p w14:paraId="092FCE1E" w14:textId="77777777" w:rsidR="007718C0" w:rsidRPr="0048505A" w:rsidRDefault="0084214C" w:rsidP="007718C0">
      <w:pPr>
        <w:pStyle w:val="References"/>
      </w:pPr>
      <w:bookmarkStart w:id="21" w:name="OLE_LINK56"/>
      <w:bookmarkEnd w:id="20"/>
      <w:r w:rsidRPr="00B37A12">
        <w:t xml:space="preserve">Maass, K., Cobb, P., Krainer, K., &amp; </w:t>
      </w:r>
      <w:proofErr w:type="spellStart"/>
      <w:r w:rsidRPr="00B37A12">
        <w:t>Potari</w:t>
      </w:r>
      <w:proofErr w:type="spellEnd"/>
      <w:r w:rsidRPr="00B37A12">
        <w:t xml:space="preserve">, D. (2019). Different ways to implement innovative teaching approaches at scale. </w:t>
      </w:r>
      <w:r w:rsidRPr="0048505A">
        <w:rPr>
          <w:i/>
          <w:iCs/>
        </w:rPr>
        <w:t xml:space="preserve">Educational Studies in </w:t>
      </w:r>
      <w:proofErr w:type="spellStart"/>
      <w:r w:rsidRPr="0048505A">
        <w:rPr>
          <w:i/>
          <w:iCs/>
        </w:rPr>
        <w:t>Mathematics</w:t>
      </w:r>
      <w:proofErr w:type="spellEnd"/>
      <w:r w:rsidRPr="0048505A">
        <w:t xml:space="preserve">, </w:t>
      </w:r>
      <w:r w:rsidRPr="0048505A">
        <w:rPr>
          <w:i/>
          <w:iCs/>
        </w:rPr>
        <w:t>102</w:t>
      </w:r>
      <w:r w:rsidRPr="0048505A">
        <w:t>(3), 303–318.</w:t>
      </w:r>
    </w:p>
    <w:p w14:paraId="00BC968A" w14:textId="6123D95B" w:rsidR="007718C0" w:rsidRPr="0048505A" w:rsidRDefault="007718C0" w:rsidP="007718C0">
      <w:pPr>
        <w:pStyle w:val="References"/>
      </w:pPr>
      <w:r w:rsidRPr="007718C0">
        <w:rPr>
          <w:lang w:val="sv-SE" w:eastAsia="sv-SE"/>
        </w:rPr>
        <w:t>Vetenskapsrådet (20</w:t>
      </w:r>
      <w:r>
        <w:rPr>
          <w:lang w:val="sv-SE" w:eastAsia="sv-SE"/>
        </w:rPr>
        <w:t>24</w:t>
      </w:r>
      <w:r w:rsidRPr="007718C0">
        <w:rPr>
          <w:lang w:val="sv-SE" w:eastAsia="sv-SE"/>
        </w:rPr>
        <w:t>). </w:t>
      </w:r>
      <w:r w:rsidRPr="007718C0">
        <w:rPr>
          <w:i/>
          <w:iCs/>
          <w:lang w:val="sv-SE" w:eastAsia="sv-SE"/>
        </w:rPr>
        <w:t>God forskningssed</w:t>
      </w:r>
      <w:r w:rsidRPr="007718C0">
        <w:rPr>
          <w:lang w:val="sv-SE" w:eastAsia="sv-SE"/>
        </w:rPr>
        <w:t>. Stockholm: Vetenskapsrådet.</w:t>
      </w:r>
    </w:p>
    <w:p w14:paraId="7AFC225A" w14:textId="23807B34" w:rsidR="0084214C" w:rsidRPr="00B37A12" w:rsidRDefault="00C40552" w:rsidP="000862E2">
      <w:pPr>
        <w:pStyle w:val="References"/>
      </w:pPr>
      <w:bookmarkStart w:id="22" w:name="OLE_LINK57"/>
      <w:bookmarkEnd w:id="21"/>
      <w:r w:rsidRPr="0048505A">
        <w:t xml:space="preserve">Wagner, D., &amp; </w:t>
      </w:r>
      <w:proofErr w:type="spellStart"/>
      <w:r w:rsidRPr="0048505A">
        <w:t>Herbel-Eisenmann</w:t>
      </w:r>
      <w:proofErr w:type="spellEnd"/>
      <w:r w:rsidRPr="0048505A">
        <w:t xml:space="preserve">, B. (2014). </w:t>
      </w:r>
      <w:r w:rsidRPr="00B37A12">
        <w:t>Identifying authority structures in mathematics classroom discourse: A case of a teacher’s early experience in a new context.</w:t>
      </w:r>
      <w:r w:rsidRPr="00B37A12">
        <w:rPr>
          <w:rStyle w:val="apple-converted-space"/>
          <w:color w:val="000000"/>
        </w:rPr>
        <w:t> </w:t>
      </w:r>
      <w:r w:rsidRPr="00B37A12">
        <w:rPr>
          <w:rStyle w:val="Betoning"/>
          <w:color w:val="000000"/>
        </w:rPr>
        <w:t>ZDM Mathematics Education, 46</w:t>
      </w:r>
      <w:r w:rsidRPr="00B37A12">
        <w:t>(6), 871–882.</w:t>
      </w:r>
      <w:bookmarkEnd w:id="22"/>
    </w:p>
    <w:sectPr w:rsidR="0084214C" w:rsidRPr="00B37A12" w:rsidSect="000761F4">
      <w:headerReference w:type="default" r:id="rId8"/>
      <w:footerReference w:type="even" r:id="rId9"/>
      <w:footerReference w:type="default" r:id="rId10"/>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5611" w14:textId="77777777" w:rsidR="005C5716" w:rsidRDefault="005C5716">
      <w:pPr>
        <w:spacing w:line="240" w:lineRule="auto"/>
      </w:pPr>
      <w:r>
        <w:separator/>
      </w:r>
    </w:p>
  </w:endnote>
  <w:endnote w:type="continuationSeparator" w:id="0">
    <w:p w14:paraId="73DC4CB8" w14:textId="77777777" w:rsidR="005C5716" w:rsidRDefault="005C5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5424" w14:textId="77777777" w:rsidR="005C5716" w:rsidRDefault="005C5716">
      <w:pPr>
        <w:spacing w:line="240" w:lineRule="auto"/>
      </w:pPr>
      <w:r>
        <w:separator/>
      </w:r>
    </w:p>
  </w:footnote>
  <w:footnote w:type="continuationSeparator" w:id="0">
    <w:p w14:paraId="7A38DF3C" w14:textId="77777777" w:rsidR="005C5716" w:rsidRDefault="005C57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89829FCA"/>
    <w:lvl w:ilvl="0">
      <w:start w:val="1"/>
      <w:numFmt w:val="decimal"/>
      <w:pStyle w:val="Numreradlista2"/>
      <w:lvlText w:val="%1."/>
      <w:lvlJc w:val="left"/>
      <w:pPr>
        <w:tabs>
          <w:tab w:val="num" w:pos="643"/>
        </w:tabs>
        <w:ind w:left="643" w:hanging="360"/>
      </w:pPr>
    </w:lvl>
  </w:abstractNum>
  <w:abstractNum w:abstractNumId="2" w15:restartNumberingAfterBreak="0">
    <w:nsid w:val="00A99411"/>
    <w:multiLevelType w:val="multilevel"/>
    <w:tmpl w:val="2A0C7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3C70BFD"/>
    <w:multiLevelType w:val="hybridMultilevel"/>
    <w:tmpl w:val="27D80276"/>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4" w15:restartNumberingAfterBreak="0">
    <w:nsid w:val="25375746"/>
    <w:multiLevelType w:val="multilevel"/>
    <w:tmpl w:val="C754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81784"/>
    <w:multiLevelType w:val="multilevel"/>
    <w:tmpl w:val="AE8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A5402"/>
    <w:multiLevelType w:val="hybridMultilevel"/>
    <w:tmpl w:val="549C4C6A"/>
    <w:lvl w:ilvl="0" w:tplc="041D0001">
      <w:start w:val="1"/>
      <w:numFmt w:val="bullet"/>
      <w:lvlText w:val=""/>
      <w:lvlJc w:val="left"/>
      <w:pPr>
        <w:ind w:left="1145" w:hanging="360"/>
      </w:pPr>
      <w:rPr>
        <w:rFonts w:ascii="Symbol" w:hAnsi="Symbol" w:hint="default"/>
      </w:rPr>
    </w:lvl>
    <w:lvl w:ilvl="1" w:tplc="041D0003" w:tentative="1">
      <w:start w:val="1"/>
      <w:numFmt w:val="bullet"/>
      <w:lvlText w:val="o"/>
      <w:lvlJc w:val="left"/>
      <w:pPr>
        <w:ind w:left="1865" w:hanging="360"/>
      </w:pPr>
      <w:rPr>
        <w:rFonts w:ascii="Courier New" w:hAnsi="Courier New" w:cs="Courier New" w:hint="default"/>
      </w:rPr>
    </w:lvl>
    <w:lvl w:ilvl="2" w:tplc="041D0005" w:tentative="1">
      <w:start w:val="1"/>
      <w:numFmt w:val="bullet"/>
      <w:lvlText w:val=""/>
      <w:lvlJc w:val="left"/>
      <w:pPr>
        <w:ind w:left="2585" w:hanging="360"/>
      </w:pPr>
      <w:rPr>
        <w:rFonts w:ascii="Wingdings" w:hAnsi="Wingdings" w:hint="default"/>
      </w:rPr>
    </w:lvl>
    <w:lvl w:ilvl="3" w:tplc="041D0001" w:tentative="1">
      <w:start w:val="1"/>
      <w:numFmt w:val="bullet"/>
      <w:lvlText w:val=""/>
      <w:lvlJc w:val="left"/>
      <w:pPr>
        <w:ind w:left="3305" w:hanging="360"/>
      </w:pPr>
      <w:rPr>
        <w:rFonts w:ascii="Symbol" w:hAnsi="Symbol" w:hint="default"/>
      </w:rPr>
    </w:lvl>
    <w:lvl w:ilvl="4" w:tplc="041D0003" w:tentative="1">
      <w:start w:val="1"/>
      <w:numFmt w:val="bullet"/>
      <w:lvlText w:val="o"/>
      <w:lvlJc w:val="left"/>
      <w:pPr>
        <w:ind w:left="4025" w:hanging="360"/>
      </w:pPr>
      <w:rPr>
        <w:rFonts w:ascii="Courier New" w:hAnsi="Courier New" w:cs="Courier New" w:hint="default"/>
      </w:rPr>
    </w:lvl>
    <w:lvl w:ilvl="5" w:tplc="041D0005" w:tentative="1">
      <w:start w:val="1"/>
      <w:numFmt w:val="bullet"/>
      <w:lvlText w:val=""/>
      <w:lvlJc w:val="left"/>
      <w:pPr>
        <w:ind w:left="4745" w:hanging="360"/>
      </w:pPr>
      <w:rPr>
        <w:rFonts w:ascii="Wingdings" w:hAnsi="Wingdings" w:hint="default"/>
      </w:rPr>
    </w:lvl>
    <w:lvl w:ilvl="6" w:tplc="041D0001" w:tentative="1">
      <w:start w:val="1"/>
      <w:numFmt w:val="bullet"/>
      <w:lvlText w:val=""/>
      <w:lvlJc w:val="left"/>
      <w:pPr>
        <w:ind w:left="5465" w:hanging="360"/>
      </w:pPr>
      <w:rPr>
        <w:rFonts w:ascii="Symbol" w:hAnsi="Symbol" w:hint="default"/>
      </w:rPr>
    </w:lvl>
    <w:lvl w:ilvl="7" w:tplc="041D0003" w:tentative="1">
      <w:start w:val="1"/>
      <w:numFmt w:val="bullet"/>
      <w:lvlText w:val="o"/>
      <w:lvlJc w:val="left"/>
      <w:pPr>
        <w:ind w:left="6185" w:hanging="360"/>
      </w:pPr>
      <w:rPr>
        <w:rFonts w:ascii="Courier New" w:hAnsi="Courier New" w:cs="Courier New" w:hint="default"/>
      </w:rPr>
    </w:lvl>
    <w:lvl w:ilvl="8" w:tplc="041D0005" w:tentative="1">
      <w:start w:val="1"/>
      <w:numFmt w:val="bullet"/>
      <w:lvlText w:val=""/>
      <w:lvlJc w:val="left"/>
      <w:pPr>
        <w:ind w:left="6905" w:hanging="360"/>
      </w:pPr>
      <w:rPr>
        <w:rFonts w:ascii="Wingdings" w:hAnsi="Wingdings" w:hint="default"/>
      </w:rPr>
    </w:lvl>
  </w:abstractNum>
  <w:abstractNum w:abstractNumId="7" w15:restartNumberingAfterBreak="0">
    <w:nsid w:val="73CC1BD5"/>
    <w:multiLevelType w:val="multilevel"/>
    <w:tmpl w:val="F8A0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501581">
    <w:abstractNumId w:val="0"/>
  </w:num>
  <w:num w:numId="2" w16cid:durableId="177159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292775">
    <w:abstractNumId w:val="3"/>
  </w:num>
  <w:num w:numId="4" w16cid:durableId="1222592522">
    <w:abstractNumId w:val="5"/>
  </w:num>
  <w:num w:numId="5" w16cid:durableId="1175388177">
    <w:abstractNumId w:val="7"/>
  </w:num>
  <w:num w:numId="6" w16cid:durableId="226453966">
    <w:abstractNumId w:val="6"/>
  </w:num>
  <w:num w:numId="7" w16cid:durableId="992874301">
    <w:abstractNumId w:val="1"/>
  </w:num>
  <w:num w:numId="8" w16cid:durableId="1393427700">
    <w:abstractNumId w:val="1"/>
  </w:num>
  <w:num w:numId="9" w16cid:durableId="606347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0B29"/>
    <w:rsid w:val="000304BB"/>
    <w:rsid w:val="00053461"/>
    <w:rsid w:val="00064A57"/>
    <w:rsid w:val="0007466B"/>
    <w:rsid w:val="000761F4"/>
    <w:rsid w:val="00084739"/>
    <w:rsid w:val="000862E2"/>
    <w:rsid w:val="0009412B"/>
    <w:rsid w:val="000D2258"/>
    <w:rsid w:val="000F7629"/>
    <w:rsid w:val="000F7BC9"/>
    <w:rsid w:val="00117643"/>
    <w:rsid w:val="00133F5F"/>
    <w:rsid w:val="00190A67"/>
    <w:rsid w:val="0019317A"/>
    <w:rsid w:val="00232916"/>
    <w:rsid w:val="00277CD4"/>
    <w:rsid w:val="00280FBB"/>
    <w:rsid w:val="002824CB"/>
    <w:rsid w:val="002A0B4B"/>
    <w:rsid w:val="002A38E1"/>
    <w:rsid w:val="002C65E6"/>
    <w:rsid w:val="002F24D4"/>
    <w:rsid w:val="00353EA6"/>
    <w:rsid w:val="00364D75"/>
    <w:rsid w:val="00380F3D"/>
    <w:rsid w:val="003A2722"/>
    <w:rsid w:val="003B2647"/>
    <w:rsid w:val="003B5C19"/>
    <w:rsid w:val="00407669"/>
    <w:rsid w:val="00434B4F"/>
    <w:rsid w:val="00461D61"/>
    <w:rsid w:val="0048505A"/>
    <w:rsid w:val="004A0DBC"/>
    <w:rsid w:val="004A5602"/>
    <w:rsid w:val="004D62C5"/>
    <w:rsid w:val="004E6BFD"/>
    <w:rsid w:val="004F143D"/>
    <w:rsid w:val="00544FF5"/>
    <w:rsid w:val="00567E52"/>
    <w:rsid w:val="005710F8"/>
    <w:rsid w:val="00585D1F"/>
    <w:rsid w:val="0059652F"/>
    <w:rsid w:val="005A363B"/>
    <w:rsid w:val="005C1B9E"/>
    <w:rsid w:val="005C5716"/>
    <w:rsid w:val="005E3911"/>
    <w:rsid w:val="005F4AA5"/>
    <w:rsid w:val="0060117B"/>
    <w:rsid w:val="00610352"/>
    <w:rsid w:val="006171CA"/>
    <w:rsid w:val="00672077"/>
    <w:rsid w:val="00737C28"/>
    <w:rsid w:val="007453DA"/>
    <w:rsid w:val="0075497C"/>
    <w:rsid w:val="0075568D"/>
    <w:rsid w:val="007718C0"/>
    <w:rsid w:val="007B0247"/>
    <w:rsid w:val="007C03A1"/>
    <w:rsid w:val="007C49DC"/>
    <w:rsid w:val="007D0F5B"/>
    <w:rsid w:val="00825367"/>
    <w:rsid w:val="0084214C"/>
    <w:rsid w:val="00842F58"/>
    <w:rsid w:val="00856753"/>
    <w:rsid w:val="008C4C60"/>
    <w:rsid w:val="008D64BC"/>
    <w:rsid w:val="0091071A"/>
    <w:rsid w:val="0091579A"/>
    <w:rsid w:val="00933A03"/>
    <w:rsid w:val="00990AF3"/>
    <w:rsid w:val="009C0ECD"/>
    <w:rsid w:val="009C103B"/>
    <w:rsid w:val="009E3E55"/>
    <w:rsid w:val="009E4402"/>
    <w:rsid w:val="009E5D02"/>
    <w:rsid w:val="00A06FC4"/>
    <w:rsid w:val="00A2654B"/>
    <w:rsid w:val="00A27247"/>
    <w:rsid w:val="00A33194"/>
    <w:rsid w:val="00A44594"/>
    <w:rsid w:val="00A46EF5"/>
    <w:rsid w:val="00A578B8"/>
    <w:rsid w:val="00AC409A"/>
    <w:rsid w:val="00AC71A0"/>
    <w:rsid w:val="00AC7467"/>
    <w:rsid w:val="00AF630D"/>
    <w:rsid w:val="00B13C57"/>
    <w:rsid w:val="00B37A12"/>
    <w:rsid w:val="00BB5531"/>
    <w:rsid w:val="00BC585D"/>
    <w:rsid w:val="00BF6419"/>
    <w:rsid w:val="00C32D6E"/>
    <w:rsid w:val="00C33D5D"/>
    <w:rsid w:val="00C40552"/>
    <w:rsid w:val="00C66880"/>
    <w:rsid w:val="00C90280"/>
    <w:rsid w:val="00CE3C87"/>
    <w:rsid w:val="00CE6A6A"/>
    <w:rsid w:val="00D21C13"/>
    <w:rsid w:val="00D276B7"/>
    <w:rsid w:val="00D40DA2"/>
    <w:rsid w:val="00D61872"/>
    <w:rsid w:val="00D827A1"/>
    <w:rsid w:val="00DA294F"/>
    <w:rsid w:val="00DC51FF"/>
    <w:rsid w:val="00E37592"/>
    <w:rsid w:val="00E90B43"/>
    <w:rsid w:val="00E96F12"/>
    <w:rsid w:val="00EA7EDB"/>
    <w:rsid w:val="00EC3D61"/>
    <w:rsid w:val="00ED2199"/>
    <w:rsid w:val="00EF4012"/>
    <w:rsid w:val="00EF662A"/>
    <w:rsid w:val="00EF73E2"/>
    <w:rsid w:val="00F15B57"/>
    <w:rsid w:val="00F272E3"/>
    <w:rsid w:val="00F42DFA"/>
    <w:rsid w:val="00F5400D"/>
    <w:rsid w:val="00FB595B"/>
    <w:rsid w:val="00FC1F93"/>
    <w:rsid w:val="00FD07C0"/>
    <w:rsid w:val="00FD2CF2"/>
    <w:rsid w:val="00FE4C3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7C6E1729-C033-4FBB-8FA2-487FD6A3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customStyle="1" w:styleId="Compact">
    <w:name w:val="Compact"/>
    <w:basedOn w:val="Brdtext"/>
    <w:qFormat/>
    <w:rsid w:val="00280FBB"/>
    <w:pPr>
      <w:autoSpaceDE/>
      <w:autoSpaceDN/>
      <w:spacing w:before="36" w:after="36" w:line="240" w:lineRule="auto"/>
      <w:jc w:val="left"/>
    </w:pPr>
    <w:rPr>
      <w:rFonts w:asciiTheme="minorHAnsi" w:eastAsiaTheme="minorHAnsi" w:hAnsiTheme="minorHAnsi" w:cstheme="minorBidi"/>
      <w:sz w:val="24"/>
      <w:szCs w:val="24"/>
      <w:lang w:val="en-US"/>
    </w:rPr>
  </w:style>
  <w:style w:type="paragraph" w:customStyle="1" w:styleId="FirstParagraph">
    <w:name w:val="First Paragraph"/>
    <w:basedOn w:val="Brdtext"/>
    <w:next w:val="Brdtext"/>
    <w:qFormat/>
    <w:rsid w:val="0084214C"/>
    <w:pPr>
      <w:autoSpaceDE/>
      <w:autoSpaceDN/>
      <w:spacing w:before="180" w:after="180" w:line="240" w:lineRule="auto"/>
      <w:jc w:val="left"/>
    </w:pPr>
    <w:rPr>
      <w:rFonts w:asciiTheme="minorHAnsi" w:eastAsiaTheme="minorHAnsi" w:hAnsiTheme="minorHAnsi" w:cstheme="minorBidi"/>
      <w:sz w:val="24"/>
      <w:szCs w:val="24"/>
      <w:lang w:val="en-US"/>
    </w:rPr>
  </w:style>
  <w:style w:type="paragraph" w:styleId="Liststycke">
    <w:name w:val="List Paragraph"/>
    <w:basedOn w:val="Normal"/>
    <w:rsid w:val="0084214C"/>
    <w:pPr>
      <w:ind w:left="720"/>
      <w:contextualSpacing/>
    </w:pPr>
  </w:style>
  <w:style w:type="paragraph" w:styleId="Normalwebb">
    <w:name w:val="Normal (Web)"/>
    <w:basedOn w:val="Normal"/>
    <w:uiPriority w:val="99"/>
    <w:unhideWhenUsed/>
    <w:rsid w:val="00364D75"/>
    <w:pPr>
      <w:autoSpaceDE/>
      <w:autoSpaceDN/>
      <w:spacing w:before="100" w:beforeAutospacing="1" w:after="100" w:afterAutospacing="1" w:line="240" w:lineRule="auto"/>
      <w:ind w:firstLine="0"/>
      <w:jc w:val="left"/>
    </w:pPr>
    <w:rPr>
      <w:sz w:val="24"/>
      <w:szCs w:val="24"/>
      <w:lang w:val="sv-SE" w:eastAsia="sv-SE"/>
    </w:rPr>
  </w:style>
  <w:style w:type="character" w:customStyle="1" w:styleId="apple-converted-space">
    <w:name w:val="apple-converted-space"/>
    <w:basedOn w:val="Standardstycketeckensnitt"/>
    <w:rsid w:val="00364D75"/>
  </w:style>
  <w:style w:type="character" w:styleId="Stark">
    <w:name w:val="Strong"/>
    <w:basedOn w:val="Standardstycketeckensnitt"/>
    <w:uiPriority w:val="22"/>
    <w:qFormat/>
    <w:rsid w:val="00364D75"/>
    <w:rPr>
      <w:b/>
      <w:bCs/>
    </w:rPr>
  </w:style>
  <w:style w:type="paragraph" w:styleId="Brdtextmedindrag2">
    <w:name w:val="Body Text Indent 2"/>
    <w:basedOn w:val="Normal"/>
    <w:link w:val="Brdtextmedindrag2Char"/>
    <w:rsid w:val="00364D75"/>
    <w:pPr>
      <w:spacing w:after="120" w:line="480" w:lineRule="auto"/>
      <w:ind w:left="283"/>
    </w:pPr>
  </w:style>
  <w:style w:type="character" w:customStyle="1" w:styleId="Brdtextmedindrag2Char">
    <w:name w:val="Brödtext med indrag 2 Char"/>
    <w:basedOn w:val="Standardstycketeckensnitt"/>
    <w:link w:val="Brdtextmedindrag2"/>
    <w:rsid w:val="00364D75"/>
    <w:rPr>
      <w:sz w:val="26"/>
      <w:szCs w:val="28"/>
      <w:lang w:val="en-GB" w:eastAsia="en-US"/>
    </w:rPr>
  </w:style>
  <w:style w:type="paragraph" w:styleId="Brdtext2">
    <w:name w:val="Body Text 2"/>
    <w:basedOn w:val="Normal"/>
    <w:link w:val="Brdtext2Char"/>
    <w:rsid w:val="00364D75"/>
    <w:pPr>
      <w:spacing w:after="120" w:line="480" w:lineRule="auto"/>
    </w:pPr>
  </w:style>
  <w:style w:type="character" w:customStyle="1" w:styleId="Brdtext2Char">
    <w:name w:val="Brödtext 2 Char"/>
    <w:basedOn w:val="Standardstycketeckensnitt"/>
    <w:link w:val="Brdtext2"/>
    <w:rsid w:val="00364D75"/>
    <w:rPr>
      <w:sz w:val="26"/>
      <w:szCs w:val="28"/>
      <w:lang w:val="en-GB" w:eastAsia="en-US"/>
    </w:rPr>
  </w:style>
  <w:style w:type="paragraph" w:styleId="Index1">
    <w:name w:val="index 1"/>
    <w:basedOn w:val="Normal"/>
    <w:next w:val="Normal"/>
    <w:autoRedefine/>
    <w:rsid w:val="00364D75"/>
    <w:pPr>
      <w:spacing w:line="240" w:lineRule="auto"/>
      <w:ind w:left="260" w:hanging="260"/>
    </w:pPr>
  </w:style>
  <w:style w:type="character" w:styleId="Betoning">
    <w:name w:val="Emphasis"/>
    <w:basedOn w:val="Standardstycketeckensnitt"/>
    <w:uiPriority w:val="20"/>
    <w:qFormat/>
    <w:rsid w:val="005F4AA5"/>
    <w:rPr>
      <w:i/>
      <w:iCs/>
    </w:rPr>
  </w:style>
  <w:style w:type="paragraph" w:styleId="Numreradlista2">
    <w:name w:val="List Number 2"/>
    <w:basedOn w:val="Normal"/>
    <w:rsid w:val="005F4AA5"/>
    <w:pPr>
      <w:numPr>
        <w:numId w:val="7"/>
      </w:numPr>
      <w:contextualSpacing/>
    </w:pPr>
  </w:style>
  <w:style w:type="paragraph" w:styleId="Revision">
    <w:name w:val="Revision"/>
    <w:hidden/>
    <w:semiHidden/>
    <w:rsid w:val="004A0DBC"/>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262101">
      <w:bodyDiv w:val="1"/>
      <w:marLeft w:val="0"/>
      <w:marRight w:val="0"/>
      <w:marTop w:val="0"/>
      <w:marBottom w:val="0"/>
      <w:divBdr>
        <w:top w:val="none" w:sz="0" w:space="0" w:color="auto"/>
        <w:left w:val="none" w:sz="0" w:space="0" w:color="auto"/>
        <w:bottom w:val="none" w:sz="0" w:space="0" w:color="auto"/>
        <w:right w:val="none" w:sz="0" w:space="0" w:color="auto"/>
      </w:divBdr>
    </w:div>
    <w:div w:id="1351880394">
      <w:bodyDiv w:val="1"/>
      <w:marLeft w:val="0"/>
      <w:marRight w:val="0"/>
      <w:marTop w:val="0"/>
      <w:marBottom w:val="0"/>
      <w:divBdr>
        <w:top w:val="none" w:sz="0" w:space="0" w:color="auto"/>
        <w:left w:val="none" w:sz="0" w:space="0" w:color="auto"/>
        <w:bottom w:val="none" w:sz="0" w:space="0" w:color="auto"/>
        <w:right w:val="none" w:sz="0" w:space="0" w:color="auto"/>
      </w:divBdr>
    </w:div>
    <w:div w:id="1515994578">
      <w:bodyDiv w:val="1"/>
      <w:marLeft w:val="0"/>
      <w:marRight w:val="0"/>
      <w:marTop w:val="0"/>
      <w:marBottom w:val="0"/>
      <w:divBdr>
        <w:top w:val="none" w:sz="0" w:space="0" w:color="auto"/>
        <w:left w:val="none" w:sz="0" w:space="0" w:color="auto"/>
        <w:bottom w:val="none" w:sz="0" w:space="0" w:color="auto"/>
        <w:right w:val="none" w:sz="0" w:space="0" w:color="auto"/>
      </w:divBdr>
    </w:div>
    <w:div w:id="1672828551">
      <w:bodyDiv w:val="1"/>
      <w:marLeft w:val="0"/>
      <w:marRight w:val="0"/>
      <w:marTop w:val="0"/>
      <w:marBottom w:val="0"/>
      <w:divBdr>
        <w:top w:val="none" w:sz="0" w:space="0" w:color="auto"/>
        <w:left w:val="none" w:sz="0" w:space="0" w:color="auto"/>
        <w:bottom w:val="none" w:sz="0" w:space="0" w:color="auto"/>
        <w:right w:val="none" w:sz="0" w:space="0" w:color="auto"/>
      </w:divBdr>
    </w:div>
    <w:div w:id="2048947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75A0-6886-004E-955D-D41624676100}">
  <ds:schemaRefs>
    <ds:schemaRef ds:uri="http://schemas.openxmlformats.org/officeDocument/2006/bibliography"/>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4338</Words>
  <Characters>26552</Characters>
  <Application>Microsoft Office Word</Application>
  <DocSecurity>0</DocSecurity>
  <Lines>221</Lines>
  <Paragraphs>61</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30829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Jonas</dc:creator>
  <cp:keywords/>
  <dc:description/>
  <cp:lastModifiedBy>Jonas</cp:lastModifiedBy>
  <cp:revision>4</cp:revision>
  <dcterms:created xsi:type="dcterms:W3CDTF">2025-11-27T08:45:00Z</dcterms:created>
  <dcterms:modified xsi:type="dcterms:W3CDTF">2025-12-11T13:46:00Z</dcterms:modified>
  <cp:category/>
</cp:coreProperties>
</file>