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Critical aspects of mathematically rich construction-work tasks</w:t>
      </w:r>
    </w:p>
    <w:p w:rsidR="00000000" w:rsidDel="00000000" w:rsidP="00000000" w:rsidRDefault="00000000" w:rsidRPr="00000000" w14:paraId="00000003">
      <w:pPr>
        <w:spacing w:before="360" w:lineRule="auto"/>
        <w:ind w:firstLine="0"/>
        <w:jc w:val="center"/>
        <w:rPr>
          <w:b w:val="1"/>
          <w:bCs w:val="1"/>
          <w:sz w:val="28"/>
          <w:szCs w:val="28"/>
        </w:rPr>
      </w:pPr>
      <w:r w:rsidDel="00000000" w:rsidR="00000000" w:rsidRPr="00000000">
        <w:rPr>
          <w:b w:val="1"/>
          <w:bCs w:val="1"/>
          <w:sz w:val="28"/>
          <w:szCs w:val="28"/>
          <w:rtl w:val="0"/>
        </w:rPr>
        <w:t xml:space="preserve">Hanna Knutson</w:t>
      </w:r>
    </w:p>
    <w:p w:rsidR="00000000" w:rsidDel="00000000" w:rsidP="00000000" w:rsidRDefault="00000000" w:rsidRPr="00000000" w14:paraId="00000004">
      <w:pPr>
        <w:spacing w:after="720" w:lineRule="auto"/>
        <w:ind w:firstLine="0"/>
        <w:jc w:val="center"/>
        <w:rPr/>
      </w:pPr>
      <w:r w:rsidDel="00000000" w:rsidR="00000000" w:rsidRPr="00000000">
        <w:rPr>
          <w:sz w:val="28"/>
          <w:szCs w:val="28"/>
          <w:rtl w:val="0"/>
        </w:rPr>
        <w:t xml:space="preserve">University of Gothenburg, Sweden; hanna.knutson@gu.se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This paper examines characteristic features of vocational mathematics knowing, as it is expressed in authentic vocational task-solving. Vocational teachers’ descriptions of students’ difficulties and required understanding were analysed alongside student dialogues while solving vocational mathematics tasks. Using a phenomenography-variation theory framework, the study identifies critical aspects that students need to discern to engage with mathematically rich construction-work tasks in proficient ways. An illustrative case exemplifies how such tasks involve a complex interplay of formal mathematics, vocation specific practices, physical constraints, and interdisciplinary knowledge. The findings highlight the need to address both context specific elements and broader knowledge structures in vocational education.</w:t>
      </w:r>
    </w:p>
    <w:p w:rsidR="00000000" w:rsidDel="00000000" w:rsidP="00000000" w:rsidRDefault="00000000" w:rsidRPr="00000000" w14:paraId="00000006">
      <w:pPr>
        <w:pStyle w:val="Heading2"/>
        <w:tabs>
          <w:tab w:val="center" w:leader="none" w:pos="4535"/>
        </w:tabs>
        <w:rPr/>
      </w:pPr>
      <w:r w:rsidDel="00000000" w:rsidR="00000000" w:rsidRPr="00000000">
        <w:rPr>
          <w:rtl w:val="0"/>
        </w:rPr>
        <w:t xml:space="preserve">Introduction</w:t>
        <w:tab/>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heading=h.8l82i94z7na4"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Affording opportunities for students to develop the ability to use mathematics efficiently in vocational activities is a significant challenge in vocational education. Although the utility of mathematics in vocational settings is widely recognized as a key argument for its place within vocational education, research indicates a discrepancy between students’ mathematical knowing and workplace demands (Muhrman, 2016; Hoyles et al., 2010). Previous research </w:t>
      </w:r>
      <w:r w:rsidDel="00000000" w:rsidR="00000000" w:rsidRPr="00000000">
        <w:rPr>
          <w:rtl w:val="0"/>
        </w:rPr>
        <w:t xml:space="preserve">shows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that mathematical aims, applications and activities may differ significantly between the mathematics classroom and workplace situations (FitzSimons, 2014; La Croix, 2014, Sundtjønn, 2021). Vocational mathematics is described as a multifaceted knowledge area, shaped by an interplay between mathematical and vocational dimensions, each comprising both theoretical and practical components (FitzSimons, 2014; FitzSimons &amp; Boistrup, 2017; Johansson et al., 2024). In vocational practice, mathematics appears in diverse forms, sometimes explicit, but often implicitly embedded in vocational practice (Hoyles et al., 2010; FitzSimons &amp; Boistrup, 2017). This diversity contributes to the field being under-researched, with mathematical competencies for vocational students, requested by policy makers, frequently redefined (Bakker, 2014; Dalby &amp; Noyes, 2022).The question of how mathematics is conceptualised within vocational activities, and how relations between school mathematics and vocational practices can be understood and reflected in teaching, thus remains a key area for further research (FitzSimons &amp; Björklund, 2017; Sundtjønn, 2021). Discussing “numeracy at work,” Straesser (2015) problematizes the common assumption that mathematical knowledge in vocational practice is confined to basic arithmetic. In contrast, research across various vocational fields reveal a much broader range of mathematical competences (e.g., Hoyles et al., 2010; Muhrman, 2016; LaCroix, 2014; Johansson et al., 2024; Straesser, 2015). However, Straesser (2015) argue that, apart from basic arithmetic skills, required mathematical qualifications vary widely between workplaces. Research must therefore be conducted for each vocation specifically, with close attention to the characteristics of the respective workplace. Analyses of specific workplace tasks confirm that such activities may involve mathematical calculations of varying difficulty as well as vocation-specific demands such as interpreting drawings, performing measurements, and choosing appropriate strategies. (e.g. Martin &amp; LaCroix, 2008; LaCroix, 2014; Johansson et al., 2024). Considering problem solving in a construction work practice, Martin and LaCroix (2008) suggest that students focus on three interfaces. They start by forming an image of the task as a whole and then move between images of visible mathematics and images of the workplace. Martin and LaCroix (2008) further propose that, for vocational aims, it is more appropriate to talk about the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learning of a mathematically rich workplace tasks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than simply the learning of mathematical topics. This idea is reflected in the present paper, which takes authentic workplace tasks as a point of departure. By analysing students’ and teachers’ reasoning about a particular task type, the study provides a concrete example of the knowledge demands and potential learning objectives associated with the kind of integrated knowledge that emerges from the interplay between mathematical and vocational elements within workplace practice, as described in previous research (e.g., FitzSimons, 2014). The contribution of this study lies in its fine-grained analysis, highlighting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critical aspects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i.e. the components that must be discerned to engage with mathematically rich vocational tasks in proficient ways (Marton, 2015). Articulating these aspects provides a detailed account of such activities focusing on what students need to learn. In recent decades, phenomenography-variation theory (Ph-VTL) have made significant contributions to mathematics education research by providing conceptual tools that enable teachers and researchers to identify essential aspects of specific objects of learning (e.g. Marton, 2015). This study extends previous research within the tradition by applying the framework to authentic, vocational situations, a context seldom considered in this line of research. In a phenomenographic interview study, Knutson &amp; Kullberg (2025) highlight qualitatively different ways of experiencing vocational mathematics knowing in the context of construction work practice and education. They conclude that teachers, in various ways, acknowledge the complexity of integrating various aspects during vocational problem solving. This paper aims to further illustrate how this kind of knowing is explicitly expressed in vocational mathematics task-solving by addressing the research question: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Which critical aspects do students need to discern in order to understand and engage with mathematically rich, construction work, vocational tasks, in proficient ways?</w:t>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Theoretical framework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analysis conducted in this study draws on the conceptual framework developed within the phenomenography and variation theory research tradition, (from now on denoted Ph-VTL). Ph-VTL frames learning as gaining more powerful ways of seeing the world. It is assumed that the way a person may act in a situation, depends on how the situation is perceived. Consequently, certain ways of seeing, or experiencing, could be regarded as more powerful than others (Pang &amp; Ki, 2016). Marton and Booth (1997) suggest that differences in ways of experiencing, could be traced to the discernment of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critical aspects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 way something is experienced depends on the aspects that are discerned and simultaneously brought into focal awareness. The aspects that are focused on, and internally and externally related, thus constitutes a way of experiencing, and the aspects that are critical for experiencing something in a certain way are called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critical aspects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(Marton &amp; Booth, 1997; Pang &amp; Ki, 2016). That is, learning is, according to Ph-VTL, essentially a matter of discerning critical aspects. Ph-VTL is grounded in the principle of intentionality, which means that learning is understood as inherently directed toward something. The verb “to learn” must have an object, i.e.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the object of learning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(Marton &amp; Booth, 1997). The object of learning could be conceptualised as the particular way of experiencing a situation which is regarded the most powerful (Pang &amp; Ki, 2016) and thus corresponds to the critical aspects that are necessary to discern to become able to do, or understand, something in a desirable way. These aspects constitute the essential differences between ways of experiencing and are thus critical components in the transition from inability to proficient action (Pang &amp; Ki, 2016; Marton, 2015). Intentionality pertains to experience as well; every experience is directed to something. In each moment, </w:t>
      </w:r>
      <w:r w:rsidDel="00000000" w:rsidR="00000000" w:rsidRPr="00000000">
        <w:rPr>
          <w:rtl w:val="0"/>
        </w:rPr>
        <w:t xml:space="preserve">what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is in the focus of attention tends to be perceived as a meaningful entity (Marton &amp; Booth, 1997). Such intentional objects are in this paper referred to as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phenomena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When we focus on and delimit a phenomenon, other elements are necessarily perceived as a background, an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external horizon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Those elements, which are present in awareness in an inarticulate yet significant way, constitute 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structure of relevance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and are also central to the experienced phenomenon. (Marton &amp; Booth, 1997). Booth (1992) suggests that problem solving could be described in terms of a shifting focus, a stream of consciousness, which is guided by references to the external horizon. In that way elements from the external horizon enter focal awareness and emerge into new phenomena. When solving vocational tasks, students can thus be assumed to shift between making sense of the task as a whole, and “zooming in” on other phenomena. According to Ph-VTL, </w:t>
      </w:r>
      <w:r w:rsidDel="00000000" w:rsidR="00000000" w:rsidRPr="00000000">
        <w:rPr>
          <w:rtl w:val="0"/>
        </w:rPr>
        <w:t xml:space="preserve">the human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mind is delimited to consider just a few aspects at a time (Marton &amp; Booth, 1997). However, during the process of task solving, different phenomena, and consequently several different aspects, might be considered.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Critical aspects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of the task are thus the totality of aspects, which are necessary to discern to understand the task, and </w:t>
      </w:r>
      <w:r w:rsidDel="00000000" w:rsidR="00000000" w:rsidRPr="00000000">
        <w:rPr>
          <w:rtl w:val="0"/>
        </w:rPr>
        <w:t xml:space="preserve">its component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parts, in a powerful and proficient way. </w:t>
      </w:r>
    </w:p>
    <w:p w:rsidR="00000000" w:rsidDel="00000000" w:rsidP="00000000" w:rsidRDefault="00000000" w:rsidRPr="00000000" w14:paraId="0000000A">
      <w:pPr>
        <w:pStyle w:val="Heading2"/>
        <w:rPr/>
      </w:pPr>
      <w:r w:rsidDel="00000000" w:rsidR="00000000" w:rsidRPr="00000000">
        <w:rPr>
          <w:rtl w:val="0"/>
        </w:rPr>
        <w:t xml:space="preserve">Method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empirical data includes teacher interviews and a task-based student dialog. Eight construction work teachers (denoted V1-V8) were interviewed about their experiences of students’ challenges when solving authentic vocational mathematics tasks. In addition, a discussion between two students, (denoted S1 and S2) solving corresponding tasks was recorded. The interviews (1h each) and the dialogue (1h) were transcribed verbatim. During the teacher interviews, participants were asked to give examples of vocational tasks and to highlight aspects that they considered particularly important and challenging for students to discern. The interview transcripts were read several times to identify recurring examples of workplace tasks (i.e. tasks sharing a similar practical purpose and underlying structure). Based on this reading, six task-types were selected for further analysis, one of which is presented in this paper. To identify suitable tasks for the student dialogue, the task types were sought in mathematics textbooks aimed at construction-related vocations (e.g., Schmale, 1966). Since older textbooks provide a wide range of such tasks, a selection of older mathematics textbooks, chosen based on their availability in library collections, was examined. The task, forming the basis for the dialogue presented in this paper is described in further detail below. </w:t>
      </w:r>
    </w:p>
    <w:p w:rsidR="00000000" w:rsidDel="00000000" w:rsidP="00000000" w:rsidRDefault="00000000" w:rsidRPr="00000000" w14:paraId="0000000C">
      <w:pPr>
        <w:rPr/>
      </w:pPr>
      <w:r w:rsidDel="00000000" w:rsidR="00000000" w:rsidRPr="00000000">
        <w:rPr>
          <w:rtl w:val="0"/>
        </w:rPr>
        <w:t xml:space="preserve">The transcribed teacher interviews and student dialogue were analysed through the conceptual lens of Ph-VTL, focusing on </w:t>
      </w:r>
      <w:r w:rsidDel="00000000" w:rsidR="00000000" w:rsidRPr="00000000">
        <w:rPr>
          <w:i w:val="1"/>
          <w:iCs w:val="1"/>
          <w:rtl w:val="0"/>
        </w:rPr>
        <w:t xml:space="preserve">critical aspects</w:t>
      </w:r>
      <w:r w:rsidDel="00000000" w:rsidR="00000000" w:rsidRPr="00000000">
        <w:rPr>
          <w:rtl w:val="0"/>
        </w:rPr>
        <w:t xml:space="preserve">. In the teacher interviews, critical aspects were identified as elements that teachers emphasised as central or challenging when describing the task and explaining how they would support students in approaching it. In the student dialogue, critical aspects were identified as aspects at the edge of students’ understanding, manifested as focal points of discussion, where differences or shifts in understanding became apparent. The two students were selected to provide suitable variation in understanding: one of them attending the first year of the construction work programme, while the other had recently completed the technology programme. Both students contributed constructively to the task solution and ultimately reached a shared understanding. Using different data sources contributed to analytical robustness as well as a more comprehensive account. The identified aspects were compared across interviews and dialogue, both to confirm overlap and to capture a broader range of aspects. The analysis also distinguished between aspects that are typical of the task type (i.e., even distribution of items) and aspects that are specific for the vocational situation (e.g. roof tiling or wall panelling). Including both types of aspects enabled a more comprehensive picture, showing how more general principles interact with situation specific demands.</w:t>
      </w:r>
    </w:p>
    <w:p w:rsidR="00000000" w:rsidDel="00000000" w:rsidP="00000000" w:rsidRDefault="00000000" w:rsidRPr="00000000" w14:paraId="0000000D">
      <w:pPr>
        <w:pStyle w:val="Heading3"/>
        <w:rPr/>
      </w:pPr>
      <w:r w:rsidDel="00000000" w:rsidR="00000000" w:rsidRPr="00000000">
        <w:rPr>
          <w:rtl w:val="0"/>
        </w:rPr>
        <w:t xml:space="preserve">The selected task type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task type selected for analysis in this paper concerns constructing even spacing. It is described in several interviews and appears in one of the textbooks (Schmale, 1966). Given a total length and a maximum spacing, the task is to calculate the number of items and the spacing that result </w:t>
      </w:r>
      <w:r w:rsidDel="00000000" w:rsidR="00000000" w:rsidRPr="00000000">
        <w:rPr>
          <w:rtl w:val="0"/>
        </w:rPr>
        <w:t xml:space="preserve">in an even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distribution of items along the full length. Situations, such as panelling, roofing, and fencing are exemplified contexts. There are a number of such tasks in the textbook. The task below was selected for student dialogue: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c/c distance between the roof trusses in a building must not exceed 120 cm. Calculate the number of roof trusses needed if the c/c distance between the two outermost trusses is 24.36 meters. What will the actual distance between the trusses be if they are evenly distributed? (Schmale, 1966, authors’ translation)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According to the authors’ own investigation, the core procedure for solving the task-type typically involves the following steps: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Calculate the minimum number of spacings by dividing the total length by the maximum spacing and then round the obtained value up </w:t>
      </w:r>
      <w:r w:rsidDel="00000000" w:rsidR="00000000" w:rsidRPr="00000000">
        <w:rPr>
          <w:rtl w:val="0"/>
        </w:rPr>
        <w:t xml:space="preserve">to the nearest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integer.</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Calculate the proper spacing by dividing the total length by this number.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Determine the number of items (typically one above the number of spacings).</w:t>
      </w:r>
    </w:p>
    <w:p w:rsidR="00000000" w:rsidDel="00000000" w:rsidP="00000000" w:rsidRDefault="00000000" w:rsidRPr="00000000" w14:paraId="00000014">
      <w:pPr>
        <w:pStyle w:val="Heading2"/>
        <w:rPr/>
      </w:pPr>
      <w:r w:rsidDel="00000000" w:rsidR="00000000" w:rsidRPr="00000000">
        <w:rPr>
          <w:rtl w:val="0"/>
        </w:rPr>
        <w:t xml:space="preserve">Result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For students to complete vocational mathematics tasks, certain critical aspects must be discerned. Examples from the interviews, along with the identified critical aspects, are presented below.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critical aspects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are italicised in the text and summarised at the end of the section. Significant passages in the interview excerpts are bolded.</w:t>
      </w:r>
      <w:r w:rsidDel="00000000" w:rsidR="00000000" w:rsidRPr="00000000">
        <w:rPr>
          <w:rtl w:val="0"/>
        </w:rPr>
      </w:r>
    </w:p>
    <w:p w:rsidR="00000000" w:rsidDel="00000000" w:rsidP="00000000" w:rsidRDefault="00000000" w:rsidRPr="00000000" w14:paraId="00000016">
      <w:pPr>
        <w:pStyle w:val="Heading3"/>
        <w:rPr/>
      </w:pPr>
      <w:r w:rsidDel="00000000" w:rsidR="00000000" w:rsidRPr="00000000">
        <w:rPr>
          <w:rtl w:val="0"/>
        </w:rPr>
        <w:t xml:space="preserve">Making sense of the task as a whole -aim and conditions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heading=h.k1mb9n24yhak"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As previously described (see Martin &amp; LaCroix, 2009; Booth, 1992), students initial focus is typically on the task as a whole, including discerning its framing: the desired outcome, the preconditions and the constraints. In this case this entails understanding that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the spacing must be even across the entire distance,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that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total distance is fixed</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that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spacing is adjustable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and that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spacing is constrained</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These aspects can be traced in the excerpts below:</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V8: Something the students really struggle with is dividing up a panel surface. A distribution of boards, with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certain spacing in between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have a surface, and 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panel of a certain width,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it must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divide evenly at the end.</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V5: This very thing of dividing things up. It's really hard for them. Distributing panelling on a wall. You have a panel [figure 1], bottom board and overlay board.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it’s that distance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[between the bottom boards]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that we can adjust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We must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end up with a board here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[beside window] so that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overlay board covers any gap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rPr>
          <w:b w:val="1"/>
          <w:bCs w:val="1"/>
        </w:rPr>
      </w:pPr>
      <w:r w:rsidDel="00000000" w:rsidR="00000000" w:rsidRPr="00000000">
        <w:rPr>
          <w:b w:val="1"/>
          <w:bCs w:val="1"/>
          <w:rtl w:val="0"/>
        </w:rPr>
        <w:t xml:space="preserve">Figure 1: </w:t>
      </w:r>
      <w:r w:rsidDel="00000000" w:rsidR="00000000" w:rsidRPr="00000000">
        <w:rPr>
          <w:i w:val="1"/>
          <w:iCs w:val="1"/>
          <w:sz w:val="24"/>
          <w:szCs w:val="24"/>
          <w:rtl w:val="0"/>
        </w:rPr>
        <w:t xml:space="preserve">Panel cross-section</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749981" cy="361909"/>
            <wp:effectExtent b="0" l="0" r="0" t="0"/>
            <wp:docPr id="160170356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49981" cy="361909"/>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It is pinpointed that it is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distance between the boards that can be adjusted</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that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panel-width comprises a constraint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and that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spacing must remain invariant until the last item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This approach is also reflected in students’ reasoning when solving the task described in the methods section. They initially focus on understanding the task, observing that the items should be evenly distributed, identifying a maximum allowable spacing, noting that the number of spacings must be calculated and suggesting that the actual spacing will likely become slightly less than the maximum value: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S1: You need to have them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evenly spaced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It can be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maximum of 120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cm (…) and then you’re supposed to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see how many will fit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24.36 m. So, it’ll probably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end up being a bit less than 120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cm then.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That is, a strategy is suggested and fixed, and adjustable quantities are distinguished.</w:t>
      </w:r>
    </w:p>
    <w:p w:rsidR="00000000" w:rsidDel="00000000" w:rsidP="00000000" w:rsidRDefault="00000000" w:rsidRPr="00000000" w14:paraId="0000001F">
      <w:pPr>
        <w:pStyle w:val="Heading3"/>
        <w:rPr/>
      </w:pPr>
      <w:r w:rsidDel="00000000" w:rsidR="00000000" w:rsidRPr="00000000">
        <w:rPr>
          <w:b w:val="1"/>
          <w:bCs w:val="1"/>
          <w:i w:val="0"/>
          <w:iCs w:val="0"/>
          <w:sz w:val="26"/>
          <w:szCs w:val="26"/>
          <w:rtl w:val="0"/>
        </w:rPr>
        <w:t xml:space="preserve">Initial measurements and practical conditions, dependence on contextual factors</w:t>
      </w:r>
      <w:r w:rsidDel="00000000" w:rsidR="00000000" w:rsidRPr="00000000">
        <w:rPr>
          <w:rtl w:val="0"/>
        </w:rPr>
      </w:r>
    </w:p>
    <w:p w:rsidR="00000000" w:rsidDel="00000000" w:rsidP="00000000" w:rsidRDefault="00000000" w:rsidRPr="00000000" w14:paraId="00000020">
      <w:pPr>
        <w:ind w:firstLine="0"/>
        <w:rPr/>
      </w:pPr>
      <w:r w:rsidDel="00000000" w:rsidR="00000000" w:rsidRPr="00000000">
        <w:rPr>
          <w:rtl w:val="0"/>
        </w:rPr>
        <w:t xml:space="preserve">In authentic vocational situations, such as those described in the teacher interviews, the required measurements are typically not given in advance. It is therefore critical to discern which measurements that are essential, how they should be obtained, and how they may be influenced by physical constraints, such as material dimensions. For example, aspects related to proper measuring practice are emphasised by V6:</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V6: [Concerning tile battens] You must take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centre-to-centre measurement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[between the upper and lower tile batten] However, (…) students might take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measurement between the edges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the tiles. It’s common. Then, they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end up with the wrong distance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the last item (…) and must start all over again.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Here V6 points to the significance of distinguishing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correct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centre-to-centre measurement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from the commonly mis-used measurement between adjacent edges of the items. Similarly, the excerpt below underscores the need to discern how physical conditions such as wall configurations impose context-specific constraints: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V5: [Concerning panelling] We get a certain measurement under the window, and we get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completely different measurement over there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then, possibly, above this window there is another window, but with an offset of 15 cm. There they get stuck!</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In particular VM5 points to the important challenge of considering how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physical features of the wall generate various fixed distances across the wall</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In a similar manner, the excerpt below shows that concerning the task of distributing roof tiles, it is necessary to discern that</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maximum spacing depends on roof slope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1g1gsdgt6oxi"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V6: Let’s say this roof slopes at 27 degrees. I use the tile instructions (…) If the slope is 27 degrees, the spacing between the battens should be, say, 340 mm to 375 mm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If the slope is less, the tiles need to overlap more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protect against wind and water.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In this specific context, it is essential to discern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that the degree of overlap, and thus the maximum allowable spacing, depends on the slope of the roof</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(“if the slope is less, the tiles need to overlap more”)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why</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this is the case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(“to protect against wind and water”) and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how</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this is expressed in numerical terms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(e.g., 340–375 mm). These aspects relate to general principles of the physical environment as well as vocation-specific demands. More implicit here is</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concept of slope itself. The task might include finding the roof angle, which might require seeing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slope as rice over run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and understanding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how this is related to the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roof angle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through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tangent function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Other contexts may involve different types of constraints, such as safety regulations, material dimensions, or specific workplace standards, which are then critical aspects in these specific situations.</w:t>
      </w:r>
    </w:p>
    <w:p w:rsidR="00000000" w:rsidDel="00000000" w:rsidP="00000000" w:rsidRDefault="00000000" w:rsidRPr="00000000" w14:paraId="00000027">
      <w:pPr>
        <w:pStyle w:val="Heading3"/>
        <w:rPr/>
      </w:pPr>
      <w:r w:rsidDel="00000000" w:rsidR="00000000" w:rsidRPr="00000000">
        <w:rPr>
          <w:rtl w:val="0"/>
        </w:rPr>
        <w:t xml:space="preserve">Recognizing and applying a general strategy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heading=h.zijnhfuie6ba" w:id="3"/>
      <w:bookmarkEnd w:id="3"/>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Once the practical conditions are accounted for, and proper measures are obtained, the task solving process proceeds by calculating the spacing. Here, recognizing an</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over-all task solving strategy</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is a critical aspect, with the strategy, as such, as a dimension of variation. Understanding the procedure, in turn, involves a number of interrelated aspects. A central aspect in this regard is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the proportional relation between the spacing, the number of spacings, and the total distance,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an aspect commonly encountered within school mathematics curricula. However, solving the task also demands awareness of how numerical results must be adapted to practical constraints. For example, understanding that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number of spacings must be an integer</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and more specifically, that the proper value is obtained by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rounding up</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 calculated result. This insight is in turn based on the understanding that, starting from</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maximum allowable spacing yields minimum number of required items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These aspects are evident in the student dialogue: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843" w:right="425"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S2: All right… I know exactly how to do it! [calculates: 24.36 / 1.2 = 20.3 i.e. total length divided by maximum spacing]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843" w:right="425"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5azj4x2n6nb6"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S1: Should it be 20.3 items? (…) well, should it be 20 then? No, it must be 21, because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you can’t have more than 120 cm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between,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 you have to round up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[calculates: 24.36 / 21] We get 1.16. So, it’s less than 120 cm then!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critical point of discussion here concerns the fact that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number of items must be an integer</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(i.e., not 20.3) and that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rounding up</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is necessary to ensure compliance with the maximum spacing constraint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(i.e., 21 rather than 20). As a contrast, it is concluded that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rounding down would result in a spacing that exceeds the allowed maximum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Finally, using proportional reasoning, the appropriate spacing is calculated as the total length divided by the number of intervals, and it is confirmed that the resulting spacing satisfies the constraint. Another critical aspect emphasised is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distinction between the number of items and the number of spacings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Dividing the total distance by the spacing gives the number of spacings, not the number of items. The students first suggestion is that the number of items should be 21. They later reconsider this answer: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S1: If you have 1.16 m between each and multiply by 21, you get 24.46 m…but…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then you’ve only counted the spaces between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you’re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missing the final truss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pStyle w:val="Heading3"/>
        <w:rPr/>
      </w:pPr>
      <w:r w:rsidDel="00000000" w:rsidR="00000000" w:rsidRPr="00000000">
        <w:rPr>
          <w:rtl w:val="0"/>
        </w:rPr>
        <w:t xml:space="preserve">Applying the result, accumulation of errors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Having calculated the proper spacing and the number of items, the authentic task proceeds with practically marking out their placements. A critical aspect at this stage is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accumulation of errors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In other words, students need to understand that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simply adding rounded values will cause a deviation at the final item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and that this must be accounted for. V6 emphasizes this issue and suggests a method to add non-round values: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V6: I use the first measurement and mark it out. I use the [ + ] [ + ] [ = ] method [using the calculator in a specific manner which implies adding a non-rounded value] to add the same spacing again. By the end, I’ll reach 4332 mm exactly.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If you use the plus-plus method, you can go twelve miles with millimetre precision. </w:t>
      </w:r>
      <w:r w:rsidDel="00000000" w:rsidR="00000000" w:rsidRPr="00000000">
        <w:rPr>
          <w:rtl w:val="0"/>
        </w:rPr>
      </w:r>
    </w:p>
    <w:p w:rsidR="00000000" w:rsidDel="00000000" w:rsidP="00000000" w:rsidRDefault="00000000" w:rsidRPr="00000000" w14:paraId="00000030">
      <w:pPr>
        <w:pStyle w:val="Heading3"/>
        <w:rPr/>
      </w:pPr>
      <w:r w:rsidDel="00000000" w:rsidR="00000000" w:rsidRPr="00000000">
        <w:rPr>
          <w:rtl w:val="0"/>
        </w:rPr>
        <w:t xml:space="preserve">Summary: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As illustrated above, the vocational task-type of distributing items evenly, require a variety of aspects to be discerned. Some of them concerns making sense of the specific task at hand and understanding how relevant features of the physical environment affect the initial values. Such aspects might be general or specific to the situation. Furthermore, solving the task involves aspects related to the solution procedure, and when applying the calculated values in the context, yet other aspects need to be discerned.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firstLine="0"/>
        <w:jc w:val="left"/>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Table 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br w:type="textWrapping"/>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Summary of critical aspects at different stages of the task solving process </w:t>
      </w:r>
    </w:p>
    <w:tbl>
      <w:tblPr>
        <w:tblStyle w:val="Table1"/>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2551"/>
        <w:gridCol w:w="2552"/>
        <w:gridCol w:w="1984"/>
        <w:tblGridChange w:id="0">
          <w:tblGrid>
            <w:gridCol w:w="1985"/>
            <w:gridCol w:w="2551"/>
            <w:gridCol w:w="2552"/>
            <w:gridCol w:w="1984"/>
          </w:tblGrid>
        </w:tblGridChange>
      </w:tblGrid>
      <w:tr>
        <w:trPr>
          <w:cantSplit w:val="0"/>
          <w:tblHeader w:val="0"/>
        </w:trPr>
        <w:tc>
          <w:tcPr>
            <w:shd w:fill="bfbfbf" w:val="clear"/>
          </w:tcPr>
          <w:p w:rsidR="00000000" w:rsidDel="00000000" w:rsidP="00000000" w:rsidRDefault="00000000" w:rsidRPr="00000000" w14:paraId="00000033">
            <w:pPr>
              <w:pStyle w:val="Heading3"/>
              <w:spacing w:before="0" w:line="240" w:lineRule="auto"/>
              <w:rPr>
                <w:b w:val="0"/>
                <w:bCs w:val="0"/>
              </w:rPr>
            </w:pPr>
            <w:r w:rsidDel="00000000" w:rsidR="00000000" w:rsidRPr="00000000">
              <w:rPr>
                <w:b w:val="0"/>
                <w:bCs w:val="0"/>
                <w:rtl w:val="0"/>
              </w:rPr>
              <w:t xml:space="preserve">Conditions</w:t>
            </w:r>
          </w:p>
        </w:tc>
        <w:tc>
          <w:tcPr>
            <w:shd w:fill="bfbfbf" w:val="clear"/>
          </w:tcPr>
          <w:p w:rsidR="00000000" w:rsidDel="00000000" w:rsidP="00000000" w:rsidRDefault="00000000" w:rsidRPr="00000000" w14:paraId="00000034">
            <w:pPr>
              <w:pStyle w:val="Heading3"/>
              <w:spacing w:before="0" w:line="240" w:lineRule="auto"/>
              <w:rPr>
                <w:b w:val="0"/>
                <w:bCs w:val="0"/>
              </w:rPr>
            </w:pPr>
            <w:r w:rsidDel="00000000" w:rsidR="00000000" w:rsidRPr="00000000">
              <w:rPr>
                <w:b w:val="0"/>
                <w:bCs w:val="0"/>
                <w:rtl w:val="0"/>
              </w:rPr>
              <w:t xml:space="preserve">Initial values</w:t>
            </w:r>
          </w:p>
        </w:tc>
        <w:tc>
          <w:tcPr>
            <w:shd w:fill="bfbfbf" w:val="clear"/>
          </w:tcPr>
          <w:p w:rsidR="00000000" w:rsidDel="00000000" w:rsidP="00000000" w:rsidRDefault="00000000" w:rsidRPr="00000000" w14:paraId="00000035">
            <w:pPr>
              <w:pStyle w:val="Heading3"/>
              <w:spacing w:before="0" w:line="240" w:lineRule="auto"/>
              <w:rPr>
                <w:b w:val="0"/>
                <w:bCs w:val="0"/>
              </w:rPr>
            </w:pPr>
            <w:r w:rsidDel="00000000" w:rsidR="00000000" w:rsidRPr="00000000">
              <w:rPr>
                <w:b w:val="0"/>
                <w:bCs w:val="0"/>
                <w:rtl w:val="0"/>
              </w:rPr>
              <w:t xml:space="preserve">Solution </w:t>
            </w:r>
          </w:p>
        </w:tc>
        <w:tc>
          <w:tcPr>
            <w:shd w:fill="bfbfbf" w:val="clear"/>
          </w:tcPr>
          <w:p w:rsidR="00000000" w:rsidDel="00000000" w:rsidP="00000000" w:rsidRDefault="00000000" w:rsidRPr="00000000" w14:paraId="00000036">
            <w:pPr>
              <w:pStyle w:val="Heading3"/>
              <w:spacing w:before="0" w:line="240" w:lineRule="auto"/>
              <w:rPr>
                <w:b w:val="0"/>
                <w:bCs w:val="0"/>
              </w:rPr>
            </w:pPr>
            <w:r w:rsidDel="00000000" w:rsidR="00000000" w:rsidRPr="00000000">
              <w:rPr>
                <w:b w:val="0"/>
                <w:bCs w:val="0"/>
                <w:rtl w:val="0"/>
              </w:rPr>
              <w:t xml:space="preserve">Application</w:t>
            </w:r>
          </w:p>
        </w:tc>
      </w:tr>
      <w:tr>
        <w:trPr>
          <w:cantSplit w:val="0"/>
          <w:trHeight w:val="1759" w:hRule="atLeast"/>
          <w:tblHeader w:val="0"/>
        </w:trPr>
        <w:tc>
          <w:tcPr>
            <w:vMerge w:val="restart"/>
          </w:tcPr>
          <w:p w:rsidR="00000000" w:rsidDel="00000000" w:rsidP="00000000" w:rsidRDefault="00000000" w:rsidRPr="00000000" w14:paraId="00000037">
            <w:pPr>
              <w:spacing w:line="240" w:lineRule="auto"/>
              <w:ind w:firstLine="0"/>
              <w:jc w:val="left"/>
              <w:rPr>
                <w:sz w:val="22"/>
                <w:szCs w:val="22"/>
              </w:rPr>
            </w:pPr>
            <w:r w:rsidDel="00000000" w:rsidR="00000000" w:rsidRPr="00000000">
              <w:rPr>
                <w:b w:val="1"/>
                <w:bCs w:val="1"/>
                <w:sz w:val="22"/>
                <w:szCs w:val="22"/>
                <w:rtl w:val="0"/>
              </w:rPr>
              <w:t xml:space="preserve">-The spacing</w:t>
            </w:r>
            <w:r w:rsidDel="00000000" w:rsidR="00000000" w:rsidRPr="00000000">
              <w:rPr>
                <w:sz w:val="22"/>
                <w:szCs w:val="22"/>
                <w:rtl w:val="0"/>
              </w:rPr>
              <w:t xml:space="preserve"> should become </w:t>
            </w:r>
            <w:r w:rsidDel="00000000" w:rsidR="00000000" w:rsidRPr="00000000">
              <w:rPr>
                <w:b w:val="1"/>
                <w:bCs w:val="1"/>
                <w:sz w:val="22"/>
                <w:szCs w:val="22"/>
                <w:rtl w:val="0"/>
              </w:rPr>
              <w:t xml:space="preserve">even</w:t>
            </w:r>
            <w:r w:rsidDel="00000000" w:rsidR="00000000" w:rsidRPr="00000000">
              <w:rPr>
                <w:sz w:val="22"/>
                <w:szCs w:val="22"/>
                <w:rtl w:val="0"/>
              </w:rPr>
              <w:t xml:space="preserve"> across the entire distance </w:t>
            </w:r>
          </w:p>
          <w:p w:rsidR="00000000" w:rsidDel="00000000" w:rsidP="00000000" w:rsidRDefault="00000000" w:rsidRPr="00000000" w14:paraId="00000038">
            <w:pPr>
              <w:spacing w:line="240" w:lineRule="auto"/>
              <w:ind w:firstLine="0"/>
              <w:jc w:val="left"/>
              <w:rPr>
                <w:sz w:val="22"/>
                <w:szCs w:val="22"/>
              </w:rPr>
            </w:pPr>
            <w:r w:rsidDel="00000000" w:rsidR="00000000" w:rsidRPr="00000000">
              <w:rPr>
                <w:b w:val="1"/>
                <w:bCs w:val="1"/>
                <w:sz w:val="22"/>
                <w:szCs w:val="22"/>
                <w:rtl w:val="0"/>
              </w:rPr>
              <w:t xml:space="preserve">-The total distance</w:t>
            </w:r>
            <w:r w:rsidDel="00000000" w:rsidR="00000000" w:rsidRPr="00000000">
              <w:rPr>
                <w:sz w:val="22"/>
                <w:szCs w:val="22"/>
                <w:rtl w:val="0"/>
              </w:rPr>
              <w:t xml:space="preserve"> is </w:t>
            </w:r>
            <w:r w:rsidDel="00000000" w:rsidR="00000000" w:rsidRPr="00000000">
              <w:rPr>
                <w:b w:val="1"/>
                <w:bCs w:val="1"/>
                <w:sz w:val="22"/>
                <w:szCs w:val="22"/>
                <w:rtl w:val="0"/>
              </w:rPr>
              <w:t xml:space="preserve">fixed</w:t>
            </w:r>
            <w:r w:rsidDel="00000000" w:rsidR="00000000" w:rsidRPr="00000000">
              <w:rPr>
                <w:rtl w:val="0"/>
              </w:rPr>
            </w:r>
          </w:p>
          <w:p w:rsidR="00000000" w:rsidDel="00000000" w:rsidP="00000000" w:rsidRDefault="00000000" w:rsidRPr="00000000" w14:paraId="00000039">
            <w:pPr>
              <w:spacing w:line="240" w:lineRule="auto"/>
              <w:ind w:firstLine="0"/>
              <w:jc w:val="left"/>
              <w:rPr>
                <w:sz w:val="22"/>
                <w:szCs w:val="22"/>
              </w:rPr>
            </w:pPr>
            <w:r w:rsidDel="00000000" w:rsidR="00000000" w:rsidRPr="00000000">
              <w:rPr>
                <w:b w:val="1"/>
                <w:bCs w:val="1"/>
                <w:sz w:val="22"/>
                <w:szCs w:val="22"/>
                <w:rtl w:val="0"/>
              </w:rPr>
              <w:t xml:space="preserve">-The spacing </w:t>
            </w:r>
            <w:r w:rsidDel="00000000" w:rsidR="00000000" w:rsidRPr="00000000">
              <w:rPr>
                <w:sz w:val="22"/>
                <w:szCs w:val="22"/>
                <w:rtl w:val="0"/>
              </w:rPr>
              <w:t xml:space="preserve">is </w:t>
            </w:r>
            <w:r w:rsidDel="00000000" w:rsidR="00000000" w:rsidRPr="00000000">
              <w:rPr>
                <w:b w:val="1"/>
                <w:bCs w:val="1"/>
                <w:sz w:val="22"/>
                <w:szCs w:val="22"/>
                <w:rtl w:val="0"/>
              </w:rPr>
              <w:t xml:space="preserve">adjustable</w:t>
            </w:r>
            <w:r w:rsidDel="00000000" w:rsidR="00000000" w:rsidRPr="00000000">
              <w:rPr>
                <w:rtl w:val="0"/>
              </w:rPr>
            </w:r>
          </w:p>
          <w:p w:rsidR="00000000" w:rsidDel="00000000" w:rsidP="00000000" w:rsidRDefault="00000000" w:rsidRPr="00000000" w14:paraId="0000003A">
            <w:pPr>
              <w:spacing w:line="240" w:lineRule="auto"/>
              <w:ind w:firstLine="0"/>
              <w:jc w:val="left"/>
              <w:rPr>
                <w:sz w:val="22"/>
                <w:szCs w:val="22"/>
              </w:rPr>
            </w:pPr>
            <w:r w:rsidDel="00000000" w:rsidR="00000000" w:rsidRPr="00000000">
              <w:rPr>
                <w:b w:val="1"/>
                <w:bCs w:val="1"/>
                <w:sz w:val="22"/>
                <w:szCs w:val="22"/>
                <w:rtl w:val="0"/>
              </w:rPr>
              <w:t xml:space="preserve">-The spacin</w:t>
            </w:r>
            <w:r w:rsidDel="00000000" w:rsidR="00000000" w:rsidRPr="00000000">
              <w:rPr>
                <w:sz w:val="22"/>
                <w:szCs w:val="22"/>
                <w:rtl w:val="0"/>
              </w:rPr>
              <w:t xml:space="preserve">g is </w:t>
            </w:r>
            <w:r w:rsidDel="00000000" w:rsidR="00000000" w:rsidRPr="00000000">
              <w:rPr>
                <w:b w:val="1"/>
                <w:bCs w:val="1"/>
                <w:sz w:val="22"/>
                <w:szCs w:val="22"/>
                <w:rtl w:val="0"/>
              </w:rPr>
              <w:t xml:space="preserve">constrained</w:t>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significance of taking the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entre-to-centre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measurement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 contrast to the measurement between adjacent edges </w:t>
            </w:r>
          </w:p>
        </w:tc>
        <w:tc>
          <w:tcPr>
            <w:vMerge w:val="restart"/>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-Proportional relation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between the spacing, the number of spacings, and the total distance</w:t>
            </w:r>
          </w:p>
          <w:p w:rsidR="00000000" w:rsidDel="00000000" w:rsidP="00000000" w:rsidRDefault="00000000" w:rsidRPr="00000000" w14:paraId="0000003D">
            <w:pPr>
              <w:spacing w:line="240" w:lineRule="auto"/>
              <w:ind w:firstLine="0"/>
              <w:jc w:val="left"/>
              <w:rPr>
                <w:sz w:val="22"/>
                <w:szCs w:val="22"/>
              </w:rPr>
            </w:pPr>
            <w:r w:rsidDel="00000000" w:rsidR="00000000" w:rsidRPr="00000000">
              <w:rPr>
                <w:b w:val="1"/>
                <w:bCs w:val="1"/>
                <w:sz w:val="22"/>
                <w:szCs w:val="22"/>
                <w:rtl w:val="0"/>
              </w:rPr>
              <w:t xml:space="preserve">-Number of spacings</w:t>
            </w:r>
            <w:r w:rsidDel="00000000" w:rsidR="00000000" w:rsidRPr="00000000">
              <w:rPr>
                <w:sz w:val="22"/>
                <w:szCs w:val="22"/>
                <w:rtl w:val="0"/>
              </w:rPr>
              <w:t xml:space="preserve"> must be an </w:t>
            </w:r>
            <w:r w:rsidDel="00000000" w:rsidR="00000000" w:rsidRPr="00000000">
              <w:rPr>
                <w:b w:val="1"/>
                <w:bCs w:val="1"/>
                <w:sz w:val="22"/>
                <w:szCs w:val="22"/>
                <w:rtl w:val="0"/>
              </w:rPr>
              <w:t xml:space="preserve">integer</w:t>
            </w:r>
            <w:r w:rsidDel="00000000" w:rsidR="00000000" w:rsidRPr="00000000">
              <w:rPr>
                <w:rtl w:val="0"/>
              </w:rPr>
            </w:r>
          </w:p>
          <w:p w:rsidR="00000000" w:rsidDel="00000000" w:rsidP="00000000" w:rsidRDefault="00000000" w:rsidRPr="00000000" w14:paraId="0000003E">
            <w:pPr>
              <w:spacing w:line="240" w:lineRule="auto"/>
              <w:ind w:firstLine="0"/>
              <w:jc w:val="left"/>
              <w:rPr/>
            </w:pPr>
            <w:r w:rsidDel="00000000" w:rsidR="00000000" w:rsidRPr="00000000">
              <w:rPr>
                <w:b w:val="1"/>
                <w:bCs w:val="1"/>
                <w:sz w:val="22"/>
                <w:szCs w:val="22"/>
                <w:rtl w:val="0"/>
              </w:rPr>
              <w:t xml:space="preserve">-</w:t>
            </w:r>
            <w:r w:rsidDel="00000000" w:rsidR="00000000" w:rsidRPr="00000000">
              <w:rPr>
                <w:rtl w:val="0"/>
              </w:rPr>
              <w:t xml:space="preserve">T</w:t>
            </w:r>
            <w:r w:rsidDel="00000000" w:rsidR="00000000" w:rsidRPr="00000000">
              <w:rPr>
                <w:sz w:val="22"/>
                <w:szCs w:val="22"/>
                <w:rtl w:val="0"/>
              </w:rPr>
              <w:t xml:space="preserve">he</w:t>
            </w:r>
            <w:r w:rsidDel="00000000" w:rsidR="00000000" w:rsidRPr="00000000">
              <w:rPr>
                <w:b w:val="1"/>
                <w:bCs w:val="1"/>
                <w:sz w:val="22"/>
                <w:szCs w:val="22"/>
                <w:rtl w:val="0"/>
              </w:rPr>
              <w:t xml:space="preserve"> maximum allowable spacing determines the minimum number of items. </w:t>
            </w:r>
            <w:r w:rsidDel="00000000" w:rsidR="00000000" w:rsidRPr="00000000">
              <w:rPr>
                <w:sz w:val="22"/>
                <w:szCs w:val="22"/>
                <w:rtl w:val="0"/>
              </w:rPr>
              <w:t xml:space="preserve">(Which in turn implies that:)</w:t>
            </w:r>
            <w:r w:rsidDel="00000000" w:rsidR="00000000" w:rsidRPr="00000000">
              <w:rPr>
                <w:rtl w:val="0"/>
              </w:rPr>
            </w:r>
          </w:p>
          <w:p w:rsidR="00000000" w:rsidDel="00000000" w:rsidP="00000000" w:rsidRDefault="00000000" w:rsidRPr="00000000" w14:paraId="0000003F">
            <w:pPr>
              <w:spacing w:line="240" w:lineRule="auto"/>
              <w:ind w:firstLine="0"/>
              <w:jc w:val="left"/>
              <w:rPr>
                <w:sz w:val="22"/>
                <w:szCs w:val="22"/>
              </w:rPr>
            </w:pPr>
            <w:r w:rsidDel="00000000" w:rsidR="00000000" w:rsidRPr="00000000">
              <w:rPr>
                <w:b w:val="1"/>
                <w:bCs w:val="1"/>
                <w:sz w:val="22"/>
                <w:szCs w:val="22"/>
                <w:rtl w:val="0"/>
              </w:rPr>
              <w:t xml:space="preserve">-</w:t>
            </w:r>
            <w:r w:rsidDel="00000000" w:rsidR="00000000" w:rsidRPr="00000000">
              <w:rPr>
                <w:sz w:val="22"/>
                <w:szCs w:val="22"/>
                <w:rtl w:val="0"/>
              </w:rPr>
              <w:t xml:space="preserve">The </w:t>
            </w:r>
            <w:r w:rsidDel="00000000" w:rsidR="00000000" w:rsidRPr="00000000">
              <w:rPr>
                <w:b w:val="1"/>
                <w:bCs w:val="1"/>
                <w:sz w:val="22"/>
                <w:szCs w:val="22"/>
                <w:rtl w:val="0"/>
              </w:rPr>
              <w:t xml:space="preserve">number of spacings </w:t>
            </w:r>
            <w:r w:rsidDel="00000000" w:rsidR="00000000" w:rsidRPr="00000000">
              <w:rPr>
                <w:sz w:val="22"/>
                <w:szCs w:val="22"/>
                <w:rtl w:val="0"/>
              </w:rPr>
              <w:t xml:space="preserve">must be</w:t>
            </w:r>
            <w:r w:rsidDel="00000000" w:rsidR="00000000" w:rsidRPr="00000000">
              <w:rPr>
                <w:b w:val="1"/>
                <w:bCs w:val="1"/>
                <w:sz w:val="22"/>
                <w:szCs w:val="22"/>
                <w:rtl w:val="0"/>
              </w:rPr>
              <w:t xml:space="preserve"> rounded up </w:t>
            </w:r>
            <w:r w:rsidDel="00000000" w:rsidR="00000000" w:rsidRPr="00000000">
              <w:rPr>
                <w:rtl w:val="0"/>
              </w:rPr>
            </w:r>
          </w:p>
          <w:p w:rsidR="00000000" w:rsidDel="00000000" w:rsidP="00000000" w:rsidRDefault="00000000" w:rsidRPr="00000000" w14:paraId="00000040">
            <w:pPr>
              <w:spacing w:line="240" w:lineRule="auto"/>
              <w:ind w:firstLine="0"/>
              <w:jc w:val="left"/>
              <w:rPr/>
            </w:pPr>
            <w:r w:rsidDel="00000000" w:rsidR="00000000" w:rsidRPr="00000000">
              <w:rPr>
                <w:b w:val="1"/>
                <w:bCs w:val="1"/>
                <w:sz w:val="22"/>
                <w:szCs w:val="22"/>
                <w:rtl w:val="0"/>
              </w:rPr>
              <w:t xml:space="preserve">-</w:t>
            </w:r>
            <w:r w:rsidDel="00000000" w:rsidR="00000000" w:rsidRPr="00000000">
              <w:rPr>
                <w:sz w:val="22"/>
                <w:szCs w:val="22"/>
                <w:rtl w:val="0"/>
              </w:rPr>
              <w:t xml:space="preserve">Distinction between </w:t>
            </w:r>
            <w:r w:rsidDel="00000000" w:rsidR="00000000" w:rsidRPr="00000000">
              <w:rPr>
                <w:b w:val="1"/>
                <w:bCs w:val="1"/>
                <w:sz w:val="22"/>
                <w:szCs w:val="22"/>
                <w:rtl w:val="0"/>
              </w:rPr>
              <w:t xml:space="preserve">number of items vs. number of spacings</w:t>
            </w:r>
            <w:r w:rsidDel="00000000" w:rsidR="00000000" w:rsidRPr="00000000">
              <w:rPr>
                <w:rtl w:val="0"/>
              </w:rPr>
            </w:r>
          </w:p>
        </w:tc>
        <w:tc>
          <w:tcPr>
            <w:vMerge w:val="restart"/>
          </w:tcPr>
          <w:p w:rsidR="00000000" w:rsidDel="00000000" w:rsidP="00000000" w:rsidRDefault="00000000" w:rsidRPr="00000000" w14:paraId="00000041">
            <w:pPr>
              <w:pStyle w:val="Heading3"/>
              <w:spacing w:before="0" w:line="240" w:lineRule="auto"/>
              <w:rPr>
                <w:b w:val="0"/>
                <w:bCs w:val="0"/>
              </w:rPr>
            </w:pPr>
            <w:r w:rsidDel="00000000" w:rsidR="00000000" w:rsidRPr="00000000">
              <w:rPr>
                <w:sz w:val="22"/>
                <w:szCs w:val="22"/>
                <w:rtl w:val="0"/>
              </w:rPr>
              <w:t xml:space="preserve">-Accumulation of errors</w:t>
            </w:r>
            <w:r w:rsidDel="00000000" w:rsidR="00000000" w:rsidRPr="00000000">
              <w:rPr>
                <w:b w:val="0"/>
                <w:bCs w:val="0"/>
                <w:sz w:val="22"/>
                <w:szCs w:val="22"/>
                <w:rtl w:val="0"/>
              </w:rPr>
              <w:t xml:space="preserve"> (in contrast adding rounded values will cause a deviation at the final item)</w:t>
            </w:r>
            <w:r w:rsidDel="00000000" w:rsidR="00000000" w:rsidRPr="00000000">
              <w:rPr>
                <w:rtl w:val="0"/>
              </w:rPr>
            </w:r>
          </w:p>
        </w:tc>
      </w:tr>
      <w:tr>
        <w:trPr>
          <w:cantSplit w:val="0"/>
          <w:trHeight w:val="473" w:hRule="atLeast"/>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rPr>
            </w:pPr>
            <w:r w:rsidDel="00000000" w:rsidR="00000000" w:rsidRPr="00000000">
              <w:rPr>
                <w:rtl w:val="0"/>
              </w:rPr>
            </w:r>
          </w:p>
        </w:tc>
        <w:tc>
          <w:tcPr>
            <w:shd w:fill="bfbfbf" w:val="clear"/>
          </w:tcPr>
          <w:p w:rsidR="00000000" w:rsidDel="00000000" w:rsidP="00000000" w:rsidRDefault="00000000" w:rsidRPr="00000000" w14:paraId="00000043">
            <w:pPr>
              <w:pStyle w:val="Heading3"/>
              <w:spacing w:before="0" w:line="240" w:lineRule="auto"/>
              <w:rPr>
                <w:b w:val="0"/>
                <w:bCs w:val="0"/>
                <w:sz w:val="22"/>
                <w:szCs w:val="22"/>
              </w:rPr>
            </w:pPr>
            <w:r w:rsidDel="00000000" w:rsidR="00000000" w:rsidRPr="00000000">
              <w:rPr>
                <w:b w:val="0"/>
                <w:bCs w:val="0"/>
                <w:sz w:val="22"/>
                <w:szCs w:val="22"/>
                <w:rtl w:val="0"/>
              </w:rPr>
              <w:t xml:space="preserve">Aspects, specific to a  particular context </w:t>
            </w:r>
          </w:p>
        </w:tc>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2"/>
                <w:szCs w:val="22"/>
              </w:rPr>
            </w:pPr>
            <w:r w:rsidDel="00000000" w:rsidR="00000000" w:rsidRPr="00000000">
              <w:rPr>
                <w:rtl w:val="0"/>
              </w:rPr>
            </w:r>
          </w:p>
        </w:tc>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2"/>
                <w:szCs w:val="22"/>
              </w:rPr>
            </w:pPr>
            <w:r w:rsidDel="00000000" w:rsidR="00000000" w:rsidRPr="00000000">
              <w:rPr>
                <w:rtl w:val="0"/>
              </w:rPr>
            </w:r>
          </w:p>
        </w:tc>
      </w:tr>
      <w:tr>
        <w:trPr>
          <w:cantSplit w:val="0"/>
          <w:trHeight w:val="1313"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2"/>
                <w:szCs w:val="22"/>
              </w:rPr>
            </w:pPr>
            <w:r w:rsidDel="00000000" w:rsidR="00000000" w:rsidRPr="00000000">
              <w:rPr>
                <w:rtl w:val="0"/>
              </w:rPr>
            </w:r>
          </w:p>
        </w:tc>
        <w:tc>
          <w:tcPr>
            <w:shd w:fill="d9d9d9" w:val="clear"/>
          </w:tcPr>
          <w:p w:rsidR="00000000" w:rsidDel="00000000" w:rsidP="00000000" w:rsidRDefault="00000000" w:rsidRPr="00000000" w14:paraId="00000047">
            <w:pPr>
              <w:pStyle w:val="Heading3"/>
              <w:spacing w:before="0" w:line="240" w:lineRule="auto"/>
              <w:rPr>
                <w:b w:val="0"/>
                <w:bCs w:val="0"/>
                <w:sz w:val="22"/>
                <w:szCs w:val="22"/>
              </w:rPr>
            </w:pPr>
            <w:r w:rsidDel="00000000" w:rsidR="00000000" w:rsidRPr="00000000">
              <w:rPr>
                <w:sz w:val="22"/>
                <w:szCs w:val="22"/>
                <w:rtl w:val="0"/>
              </w:rPr>
              <w:t xml:space="preserve">-Maximum spacing depends</w:t>
            </w:r>
            <w:r w:rsidDel="00000000" w:rsidR="00000000" w:rsidRPr="00000000">
              <w:rPr>
                <w:b w:val="0"/>
                <w:bCs w:val="0"/>
                <w:sz w:val="22"/>
                <w:szCs w:val="22"/>
                <w:rtl w:val="0"/>
              </w:rPr>
              <w:t xml:space="preserve"> </w:t>
            </w:r>
            <w:r w:rsidDel="00000000" w:rsidR="00000000" w:rsidRPr="00000000">
              <w:rPr>
                <w:sz w:val="22"/>
                <w:szCs w:val="22"/>
                <w:rtl w:val="0"/>
              </w:rPr>
              <w:t xml:space="preserve">on roof slope/panel width </w:t>
            </w:r>
            <w:r w:rsidDel="00000000" w:rsidR="00000000" w:rsidRPr="00000000">
              <w:rPr>
                <w:b w:val="0"/>
                <w:bCs w:val="0"/>
                <w:sz w:val="22"/>
                <w:szCs w:val="22"/>
                <w:rtl w:val="0"/>
              </w:rPr>
              <w:t xml:space="preserve">etc. (why and how)</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-Total distance depends 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e.g.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wall-configuration</w:t>
            </w:r>
            <w:r w:rsidDel="00000000" w:rsidR="00000000" w:rsidRPr="00000000">
              <w:rPr>
                <w:rtl w:val="0"/>
              </w:rPr>
            </w:r>
          </w:p>
        </w:tc>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4B">
      <w:pPr>
        <w:pStyle w:val="Heading2"/>
        <w:spacing w:before="0" w:lineRule="auto"/>
        <w:rPr>
          <w:b w:val="0"/>
          <w:bCs w:val="0"/>
          <w:i w:val="1"/>
          <w:iCs w:val="1"/>
          <w:sz w:val="22"/>
          <w:szCs w:val="22"/>
        </w:rPr>
      </w:pPr>
      <w:bookmarkStart w:colFirst="0" w:colLast="0" w:name="_heading=h.pfkpsdf7rffm" w:id="5"/>
      <w:bookmarkEnd w:id="5"/>
      <w:r w:rsidDel="00000000" w:rsidR="00000000" w:rsidRPr="00000000">
        <w:rPr>
          <w:b w:val="0"/>
          <w:bCs w:val="0"/>
          <w:i w:val="1"/>
          <w:iCs w:val="1"/>
          <w:sz w:val="22"/>
          <w:szCs w:val="22"/>
          <w:rtl w:val="0"/>
        </w:rPr>
        <w:t xml:space="preserve">Note: </w:t>
      </w:r>
      <w:r w:rsidDel="00000000" w:rsidR="00000000" w:rsidRPr="00000000">
        <w:rPr>
          <w:b w:val="0"/>
          <w:bCs w:val="0"/>
          <w:sz w:val="22"/>
          <w:szCs w:val="22"/>
          <w:rtl w:val="0"/>
        </w:rPr>
        <w:t xml:space="preserve">Most of the aspects are typical of the task type, while a few are specific to a particular context, as indicated by the shaded area in the table above.</w:t>
      </w:r>
      <w:r w:rsidDel="00000000" w:rsidR="00000000" w:rsidRPr="00000000">
        <w:rPr>
          <w:rtl w:val="0"/>
        </w:rPr>
      </w:r>
    </w:p>
    <w:p w:rsidR="00000000" w:rsidDel="00000000" w:rsidP="00000000" w:rsidRDefault="00000000" w:rsidRPr="00000000" w14:paraId="0000004C">
      <w:pPr>
        <w:pStyle w:val="Heading2"/>
        <w:rPr/>
      </w:pPr>
      <w:r w:rsidDel="00000000" w:rsidR="00000000" w:rsidRPr="00000000">
        <w:rPr>
          <w:rtl w:val="0"/>
        </w:rPr>
        <w:t xml:space="preserve">Discussion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heading=h.qwqj4oq9tznw" w:id="6"/>
      <w:bookmarkEnd w:id="6"/>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To address the research question: “Which critical aspects do students need to discern in order to understand and engage with mathematically rich vocational construction tasks in proficient ways?” a detailed analysis of learning demands was conducted using a Ph-VTL framework. Confirming earlier findings (e.g., LaCroix, 2014; Martin &amp; LaCroix, 2008; Hoyles, 2010; Johansson et al., 2024) the result demonstrate that workplace activities may involve aspects from various domains, and their interrelationships. The present study adds to previous research through its fine-grained analysis of critical aspects, which clearly exemplifies and illustrates this multifaceted nature of vocational mathematics reasoning.  As the result show, the aspects derive from various stages of the problem-solving process. There are critical aspects involved in the initial sense making of the task as a whole (e.g distinguishing fixed and adjustable quantities), in the process of finding appropriate initial values, in the solution procedure and in the final application of the results within the context. Furthermore, the aspects belong to various mathematical, contextual and vocational domains. Some of them align closely with a formal mathematics curriculum (e.g., discerning proportional relations), while others represent a kind of mathematical thinking which is intertwined with logical reasoning within the vocational context (e.g. principles for appropriate rounding, and effects of cumulative error). Additionally, the task incorporates vocation-specific aspects related to tools, norms, and practices particular to the profession, such as measuring techniques and construction regulations (e.g. correct c-c measurement and maximum spacing values). Beyond these, there are aspects of the physical environment, related to mathematics but also requiring knowledge that transcends mathematics (e.g. understanding how, and why, the appropriate tile spacing is affected by the roof slope). Moreover, in addition to aspects of general strategies, the task involves situation-specific aspects, including unique conditions of the specific situation (e.g effects of wall-configuration and material dimensions). The results thus suggest that vocational mathematics proficiency is not merely a matter of transferring school mathematics to vocational practice but rather involves the ability to discern and integrate critical aspects across domains, and to understand how mathematical principles interact with contextual and physical constraints. </w:t>
      </w:r>
    </w:p>
    <w:p w:rsidR="00000000" w:rsidDel="00000000" w:rsidP="00000000" w:rsidRDefault="00000000" w:rsidRPr="00000000" w14:paraId="0000004E">
      <w:pPr>
        <w:rPr/>
      </w:pPr>
      <w:r w:rsidDel="00000000" w:rsidR="00000000" w:rsidRPr="00000000">
        <w:rPr>
          <w:rtl w:val="0"/>
        </w:rPr>
        <w:t xml:space="preserve">These findings have implications for teaching. If mathematics in vocational education aims to prepare students for authentic workplace situations, the objects of learning need to reflect such interactions (FitzSimons &amp; Boistrup, 2017). In doing so, however, objects of learning will extend beyond a formal mathematics curriculum. The present study provides a detailed account of the critical aspects involved in solving one such task. If the educational goal is primarily to enable students to handle specific vocational situations, a particular set of aspects such as those identified above may constitute a significant and sufficient object of learning. Yet there are also potential objects of learning that are more general and disciplinarily coherent, while still connected to those aspects (e.g., an in-depth, generalized understanding of the concept of proportionality, of the concept of slope, and of the relationship between these concepts). FitzSimons (2014) argues that besides contextual knowledge, such disciplinary coherent knowledge structures, are important components of vocational mathematics knowing. Booth (1992) suggests that problem-solving processes might be described as a stream of consciousness guided by references to relevance structures, surrounding the phenomena. That is, besides the directly discerned critical aspects, the perceived phenomena are potentially related to structures including more peripheral yet connected aspects. It is reasonable to assume that such structures also affect the task solving process, not least by affording opportunities for creativity and adaptability. Focusing mainly on the learning of specific tasks, might run the risk of ignoring coherent structures within disciplines, which, beyond their intrinsic value, might be essential for creative vocational problem solving. However, focusing only on objects of learning within a formal mathematics curriculum may run the risk of overlooking contextual and interdisciplinary aspects, which are equally essential to discern when solving mathematically rich workplace tasks. How such different knowledge structures affect vocational task solving, and how the corresponding objects of learning might be connected and mutually enhancing, remains a question for future research and indicates a direction for further development of Ph-VTL.</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3"/>
        <w:rPr>
          <w:sz w:val="32"/>
          <w:szCs w:val="32"/>
        </w:rPr>
      </w:pPr>
      <w:r w:rsidDel="00000000" w:rsidR="00000000" w:rsidRPr="00000000">
        <w:rPr>
          <w:sz w:val="32"/>
          <w:szCs w:val="32"/>
          <w:rtl w:val="0"/>
        </w:rPr>
        <w:t xml:space="preserve">References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Bakker, A. (2014). Characterising and developing vocational mathematical knowledge.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Educational Studies in Mathematics, 86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151–156. doi.org/10.1007/s10649-014-9560-4</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Booth, S. (1992).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Learning to program: A phenomenographic perspective.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Göteborgs Universitet,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rg5h49e18z81" w:id="7"/>
      <w:bookmarkEnd w: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Dalby, D., &amp; Noyes, A. (2022). The waxing and waning of functional skills mathematics.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Vocational Education &amp; Training, 74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434–453. https://doi.org/10.1080/13636820.2020.1772856</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FitzSimons, G. E. (2014). Commentary on vocational mathematics education: where mathematics education confronts the realities of people’s work.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Educational Studies in Mathematics 86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291–304. </w:t>
      </w:r>
      <w:hyperlink r:id="rId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https://doi.org/10.1007/s10649-014-9556-0</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FitzSimons, G. E., &amp; Björklund Boistrup, L. (2017). In the workplace mathematics does not announce itself: towards overcoming the hiatus between mathematics education and work.</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Educational Studies in Mathematics 95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329–349. https://doi.org/10.1007/s10649-017-9752-9</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Hoyles, C., Noss, R., Kent, P., &amp; Bakker, A. (2010).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need for techno-mathematical literacies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Routledge. https://doi.org/10.4324/9780203854655</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Johansson, T., Björklund Boistrup, L., &amp; Dahl, J. (2024). Patterns of connections between mathematics and electrician knowledge: Praxeology in vocational education.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Quaderni di Ricerca in Didactica, 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641–650.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Knutson, H., &amp; Kullberg, A. (2025).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Teachers' perceptions of educationally significant vocational mathematics knowing.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Proceedings of the Fourteenth Congress of the European Society for Research in Mathematics Education (CERME14).</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LaCroix, L. (2014). Learning to see pipes mathematically: preapprentices’ mathematical activity in pipe trades training.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Educational Studies in Mathematics, 86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157–176. https://doi.org/10.1007/s10649-014-9534-6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Martin, L., &amp; LaCroix, L. (2008). Images and the growth of understanding of mathematics-for-Working.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Canadian Journal of Science, Mathematics and Technology Education, 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121–139. </w:t>
      </w: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https://doi.org/10.1080/14926150802169263</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Marton, F. (2014).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Necessary conditions of learning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Routhledge. https://doi.org/10.4324/9781315816876</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Marton, F., &amp; Booth, S. (1997).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Learning and awareness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Routledge. https://doi.org/10.4324/9780203053690</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Muhrman, K. (2016).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Inget klöver utan matematik: En studie av matematik i yrkesutbildning och yrkesliv. [No clover without mathematics: A study of mathematics in vocational education and professional life]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[Doctoral thesis, Linköping University] https://doi.org/10.3384/diss.diva-12456</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Pang, M., &amp; Ki, W. (2016). Revisiting the idea of “critical aspects.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Scandinavian Journal of Educational Research, 60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323–336. https://doi.org/10.1080/00313831.2015.1119724</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Schmale, W. (1966).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Yrkesräkning för byggnadsyrken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Berlingska Boktryckeriet.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Straesser, R. (2015). Numeracy at work: a discussion of terms and results from empirical studies.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ZDM Mathematics Education, 47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665–674. </w:t>
      </w:r>
      <w:hyperlink r:id="rId1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https://doi.org/10.1007/s11858-015-0689-0</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Sundtjønn, T. (2021).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Opportunities and challenges when students work with vocationally connected mathematics tasks.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[Doctoral thesis, Agder University]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2"/>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2" w:type="default"/>
      <w:footerReference r:id="rId13" w:type="default"/>
      <w:footerReference r:id="rId14"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students are solving the task exemplified in the method section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jc w:val="right"/>
      <w:rPr/>
    </w:pPr>
    <w:r w:rsidDel="00000000" w:rsidR="00000000" w:rsidRPr="00000000">
      <w:rPr>
        <w:rtl w:val="0"/>
      </w:rPr>
    </w:r>
  </w:p>
  <w:p w:rsidR="00000000" w:rsidDel="00000000" w:rsidP="00000000" w:rsidRDefault="00000000" w:rsidRPr="00000000" w14:paraId="00000067">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spacing w:before="40" w:lineRule="auto"/>
    </w:pPr>
    <w:rPr>
      <w:rFonts w:ascii="Calibri" w:cs="Calibri" w:eastAsia="Calibri" w:hAnsi="Calibri"/>
      <w:color w:val="36609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link w:val="ReferencesChar"/>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qFormat w:val="1"/>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Citat">
    <w:name w:val="Quote"/>
    <w:basedOn w:val="Normal"/>
    <w:next w:val="Normal"/>
    <w:link w:val="CitatChar"/>
    <w:rsid w:val="006C36F0"/>
    <w:pPr>
      <w:spacing w:after="160" w:before="200"/>
      <w:ind w:left="864" w:right="864"/>
      <w:jc w:val="center"/>
    </w:pPr>
    <w:rPr>
      <w:i w:val="1"/>
      <w:iCs w:val="1"/>
      <w:color w:val="404040" w:themeColor="text1" w:themeTint="0000BF"/>
    </w:rPr>
  </w:style>
  <w:style w:type="character" w:styleId="CitatChar" w:customStyle="1">
    <w:name w:val="Citat Char"/>
    <w:basedOn w:val="Standardstycketeckensnitt"/>
    <w:link w:val="Citat"/>
    <w:rsid w:val="006C36F0"/>
    <w:rPr>
      <w:i w:val="1"/>
      <w:iCs w:val="1"/>
      <w:color w:val="404040" w:themeColor="text1" w:themeTint="0000BF"/>
      <w:sz w:val="26"/>
      <w:szCs w:val="28"/>
      <w:lang w:eastAsia="en-US" w:val="en-GB"/>
    </w:rPr>
  </w:style>
  <w:style w:type="paragraph" w:styleId="Brdtext2">
    <w:name w:val="Body Text 2"/>
    <w:basedOn w:val="Normal"/>
    <w:link w:val="Brdtext2Char"/>
    <w:rsid w:val="00AA5051"/>
    <w:pPr>
      <w:spacing w:after="120" w:line="480" w:lineRule="auto"/>
    </w:pPr>
  </w:style>
  <w:style w:type="character" w:styleId="Brdtext2Char" w:customStyle="1">
    <w:name w:val="Brödtext 2 Char"/>
    <w:basedOn w:val="Standardstycketeckensnitt"/>
    <w:link w:val="Brdtext2"/>
    <w:rsid w:val="00AA5051"/>
    <w:rPr>
      <w:sz w:val="26"/>
      <w:szCs w:val="28"/>
      <w:lang w:eastAsia="en-US" w:val="en-GB"/>
    </w:rPr>
  </w:style>
  <w:style w:type="character" w:styleId="Rubrik3Char" w:customStyle="1">
    <w:name w:val="Rubrik 3 Char"/>
    <w:aliases w:val="Head 2 Char"/>
    <w:basedOn w:val="Standardstycketeckensnitt"/>
    <w:link w:val="Rubrik3"/>
    <w:rsid w:val="0015136F"/>
    <w:rPr>
      <w:b w:val="1"/>
      <w:bCs w:val="1"/>
      <w:sz w:val="26"/>
      <w:szCs w:val="28"/>
      <w:lang w:eastAsia="en-US" w:val="en-GB"/>
    </w:rPr>
  </w:style>
  <w:style w:type="paragraph" w:styleId="Brdtextmedindrag2">
    <w:name w:val="Body Text Indent 2"/>
    <w:basedOn w:val="Normal"/>
    <w:link w:val="Brdtextmedindrag2Char"/>
    <w:rsid w:val="006E3A98"/>
    <w:pPr>
      <w:spacing w:after="120" w:line="480" w:lineRule="auto"/>
      <w:ind w:left="283"/>
    </w:pPr>
  </w:style>
  <w:style w:type="character" w:styleId="Brdtextmedindrag2Char" w:customStyle="1">
    <w:name w:val="Brödtext med indrag 2 Char"/>
    <w:basedOn w:val="Standardstycketeckensnitt"/>
    <w:link w:val="Brdtextmedindrag2"/>
    <w:rsid w:val="006E3A98"/>
    <w:rPr>
      <w:sz w:val="26"/>
      <w:szCs w:val="28"/>
      <w:lang w:eastAsia="en-US" w:val="en-GB"/>
    </w:rPr>
  </w:style>
  <w:style w:type="paragraph" w:styleId="Liststycke">
    <w:name w:val="List Paragraph"/>
    <w:basedOn w:val="Normal"/>
    <w:rsid w:val="001D4FC4"/>
    <w:pPr>
      <w:ind w:left="720"/>
      <w:contextualSpacing w:val="1"/>
    </w:pPr>
  </w:style>
  <w:style w:type="paragraph" w:styleId="Abrdtextutanindrag" w:customStyle="1">
    <w:name w:val="A_brödtext_utan_indrag"/>
    <w:basedOn w:val="Normal"/>
    <w:next w:val="Abrdtextmedindragfrsta"/>
    <w:qFormat w:val="1"/>
    <w:rsid w:val="009B5870"/>
    <w:pPr>
      <w:autoSpaceDE w:val="1"/>
      <w:autoSpaceDN w:val="1"/>
      <w:spacing w:line="360" w:lineRule="atLeast"/>
      <w:ind w:firstLine="0"/>
    </w:pPr>
    <w:rPr>
      <w:rFonts w:ascii="Garamond" w:eastAsia="Calibri" w:hAnsi="Garamond"/>
      <w:sz w:val="28"/>
      <w:szCs w:val="22"/>
    </w:rPr>
  </w:style>
  <w:style w:type="paragraph" w:styleId="Abrdtextmedindragfrsta" w:customStyle="1">
    <w:name w:val="A_brödtext_med_indrag_första"/>
    <w:basedOn w:val="Normal"/>
    <w:next w:val="Abrdtextutanindrag"/>
    <w:qFormat w:val="1"/>
    <w:rsid w:val="009B5870"/>
    <w:pPr>
      <w:autoSpaceDE w:val="1"/>
      <w:autoSpaceDN w:val="1"/>
      <w:spacing w:line="360" w:lineRule="atLeast"/>
      <w:ind w:firstLine="357"/>
    </w:pPr>
    <w:rPr>
      <w:rFonts w:ascii="Garamond" w:eastAsia="Calibri" w:hAnsi="Garamond"/>
      <w:sz w:val="28"/>
      <w:szCs w:val="22"/>
    </w:rPr>
  </w:style>
  <w:style w:type="paragraph" w:styleId="Acitat" w:customStyle="1">
    <w:name w:val="A_citat"/>
    <w:basedOn w:val="Normal"/>
    <w:next w:val="Abrdtextutanindrag"/>
    <w:qFormat w:val="1"/>
    <w:rsid w:val="009B5870"/>
    <w:pPr>
      <w:autoSpaceDE w:val="1"/>
      <w:autoSpaceDN w:val="1"/>
      <w:spacing w:after="240" w:before="240" w:line="300" w:lineRule="exact"/>
      <w:ind w:left="714" w:right="714" w:firstLine="0"/>
    </w:pPr>
    <w:rPr>
      <w:rFonts w:ascii="Garamond" w:eastAsia="Calibri" w:hAnsi="Garamond"/>
      <w:sz w:val="24"/>
      <w:szCs w:val="22"/>
    </w:rPr>
  </w:style>
  <w:style w:type="character" w:styleId="Rubrik5Char" w:customStyle="1">
    <w:name w:val="Rubrik 5 Char"/>
    <w:basedOn w:val="Standardstycketeckensnitt"/>
    <w:link w:val="Rubrik5"/>
    <w:rsid w:val="0069044E"/>
    <w:rPr>
      <w:rFonts w:asciiTheme="majorHAnsi" w:cstheme="majorBidi" w:eastAsiaTheme="majorEastAsia" w:hAnsiTheme="majorHAnsi"/>
      <w:color w:val="365f91" w:themeColor="accent1" w:themeShade="0000BF"/>
      <w:sz w:val="26"/>
      <w:szCs w:val="28"/>
      <w:lang w:eastAsia="en-US" w:val="en-GB"/>
    </w:rPr>
  </w:style>
  <w:style w:type="paragraph" w:styleId="Sidhuvud">
    <w:name w:val="header"/>
    <w:basedOn w:val="Normal"/>
    <w:link w:val="SidhuvudChar"/>
    <w:unhideWhenUsed w:val="1"/>
    <w:rsid w:val="002D5143"/>
    <w:pPr>
      <w:tabs>
        <w:tab w:val="center" w:pos="4513"/>
        <w:tab w:val="right" w:pos="9026"/>
      </w:tabs>
      <w:spacing w:line="240" w:lineRule="auto"/>
    </w:pPr>
  </w:style>
  <w:style w:type="character" w:styleId="SidhuvudChar" w:customStyle="1">
    <w:name w:val="Sidhuvud Char"/>
    <w:basedOn w:val="Standardstycketeckensnitt"/>
    <w:link w:val="Sidhuvud"/>
    <w:rsid w:val="002D5143"/>
    <w:rPr>
      <w:sz w:val="26"/>
      <w:szCs w:val="28"/>
      <w:lang w:eastAsia="en-US" w:val="en-GB"/>
    </w:rPr>
  </w:style>
  <w:style w:type="paragraph" w:styleId="Anteckningsrubrik">
    <w:name w:val="Note Heading"/>
    <w:basedOn w:val="Normal"/>
    <w:next w:val="Normal"/>
    <w:link w:val="AnteckningsrubrikChar"/>
    <w:rsid w:val="003A308C"/>
    <w:pPr>
      <w:spacing w:line="240" w:lineRule="auto"/>
    </w:pPr>
  </w:style>
  <w:style w:type="character" w:styleId="AnteckningsrubrikChar" w:customStyle="1">
    <w:name w:val="Anteckningsrubrik Char"/>
    <w:basedOn w:val="Standardstycketeckensnitt"/>
    <w:link w:val="Anteckningsrubrik"/>
    <w:rsid w:val="003A308C"/>
    <w:rPr>
      <w:sz w:val="26"/>
      <w:szCs w:val="28"/>
      <w:lang w:eastAsia="en-US" w:val="en-GB"/>
    </w:rPr>
  </w:style>
  <w:style w:type="character" w:styleId="Kommentarsreferens">
    <w:name w:val="annotation reference"/>
    <w:basedOn w:val="Standardstycketeckensnitt"/>
    <w:semiHidden w:val="1"/>
    <w:unhideWhenUsed w:val="1"/>
    <w:rsid w:val="002252EE"/>
    <w:rPr>
      <w:sz w:val="16"/>
      <w:szCs w:val="16"/>
    </w:rPr>
  </w:style>
  <w:style w:type="paragraph" w:styleId="Kommentarer">
    <w:name w:val="annotation text"/>
    <w:basedOn w:val="Normal"/>
    <w:link w:val="KommentarerChar"/>
    <w:unhideWhenUsed w:val="1"/>
    <w:rsid w:val="002252EE"/>
    <w:pPr>
      <w:spacing w:line="240" w:lineRule="auto"/>
    </w:pPr>
    <w:rPr>
      <w:sz w:val="20"/>
      <w:szCs w:val="20"/>
    </w:rPr>
  </w:style>
  <w:style w:type="character" w:styleId="KommentarerChar" w:customStyle="1">
    <w:name w:val="Kommentarer Char"/>
    <w:basedOn w:val="Standardstycketeckensnitt"/>
    <w:link w:val="Kommentarer"/>
    <w:rsid w:val="002252EE"/>
    <w:rPr>
      <w:lang w:eastAsia="en-US" w:val="en-GB"/>
    </w:rPr>
  </w:style>
  <w:style w:type="paragraph" w:styleId="Kommentarsmne">
    <w:name w:val="annotation subject"/>
    <w:basedOn w:val="Kommentarer"/>
    <w:next w:val="Kommentarer"/>
    <w:link w:val="KommentarsmneChar"/>
    <w:semiHidden w:val="1"/>
    <w:unhideWhenUsed w:val="1"/>
    <w:rsid w:val="002252EE"/>
    <w:rPr>
      <w:b w:val="1"/>
      <w:bCs w:val="1"/>
    </w:rPr>
  </w:style>
  <w:style w:type="character" w:styleId="KommentarsmneChar" w:customStyle="1">
    <w:name w:val="Kommentarsämne Char"/>
    <w:basedOn w:val="KommentarerChar"/>
    <w:link w:val="Kommentarsmne"/>
    <w:semiHidden w:val="1"/>
    <w:rsid w:val="002252EE"/>
    <w:rPr>
      <w:b w:val="1"/>
      <w:bCs w:val="1"/>
      <w:lang w:eastAsia="en-US" w:val="en-GB"/>
    </w:rPr>
  </w:style>
  <w:style w:type="character" w:styleId="Diskretbetoning">
    <w:name w:val="Subtle Emphasis"/>
    <w:basedOn w:val="Standardstycketeckensnitt"/>
    <w:rsid w:val="001F4402"/>
    <w:rPr>
      <w:i w:val="1"/>
      <w:iCs w:val="1"/>
      <w:color w:val="404040" w:themeColor="text1" w:themeTint="0000BF"/>
    </w:rPr>
  </w:style>
  <w:style w:type="character" w:styleId="Rubrik1Char" w:customStyle="1">
    <w:name w:val="Rubrik 1 Char"/>
    <w:aliases w:val="Title Char"/>
    <w:basedOn w:val="Standardstycketeckensnitt"/>
    <w:link w:val="Rubrik1"/>
    <w:uiPriority w:val="9"/>
    <w:rsid w:val="00B92DDA"/>
    <w:rPr>
      <w:kern w:val="28"/>
      <w:sz w:val="44"/>
      <w:szCs w:val="32"/>
      <w:lang w:eastAsia="en-US" w:val="en-GB"/>
    </w:rPr>
  </w:style>
  <w:style w:type="paragraph" w:styleId="Litteraturfrteckning">
    <w:name w:val="Bibliography"/>
    <w:basedOn w:val="Normal"/>
    <w:next w:val="Normal"/>
    <w:unhideWhenUsed w:val="1"/>
    <w:rsid w:val="00B92DDA"/>
  </w:style>
  <w:style w:type="paragraph" w:styleId="Fotnotstext">
    <w:name w:val="footnote text"/>
    <w:basedOn w:val="Normal"/>
    <w:link w:val="FotnotstextChar"/>
    <w:semiHidden w:val="1"/>
    <w:unhideWhenUsed w:val="1"/>
    <w:rsid w:val="006D6FA5"/>
    <w:pPr>
      <w:spacing w:line="240" w:lineRule="auto"/>
    </w:pPr>
    <w:rPr>
      <w:sz w:val="20"/>
      <w:szCs w:val="20"/>
    </w:rPr>
  </w:style>
  <w:style w:type="character" w:styleId="FotnotstextChar" w:customStyle="1">
    <w:name w:val="Fotnotstext Char"/>
    <w:basedOn w:val="Standardstycketeckensnitt"/>
    <w:link w:val="Fotnotstext"/>
    <w:semiHidden w:val="1"/>
    <w:rsid w:val="006D6FA5"/>
    <w:rPr>
      <w:lang w:eastAsia="en-US" w:val="en-GB"/>
    </w:rPr>
  </w:style>
  <w:style w:type="character" w:styleId="Fotnotsreferens">
    <w:name w:val="footnote reference"/>
    <w:basedOn w:val="Standardstycketeckensnitt"/>
    <w:semiHidden w:val="1"/>
    <w:unhideWhenUsed w:val="1"/>
    <w:rsid w:val="006D6FA5"/>
    <w:rPr>
      <w:vertAlign w:val="superscript"/>
    </w:rPr>
  </w:style>
  <w:style w:type="character" w:styleId="Hyperlnk">
    <w:name w:val="Hyperlink"/>
    <w:basedOn w:val="Standardstycketeckensnitt"/>
    <w:uiPriority w:val="99"/>
    <w:unhideWhenUsed w:val="1"/>
    <w:rsid w:val="00EE508F"/>
    <w:rPr>
      <w:color w:val="0000ff" w:themeColor="hyperlink"/>
      <w:u w:val="single"/>
    </w:rPr>
  </w:style>
  <w:style w:type="character" w:styleId="Olstomnmnande">
    <w:name w:val="Unresolved Mention"/>
    <w:basedOn w:val="Standardstycketeckensnitt"/>
    <w:uiPriority w:val="99"/>
    <w:semiHidden w:val="1"/>
    <w:unhideWhenUsed w:val="1"/>
    <w:rsid w:val="00EE508F"/>
    <w:rPr>
      <w:color w:val="605e5c"/>
      <w:shd w:color="auto" w:fill="e1dfdd" w:val="clear"/>
    </w:rPr>
  </w:style>
  <w:style w:type="paragraph" w:styleId="EndNoteBibliography" w:customStyle="1">
    <w:name w:val="EndNote Bibliography"/>
    <w:basedOn w:val="Normal"/>
    <w:link w:val="EndNoteBibliographyChar"/>
    <w:rsid w:val="001A7B2D"/>
    <w:pPr>
      <w:autoSpaceDE w:val="1"/>
      <w:autoSpaceDN w:val="1"/>
      <w:spacing w:after="160" w:line="240" w:lineRule="auto"/>
      <w:ind w:firstLine="0"/>
      <w:jc w:val="left"/>
    </w:pPr>
    <w:rPr>
      <w:rFonts w:eastAsiaTheme="minorHAnsi"/>
      <w:noProof w:val="1"/>
      <w:kern w:val="2"/>
      <w:sz w:val="24"/>
      <w:szCs w:val="24"/>
      <w:lang w:val="en-US"/>
    </w:rPr>
  </w:style>
  <w:style w:type="character" w:styleId="EndNoteBibliographyChar" w:customStyle="1">
    <w:name w:val="EndNote Bibliography Char"/>
    <w:basedOn w:val="Standardstycketeckensnitt"/>
    <w:link w:val="EndNoteBibliography"/>
    <w:rsid w:val="001A7B2D"/>
    <w:rPr>
      <w:rFonts w:eastAsiaTheme="minorHAnsi"/>
      <w:noProof w:val="1"/>
      <w:kern w:val="2"/>
      <w:sz w:val="24"/>
      <w:szCs w:val="24"/>
      <w:lang w:eastAsia="en-US" w:val="en-US"/>
    </w:rPr>
  </w:style>
  <w:style w:type="character" w:styleId="Rubrik2Char" w:customStyle="1">
    <w:name w:val="Rubrik 2 Char"/>
    <w:aliases w:val="Head 1 Char"/>
    <w:basedOn w:val="Standardstycketeckensnitt"/>
    <w:link w:val="Rubrik2"/>
    <w:rsid w:val="00BC065B"/>
    <w:rPr>
      <w:b w:val="1"/>
      <w:kern w:val="28"/>
      <w:sz w:val="28"/>
      <w:szCs w:val="32"/>
      <w:lang w:eastAsia="en-US" w:val="en-GB"/>
    </w:rPr>
  </w:style>
  <w:style w:type="paragraph" w:styleId="EndNoteBibliographyTitle" w:customStyle="1">
    <w:name w:val="EndNote Bibliography Title"/>
    <w:basedOn w:val="Normal"/>
    <w:link w:val="EndNoteBibliographyTitleChar"/>
    <w:rsid w:val="00D23D38"/>
    <w:pPr>
      <w:jc w:val="center"/>
    </w:pPr>
    <w:rPr>
      <w:noProof w:val="1"/>
      <w:sz w:val="24"/>
      <w:lang w:val="en-US"/>
    </w:rPr>
  </w:style>
  <w:style w:type="character" w:styleId="ReferencesChar" w:customStyle="1">
    <w:name w:val="References Char"/>
    <w:basedOn w:val="BrdtextChar"/>
    <w:link w:val="References"/>
    <w:rsid w:val="00D23D38"/>
    <w:rPr>
      <w:sz w:val="24"/>
      <w:szCs w:val="28"/>
      <w:lang w:eastAsia="en-US" w:val="en-GB"/>
    </w:rPr>
  </w:style>
  <w:style w:type="character" w:styleId="EndNoteBibliographyTitleChar" w:customStyle="1">
    <w:name w:val="EndNote Bibliography Title Char"/>
    <w:basedOn w:val="ReferencesChar"/>
    <w:link w:val="EndNoteBibliographyTitle"/>
    <w:rsid w:val="00D23D38"/>
    <w:rPr>
      <w:noProof w:val="1"/>
      <w:sz w:val="24"/>
      <w:szCs w:val="28"/>
      <w:lang w:eastAsia="en-US" w:val="en-US"/>
    </w:rPr>
  </w:style>
  <w:style w:type="table" w:styleId="Tabellrutnt">
    <w:name w:val="Table Grid"/>
    <w:basedOn w:val="Normaltabell"/>
    <w:rsid w:val="00DB4E3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07/s11858-015-0689-0" TargetMode="External"/><Relationship Id="rId10" Type="http://schemas.openxmlformats.org/officeDocument/2006/relationships/hyperlink" Target="https://doi.org/10.1080/14926150802169263"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07/s10649-014-9556-0"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FBNT3UEGorahGH3ZQFslEP++w==">CgMxLjAyDmguOGw4Mmk5NHo3bmE0Mg5oLmsxbWI5bjI0eWhhazIOaC4xZzFnc2RndDZveGkyDmguemlqbmhmdWllNmJhMg5oLjVhemo0eDJuNm5iNjIOaC5wZmtwc2RmN3JmZm0yDmgucXdxajRvcTl0em53Mg5oLnJnNWg0OWUxOHo4MTgAciExMHUyamdDa0tlMHEyQU5wV3NKcFRGVXptNHJKUVFhUmI=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2025-12-01T18:58:00Z</dcterms:created>
  <dc:creator>Hanna Knutson</dc:creator>
</cp:coreProperties>
</file>