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Exploring Student Teachers’ Use of the History of Mathematics in Mathematics Education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Johanna Pejlare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of Gothenburg and Chalmers University of Technology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This paper examines how secondary school student teachers engage with the history of mathematics in their first university mathematics course. The analysis draws on lesson plans and questionnaire responses to explore how historical perspectives are integrated into instructional design and pedagogy. Lesson plans mainly use history through teacher presentations focused on well-known mathematicians or ancient cultures. History is typically employed as a tool to contextualize mathematics and motivate learners, though it is sometimes treated as a goal, fostering reflection and cultural literacy. Questionnaire data show generally positive attitudes, noting benefits for understanding, interest, and relevance. Overall, student teachers recognize the potential of history but need further support for meaningful and authentic integration.</w:t>
      </w:r>
    </w:p>
    <w:p w:rsidR="00000000" w:rsidDel="00000000" w:rsidP="00000000" w:rsidRDefault="00000000" w:rsidRPr="00000000" w14:paraId="00000005">
      <w:pPr>
        <w:pStyle w:val="Heading2"/>
        <w:rPr/>
      </w:pPr>
      <w:r w:rsidDel="00000000" w:rsidR="00000000" w:rsidRPr="00000000">
        <w:rPr>
          <w:rtl w:val="0"/>
        </w:rPr>
        <w:t xml:space="preserve">Introduction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integration of the history of mathematics into mathematics education has gained increasing attention in recent decades (Chorlay et al., 2022; Clark et al., 2016). Advocates argue that historical perspectives provide significant pedagogical value, enriching both the teaching and learning of mathematics. This approach is based on the idea that presenting mathematical developments within their historical context can deepen understanding, humanize the subject, and promote more meaningful engagement. Rather than presenting mathematics as a static and decontextualized set of rules and procedures, historical approaches reveal its dynamic and evolving nature, shaped by diverse cultures, real-world problems, and human creativity (Fauvel, 1991). Empirical studies show that historical materials foster conceptual understanding and positive attitudes. Jahnke et al. (2000) and Tzanakis et al. (2000) found that students exposed to history-infused curricula often demonstrate increased motivation and deeper engagement with mathematical ideas. Additionally, historical perspectives are thought to bridge educational levels and strengthen coherent, reflective teacher knowledge (Vinerean et al., 2023). Despite these benefits, challenges remain in teacher preparation, curricular integration, and access to suitable resources.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In practice, the history of mathematics can be integrated into teaching through historical problems, original sources, narratives of discovery, biographies of mathematicians, or by reconstructing historical methods and proofs. These approaches enrich learning by revealing the contingent, non-linear, and often contested development of mathematical concepts, challenging the view of mathematics as fixed and immutable. However, Fried (2001) and Jahnke et al. (2000) stress that these methods require careful handling: without attention to context, there is a risk of trivializing or distorting history, while a more sensitive use of sources can encourage deeper reflection on mathematics as a human, cultural, and evolving activity. A meaningful integration therefore requires balancing curricular demands with a historically informed approach that preserves the integrity of the past (Fried, 2001).</w:t>
      </w:r>
    </w:p>
    <w:p w:rsidR="00000000" w:rsidDel="00000000" w:rsidP="00000000" w:rsidRDefault="00000000" w:rsidRPr="00000000" w14:paraId="00000008">
      <w:pPr>
        <w:ind w:firstLine="425"/>
        <w:jc w:val="both"/>
        <w:rPr>
          <w:sz w:val="26"/>
          <w:szCs w:val="26"/>
        </w:rPr>
      </w:pPr>
      <w:r w:rsidDel="00000000" w:rsidR="00000000" w:rsidRPr="00000000">
        <w:rPr>
          <w:sz w:val="26"/>
          <w:szCs w:val="26"/>
          <w:rtl w:val="0"/>
        </w:rPr>
        <w:t xml:space="preserve">This paper aims to examine how secondary school student teachers engage with the history of mathematics in a first-year university mathematics course and how this engagement is reflected in their pedagogical thinking and instructional design. Specifically, it investigates how student teachers incorporate historical perspectives in lesson planning and how they perceive the relevance and impact of the history of mathematics in teacher education and in school.</w:t>
      </w:r>
    </w:p>
    <w:p w:rsidR="00000000" w:rsidDel="00000000" w:rsidP="00000000" w:rsidRDefault="00000000" w:rsidRPr="00000000" w14:paraId="00000009">
      <w:pPr>
        <w:jc w:val="both"/>
        <w:rPr>
          <w:b w:val="1"/>
          <w:bCs w:val="1"/>
          <w:sz w:val="28"/>
          <w:szCs w:val="28"/>
        </w:rPr>
      </w:pPr>
      <w:r w:rsidDel="00000000" w:rsidR="00000000" w:rsidRPr="00000000">
        <w:rPr>
          <w:rtl w:val="0"/>
        </w:rPr>
      </w:r>
    </w:p>
    <w:p w:rsidR="00000000" w:rsidDel="00000000" w:rsidP="00000000" w:rsidRDefault="00000000" w:rsidRPr="00000000" w14:paraId="0000000A">
      <w:pPr>
        <w:rPr>
          <w:b w:val="1"/>
          <w:bCs w:val="1"/>
          <w:sz w:val="28"/>
          <w:szCs w:val="28"/>
        </w:rPr>
      </w:pPr>
      <w:r w:rsidDel="00000000" w:rsidR="00000000" w:rsidRPr="00000000">
        <w:rPr>
          <w:b w:val="1"/>
          <w:bCs w:val="1"/>
          <w:sz w:val="28"/>
          <w:szCs w:val="28"/>
          <w:rtl w:val="0"/>
        </w:rPr>
        <w:t xml:space="preserve">History of mathematics in the Swedish curricula</w:t>
      </w:r>
    </w:p>
    <w:p w:rsidR="00000000" w:rsidDel="00000000" w:rsidP="00000000" w:rsidRDefault="00000000" w:rsidRPr="00000000" w14:paraId="0000000B">
      <w:pPr>
        <w:jc w:val="both"/>
        <w:rPr>
          <w:sz w:val="26"/>
          <w:szCs w:val="26"/>
        </w:rPr>
      </w:pPr>
      <w:r w:rsidDel="00000000" w:rsidR="00000000" w:rsidRPr="00000000">
        <w:rPr>
          <w:sz w:val="26"/>
          <w:szCs w:val="26"/>
          <w:rtl w:val="0"/>
        </w:rPr>
        <w:t xml:space="preserve">The history of mathematics is addressed in both compulsory and upper secondary school curricula, though with different emphasis. In compulsory school, Lgr22 highlights the long, multicultural development of mathematics and its roots in practical needs and human curiosity (Skolverket, 2022). The aims state that teaching should help pupils understand historical contexts of mathematical ideas and reflect on mathematics in everyday life and history. In the core content, history appears in years 1–6 through number symbols and systems from different cultures but is absent in years 7–9. In upper secondary school, Gy25 repeats Lgr22’s introductory wording (Skolverket, 2025) but expands the aims to include “professional, societal, and historical contexts.” History of mathematics also appears in the core content as an orientation on aspects such as concepts, events, mathematicians, or historical problems. Overall, the curricula differ in emphasis: Lgr22 introduces historical perspectives broadly and concretely in the early years but omits them later, while Gy25 integrates historical content throughout, specifying examples of mathematical concepts, events, persons, or problems.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bCs w:val="1"/>
          <w:sz w:val="28"/>
          <w:szCs w:val="28"/>
        </w:rPr>
      </w:pPr>
      <w:r w:rsidDel="00000000" w:rsidR="00000000" w:rsidRPr="00000000">
        <w:rPr>
          <w:b w:val="1"/>
          <w:bCs w:val="1"/>
          <w:sz w:val="28"/>
          <w:szCs w:val="28"/>
          <w:rtl w:val="0"/>
        </w:rPr>
        <w:t xml:space="preserve">History as a tool and history as a goal</w:t>
      </w:r>
    </w:p>
    <w:p w:rsidR="00000000" w:rsidDel="00000000" w:rsidP="00000000" w:rsidRDefault="00000000" w:rsidRPr="00000000" w14:paraId="0000000E">
      <w:pPr>
        <w:jc w:val="both"/>
        <w:rPr>
          <w:sz w:val="26"/>
          <w:szCs w:val="26"/>
        </w:rPr>
      </w:pPr>
      <w:r w:rsidDel="00000000" w:rsidR="00000000" w:rsidRPr="00000000">
        <w:rPr>
          <w:sz w:val="26"/>
          <w:szCs w:val="26"/>
          <w:rtl w:val="0"/>
        </w:rPr>
        <w:t xml:space="preserve">Jankvist (2009) provides a useful framework for understanding the roles that history can play in mathematics education, distinguishing between </w:t>
      </w:r>
      <w:r w:rsidDel="00000000" w:rsidR="00000000" w:rsidRPr="00000000">
        <w:rPr>
          <w:i w:val="1"/>
          <w:iCs w:val="1"/>
          <w:sz w:val="26"/>
          <w:szCs w:val="26"/>
          <w:rtl w:val="0"/>
        </w:rPr>
        <w:t xml:space="preserve">history as a tool</w:t>
      </w:r>
      <w:r w:rsidDel="00000000" w:rsidR="00000000" w:rsidRPr="00000000">
        <w:rPr>
          <w:sz w:val="26"/>
          <w:szCs w:val="26"/>
          <w:rtl w:val="0"/>
        </w:rPr>
        <w:t xml:space="preserve"> and </w:t>
      </w:r>
      <w:r w:rsidDel="00000000" w:rsidR="00000000" w:rsidRPr="00000000">
        <w:rPr>
          <w:i w:val="1"/>
          <w:iCs w:val="1"/>
          <w:sz w:val="26"/>
          <w:szCs w:val="26"/>
          <w:rtl w:val="0"/>
        </w:rPr>
        <w:t xml:space="preserve">history as a goal</w:t>
      </w:r>
      <w:r w:rsidDel="00000000" w:rsidR="00000000" w:rsidRPr="00000000">
        <w:rPr>
          <w:sz w:val="26"/>
          <w:szCs w:val="26"/>
          <w:rtl w:val="0"/>
        </w:rPr>
        <w:t xml:space="preserve">. When used as a tool, historical material supports the learning of specific mathematical content by enhancing conceptual understanding and providing motivation. It involves leveraging historical context to deepen students’ engagement with mathematical ideas. By examining the original problems that prompted key discoveries, students can gain insight into the reasoning behind the methods. For instance, introducing irrational numbers through the historical shock experienced by the Pythagoreans can make the concept both more meaningful and memorable. History can also help address misconceptions, as the challenges faced by mathematicians in the past sometimes mirror those encountered by students today. By retracing the development of mathematical ideas, students are encouraged to think critically and develop a more flexible understanding of concepts. </w:t>
      </w:r>
    </w:p>
    <w:p w:rsidR="00000000" w:rsidDel="00000000" w:rsidP="00000000" w:rsidRDefault="00000000" w:rsidRPr="00000000" w14:paraId="0000000F">
      <w:pPr>
        <w:ind w:firstLine="425"/>
        <w:jc w:val="both"/>
        <w:rPr>
          <w:sz w:val="26"/>
          <w:szCs w:val="26"/>
        </w:rPr>
      </w:pPr>
      <w:r w:rsidDel="00000000" w:rsidR="00000000" w:rsidRPr="00000000">
        <w:rPr>
          <w:sz w:val="26"/>
          <w:szCs w:val="26"/>
          <w:rtl w:val="0"/>
        </w:rPr>
        <w:t xml:space="preserve">As a goal, on the other hand, history promotes broader educational objectives, including critical thinking, cultural literacy, and a reflective perspective on mathematics as a discipline. While mathematics is often presented as a set of fixed truths, examining its historical development reveals it as a human endeavour characterized by trial and error, creativity, and cultural diversity. Through the study of historical developments, students can understand that concepts such as zero, negative numbers, or functions did not emerge instantaneously – they evolved through struggle, debate, and discovery. In this way, history humanizes mathematics and fosters a sense of connection to the individuals behind the ideas, positioning mathematics as part of our intellectual heritage rather than merely a set of rules to be memorized. </w:t>
      </w:r>
    </w:p>
    <w:p w:rsidR="00000000" w:rsidDel="00000000" w:rsidP="00000000" w:rsidRDefault="00000000" w:rsidRPr="00000000" w14:paraId="00000010">
      <w:pPr>
        <w:ind w:firstLine="425"/>
        <w:jc w:val="both"/>
        <w:rPr>
          <w:sz w:val="26"/>
          <w:szCs w:val="26"/>
        </w:rPr>
      </w:pPr>
      <w:r w:rsidDel="00000000" w:rsidR="00000000" w:rsidRPr="00000000">
        <w:rPr>
          <w:sz w:val="26"/>
          <w:szCs w:val="26"/>
          <w:rtl w:val="0"/>
        </w:rPr>
        <w:t xml:space="preserve">This dual perspective of history as a tool and history as a goal is especially valuable in teacher education, where the development of both mathematical competence and pedagogical awareness is essential.</w:t>
      </w:r>
    </w:p>
    <w:p w:rsidR="00000000" w:rsidDel="00000000" w:rsidP="00000000" w:rsidRDefault="00000000" w:rsidRPr="00000000" w14:paraId="00000011">
      <w:pPr>
        <w:pStyle w:val="Heading2"/>
        <w:rPr/>
      </w:pPr>
      <w:r w:rsidDel="00000000" w:rsidR="00000000" w:rsidRPr="00000000">
        <w:rPr>
          <w:rtl w:val="0"/>
        </w:rPr>
        <w:t xml:space="preserve">Methodology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participants were secondary school mathematics student teachers enrolled in their first mathematics course in a teacher education program at a Swedish university. A total of 63 students participated in the course, which focused partly on geometry. Throughout the course, the history of mathematics was integrated in various ways. Lectures included a chronological overview of key mathematical developments across cultures and periods, such as geometry in ancient Egypt, Babylonia, China, and Greece. The introductory lecture also addressed the rationale for using history in teaching, framed through the concepts of “history as a goal” and “history as a tool.” In addition, students worked with original sources and historical problems in lectures and exercise classes, individually, in small groups, and in whole-class discussions. A core component allowed students to write a secondary-school geometry lesson plan incorporating historical content; those who completed this task received bonus points on the course exam.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At the end of the course, a voluntary questionnaire was distributed to collect students’ reflections on their experiences with the history of mathematics. The questionnaire contained seven items, two of which addressed another course and were excluded to maintain focus on the course studied here. Two items asked whether specific components – lectures on the history of geometry and writing lesson plans – were perceived as interesting. These were answered using a five-point Likert scale (from completely agree to completely disagree) and included optional free-text comments. Two further items invited reflections on the role of history in mathematics education and on how historical perspectives might be used in future teaching. Another item asked student teachers to rate their agreement with general statements about the history of mathematics using the same scale. Of the 63 students enrolled, 44 submitted a geometry lesson plan and 20 completed the questionnaire. This paper analyses both the questionnaire responses and the 44 lesson plans.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Analysis of Lesson Plans and Questionnaire Responses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historical components of the geometry lesson plans were analysed qualitatively using the didactical questions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What?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How?</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to examine the stated purposes, historical content, and the teaching approaches. This triadic structure aligns conceptually with Shulman’s (1986) framework of teacher knowledge – curricular, content, and pedagogical – providing a systematic way to investigate the rationale, substance, and form of teaching. It was therefore well suited to identify the student teachers’ reasons for including historical content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why</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 aspects of the history of mathematics they addressed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what</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and the ways in which these were incorporated into the lesson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how</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 analysis of the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how</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was further guided by Jankvist’s (2009) distinction between history as a tool and history as a goal in mathematics education.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To enhance reliability, the lesson plans were read multiple times and coded iteratively, with the coding scheme refined as the analysis progressed. As the researcher was also the course instructor, reflexivity was emphasized to ensure transparency and reduce potential bias. Each lesson plan had also been peer reviewed by two fellow students, and these comments were considered in the analysis, providing complementary perspectives that supported the consistency and credibility of the interpretations.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Open-ended responses of four questionnaire items were analysed using reflexive thematic analysis (Braun &amp; Clarke, 2006). Data were coded inductively to identify patterns in students’ perceptions, experiences, and beliefs regarding the role of history in mathematics education. Themes were iteratively developed to capture descriptive and interpretive meanings, focusing on students’ understanding of mathematics, pedagogical perspectives, and future teaching intentions. In addition, one questionnaire item containing statements about the history of mathematics, to which student teachers indicated their level of agreement, was analysed using descriptive statistics.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By combining the lesson plan analysis with the questionnaire analysis, the study aims to provide a comprehensive understanding of how secondary student teachers engage with the history of mathematics and how this engagement is reflected in their pedagogical thinking and instructional design.</w:t>
      </w:r>
    </w:p>
    <w:p w:rsidR="00000000" w:rsidDel="00000000" w:rsidP="00000000" w:rsidRDefault="00000000" w:rsidRPr="00000000" w14:paraId="0000001A">
      <w:pPr>
        <w:pStyle w:val="Heading2"/>
        <w:rPr/>
      </w:pPr>
      <w:r w:rsidDel="00000000" w:rsidR="00000000" w:rsidRPr="00000000">
        <w:rPr>
          <w:rtl w:val="0"/>
        </w:rPr>
        <w:t xml:space="preserve">Results</w:t>
      </w:r>
    </w:p>
    <w:p w:rsidR="00000000" w:rsidDel="00000000" w:rsidP="00000000" w:rsidRDefault="00000000" w:rsidRPr="00000000" w14:paraId="0000001B">
      <w:pPr>
        <w:jc w:val="both"/>
        <w:rPr>
          <w:sz w:val="26"/>
          <w:szCs w:val="26"/>
        </w:rPr>
      </w:pPr>
      <w:r w:rsidDel="00000000" w:rsidR="00000000" w:rsidRPr="00000000">
        <w:rPr>
          <w:sz w:val="26"/>
          <w:szCs w:val="26"/>
          <w:rtl w:val="0"/>
        </w:rPr>
        <w:t xml:space="preserve">The presentation of results begins with the results of the analysis of the lesson plans and is subsequently followed by the results of the analysis of the questionnaire data. </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sz w:val="26"/>
          <w:szCs w:val="26"/>
        </w:rPr>
      </w:pPr>
      <w:r w:rsidDel="00000000" w:rsidR="00000000" w:rsidRPr="00000000">
        <w:rPr>
          <w:b w:val="1"/>
          <w:bCs w:val="1"/>
          <w:sz w:val="26"/>
          <w:szCs w:val="26"/>
          <w:rtl w:val="0"/>
        </w:rPr>
        <w:t xml:space="preserve">Lesson plans</w:t>
      </w:r>
    </w:p>
    <w:p w:rsidR="00000000" w:rsidDel="00000000" w:rsidP="00000000" w:rsidRDefault="00000000" w:rsidRPr="00000000" w14:paraId="0000001E">
      <w:pPr>
        <w:jc w:val="both"/>
        <w:rPr>
          <w:b w:val="1"/>
          <w:bCs w:val="1"/>
          <w:i w:val="1"/>
          <w:iCs w:val="1"/>
          <w:sz w:val="26"/>
          <w:szCs w:val="26"/>
        </w:rPr>
      </w:pPr>
      <w:r w:rsidDel="00000000" w:rsidR="00000000" w:rsidRPr="00000000">
        <w:rPr>
          <w:b w:val="1"/>
          <w:bCs w:val="1"/>
          <w:i w:val="1"/>
          <w:iCs w:val="1"/>
          <w:sz w:val="26"/>
          <w:szCs w:val="26"/>
          <w:rtl w:val="0"/>
        </w:rPr>
        <w:t xml:space="preserve">Why? </w:t>
      </w:r>
      <w:r w:rsidDel="00000000" w:rsidR="00000000" w:rsidRPr="00000000">
        <w:rPr>
          <w:sz w:val="26"/>
          <w:szCs w:val="26"/>
          <w:rtl w:val="0"/>
        </w:rPr>
        <w:t xml:space="preserve">Of the 44 lesson plans, 11 were designed for lower secondary school (Grades 7–9) and 33 for upper secondary school (Grades 10–12). In all but six lesson plans, references were made to the curriculum to justify the inclusion of history in the lessons (Skolverket, 2022; 2025). Seven plans explicitly referred to both the aims and the core content related to the history of mathematics. Nineteen referred only to the aims, emphasizing that pupils should develop knowledge of historical concepts and methods to understand and reflect on the role of mathematics in everyday life, as well as its influence on society throughout history. Moreover, twelve lesson plans referred only to the core content, focusing on some aspect of the history of mathematics, such as a historical mathematician or the development of a concept. Among the six lesson plans that did not reference the curriculum, three provided no motivation for including historical material. The last three lesson plans refer more generally to using the history of mathematics to spark students’ interest, provide context that illustrates the practical applications of mathematics throughout history, and develop students’ understanding of mathematics.</w:t>
      </w:r>
      <w:r w:rsidDel="00000000" w:rsidR="00000000" w:rsidRPr="00000000">
        <w:rPr>
          <w:rtl w:val="0"/>
        </w:rPr>
      </w:r>
    </w:p>
    <w:p w:rsidR="00000000" w:rsidDel="00000000" w:rsidP="00000000" w:rsidRDefault="00000000" w:rsidRPr="00000000" w14:paraId="0000001F">
      <w:pPr>
        <w:jc w:val="both"/>
        <w:rPr>
          <w:b w:val="1"/>
          <w:bCs w:val="1"/>
          <w:i w:val="1"/>
          <w:iCs w:val="1"/>
        </w:rPr>
      </w:pPr>
      <w:r w:rsidDel="00000000" w:rsidR="00000000" w:rsidRPr="00000000">
        <w:rPr>
          <w:rtl w:val="0"/>
        </w:rPr>
      </w:r>
    </w:p>
    <w:p w:rsidR="00000000" w:rsidDel="00000000" w:rsidP="00000000" w:rsidRDefault="00000000" w:rsidRPr="00000000" w14:paraId="00000020">
      <w:pPr>
        <w:jc w:val="both"/>
        <w:rPr>
          <w:b w:val="1"/>
          <w:bCs w:val="1"/>
          <w:i w:val="1"/>
          <w:iCs w:val="1"/>
          <w:sz w:val="26"/>
          <w:szCs w:val="26"/>
        </w:rPr>
      </w:pPr>
      <w:r w:rsidDel="00000000" w:rsidR="00000000" w:rsidRPr="00000000">
        <w:rPr>
          <w:b w:val="1"/>
          <w:bCs w:val="1"/>
          <w:i w:val="1"/>
          <w:iCs w:val="1"/>
          <w:sz w:val="26"/>
          <w:szCs w:val="26"/>
          <w:rtl w:val="0"/>
        </w:rPr>
        <w:t xml:space="preserve">What? </w:t>
      </w:r>
      <w:r w:rsidDel="00000000" w:rsidR="00000000" w:rsidRPr="00000000">
        <w:rPr>
          <w:sz w:val="26"/>
          <w:szCs w:val="26"/>
          <w:rtl w:val="0"/>
        </w:rPr>
        <w:t xml:space="preserve">The topics addressed in the mathematics lesson plans varied considerably. Twenty-nine plans focused on the Pythagorean theorem; five examined the measurement of circumference, area, or volume in various geometric figures; three dealt with similarity; three with the inscribed angle theorem; two with coordinate systems; and two with geometric proofs and constructions using ruler and compass. All the lesson plans incorporated some element of the history of mathematics. Most commonly, they included biographical or contextual information about significant historical mathematicians: thirty-two plans presented accounts of Pythagoras’s life and work, four referred to Archimedes, three to Euclid, and three to Thales. In addition, Descartes and Eratosthenes were each mentioned by two students, while one student included Newton’s contributions and another centred an entire lesson on the work of Aristarchus. The use of mathematics in historical civilizations such as Ancient Egypt, Babylonia, Ancient Greece, and Ancient China appeared in 21 of the lesson plans. Some students incorporated only general information about the lives or work of historical mathematicians, whereas others integrated their mathematical contributions more substantively into the lesson content. Notably, none of the students referenced female mathematicians or their contributions.</w:t>
      </w:r>
      <w:r w:rsidDel="00000000" w:rsidR="00000000" w:rsidRPr="00000000">
        <w:rPr>
          <w:rtl w:val="0"/>
        </w:rPr>
      </w:r>
    </w:p>
    <w:p w:rsidR="00000000" w:rsidDel="00000000" w:rsidP="00000000" w:rsidRDefault="00000000" w:rsidRPr="00000000" w14:paraId="00000021">
      <w:pPr>
        <w:ind w:firstLine="425"/>
        <w:jc w:val="both"/>
        <w:rPr>
          <w:sz w:val="26"/>
          <w:szCs w:val="26"/>
        </w:rPr>
      </w:pPr>
      <w:r w:rsidDel="00000000" w:rsidR="00000000" w:rsidRPr="00000000">
        <w:rPr>
          <w:sz w:val="26"/>
          <w:szCs w:val="26"/>
          <w:rtl w:val="0"/>
        </w:rPr>
        <w:t xml:space="preserve">Even though the lesson plans are short and concise, some of them include wrong historical facts. One common misunderstanding is that Pythagoras came up with Pythagoras theorem, and this misconception is presented as a fact in four of the 44 lesson plans. Other inaccuracies included a misleading description of Archimedes’ method of exhaustion and the claim that a Babylonian proof of the Pythagorean theorem exists, although no such proof is known. </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bCs w:val="1"/>
          <w:i w:val="1"/>
          <w:iCs w:val="1"/>
          <w:sz w:val="26"/>
          <w:szCs w:val="26"/>
        </w:rPr>
      </w:pPr>
      <w:r w:rsidDel="00000000" w:rsidR="00000000" w:rsidRPr="00000000">
        <w:rPr>
          <w:b w:val="1"/>
          <w:bCs w:val="1"/>
          <w:i w:val="1"/>
          <w:iCs w:val="1"/>
          <w:sz w:val="26"/>
          <w:szCs w:val="26"/>
          <w:rtl w:val="0"/>
        </w:rPr>
        <w:t xml:space="preserve">How? </w:t>
      </w:r>
      <w:r w:rsidDel="00000000" w:rsidR="00000000" w:rsidRPr="00000000">
        <w:rPr>
          <w:sz w:val="26"/>
          <w:szCs w:val="26"/>
          <w:rtl w:val="0"/>
        </w:rPr>
        <w:t xml:space="preserve">The lesson plans share a broadly similar structure, beginning with an introduction, followed by descriptions of student activities and, with eight exceptions, ending with student reflections, a joint discussion, or a teacher-led summary. All but two lesson plans incorporated some form of group work, Think–Pair–Share activities, or hands-on tasks, such as measuring the circumference, area, and volume of concrete objects, cutting and assembling the squares on the sides of a right-angled triangle, or searching for and examining right-angled triangles in the classroom. In all but two lesson plans, the history of mathematics is not explicitly included in the students’ own work; it is either placed at the beginning or end of the lesson when the teacher gives a presentation or shows a short film. Typically, a significant historical mathematician or an ancient culture is introduced. These presentations provide biographical background and describe the mathematician’s work and discoveries, offering historical context and linking the history of mathematics to the lesson’s mathematical content. In one of the two remaining lesson plans, students explore, in one activity, how the Pythagorean theorem appeared in different cultures, how mathematics may have developed before modern methods, and why right-angled triangles were culturally important. The final lesson plan centres on a historical problem on similarity, with the teacher and students reconstructing the solution together. </w:t>
      </w:r>
      <w:r w:rsidDel="00000000" w:rsidR="00000000" w:rsidRPr="00000000">
        <w:rPr>
          <w:rtl w:val="0"/>
        </w:rPr>
      </w:r>
    </w:p>
    <w:p w:rsidR="00000000" w:rsidDel="00000000" w:rsidP="00000000" w:rsidRDefault="00000000" w:rsidRPr="00000000" w14:paraId="00000024">
      <w:pPr>
        <w:ind w:firstLine="425"/>
        <w:jc w:val="both"/>
        <w:rPr>
          <w:sz w:val="26"/>
          <w:szCs w:val="26"/>
        </w:rPr>
      </w:pPr>
      <w:r w:rsidDel="00000000" w:rsidR="00000000" w:rsidRPr="00000000">
        <w:rPr>
          <w:sz w:val="26"/>
          <w:szCs w:val="26"/>
          <w:rtl w:val="0"/>
        </w:rPr>
        <w:t xml:space="preserve">All lesson plans offer both a historical context and a connection to the mathematical content, though some emphasize one more than the other. Most lesson plans on Pythagoras’ theorem focus on context, with teachers lecturing on Pythagoras’ life or showing a film about him. One plan describes his belief that the universe was structured by whole numbers and ratios, the Pythagoreans’ strict dietary rules, and the punishment of a member after discovering that </w:t>
      </w:r>
      <m:oMath>
        <m:rad>
          <m:radPr>
            <m:degHide m:val="1"/>
            <m:ctrlPr>
              <w:rPr>
                <w:rFonts w:ascii="Cambria Math" w:cs="Cambria Math" w:eastAsia="Cambria Math" w:hAnsi="Cambria Math"/>
                <w:sz w:val="26"/>
                <w:szCs w:val="26"/>
              </w:rPr>
            </m:ctrlPr>
          </m:radPr>
          <m:e>
            <m:r>
              <w:rPr>
                <w:rFonts w:ascii="Cambria Math" w:cs="Cambria Math" w:eastAsia="Cambria Math" w:hAnsi="Cambria Math"/>
                <w:sz w:val="26"/>
                <w:szCs w:val="26"/>
              </w:rPr>
              <m:t xml:space="preserve">2</m:t>
            </m:r>
          </m:e>
        </m:rad>
      </m:oMath>
      <w:r w:rsidDel="00000000" w:rsidR="00000000" w:rsidRPr="00000000">
        <w:rPr>
          <w:sz w:val="26"/>
          <w:szCs w:val="26"/>
          <w:rtl w:val="0"/>
        </w:rPr>
        <w:t xml:space="preserve"> is irrational. Here, history functions as a tool: engaging narratives make the theorem more meaningful and memorable for students. This represents the most common use of history observed in the analysed lesson plans.</w:t>
      </w:r>
    </w:p>
    <w:p w:rsidR="00000000" w:rsidDel="00000000" w:rsidP="00000000" w:rsidRDefault="00000000" w:rsidRPr="00000000" w14:paraId="00000025">
      <w:pPr>
        <w:ind w:firstLine="425"/>
        <w:jc w:val="both"/>
        <w:rPr>
          <w:sz w:val="26"/>
          <w:szCs w:val="26"/>
        </w:rPr>
      </w:pPr>
      <w:r w:rsidDel="00000000" w:rsidR="00000000" w:rsidRPr="00000000">
        <w:rPr>
          <w:sz w:val="26"/>
          <w:szCs w:val="26"/>
          <w:rtl w:val="0"/>
        </w:rPr>
        <w:t xml:space="preserve">Another lesson plan, by contrast, focuses on mathematics in history and its connection to the lesson’s mathematical content (area of the circle). In this lesson plan, the teacher introduces the topic by lecturing on how mathematicians in ancient Egypt and Babylonia estimated the area of a circle, explains how Archimedes approximated </w:t>
      </w:r>
      <m:oMath>
        <m:r>
          <w:rPr>
            <w:rFonts w:ascii="Cambria Math" w:cs="Cambria Math" w:eastAsia="Cambria Math" w:hAnsi="Cambria Math"/>
            <w:sz w:val="26"/>
            <w:szCs w:val="26"/>
          </w:rPr>
          <m:t xml:space="preserve">π </m:t>
        </m:r>
      </m:oMath>
      <w:r w:rsidDel="00000000" w:rsidR="00000000" w:rsidRPr="00000000">
        <w:rPr>
          <w:sz w:val="26"/>
          <w:szCs w:val="26"/>
          <w:rtl w:val="0"/>
        </w:rPr>
        <w:t xml:space="preserve">using polygons, and describes how later mathematicians, such as Newton, calculated decimal expansions of </w:t>
      </w:r>
      <m:oMath>
        <m:r>
          <m:t>π</m:t>
        </m:r>
      </m:oMath>
      <w:r w:rsidDel="00000000" w:rsidR="00000000" w:rsidRPr="00000000">
        <w:rPr>
          <w:sz w:val="26"/>
          <w:szCs w:val="26"/>
          <w:rtl w:val="0"/>
        </w:rPr>
        <w:t xml:space="preserve">. This lesson plan presents a timeline of the historical development leading to the conceptualization of </w:t>
      </w:r>
      <m:oMath>
        <m:r>
          <m:t>π</m:t>
        </m:r>
      </m:oMath>
      <w:r w:rsidDel="00000000" w:rsidR="00000000" w:rsidRPr="00000000">
        <w:rPr>
          <w:sz w:val="26"/>
          <w:szCs w:val="26"/>
          <w:rtl w:val="0"/>
        </w:rPr>
        <w:t xml:space="preserve">. In this context, history is employed as a tool to support students’ understanding of the concept of </w:t>
      </w:r>
      <m:oMath>
        <m:r>
          <m:t>π</m:t>
        </m:r>
      </m:oMath>
      <w:r w:rsidDel="00000000" w:rsidR="00000000" w:rsidRPr="00000000">
        <w:rPr>
          <w:sz w:val="26"/>
          <w:szCs w:val="26"/>
          <w:rtl w:val="0"/>
        </w:rPr>
        <w:t xml:space="preserve">. At the same time, it serves as a goal by fostering cultural literacy and humanizing mathematics.</w:t>
      </w:r>
    </w:p>
    <w:p w:rsidR="00000000" w:rsidDel="00000000" w:rsidP="00000000" w:rsidRDefault="00000000" w:rsidRPr="00000000" w14:paraId="00000026">
      <w:pPr>
        <w:ind w:firstLine="425"/>
        <w:jc w:val="both"/>
        <w:rPr>
          <w:sz w:val="26"/>
          <w:szCs w:val="26"/>
        </w:rPr>
      </w:pPr>
      <w:r w:rsidDel="00000000" w:rsidR="00000000" w:rsidRPr="00000000">
        <w:rPr>
          <w:sz w:val="26"/>
          <w:szCs w:val="26"/>
          <w:rtl w:val="0"/>
        </w:rPr>
        <w:t xml:space="preserve">One of the two lesson plans on proofs and constructions links historical context to the mathematical content and highlights the influence of Euclid’s </w:t>
      </w:r>
      <w:r w:rsidDel="00000000" w:rsidR="00000000" w:rsidRPr="00000000">
        <w:rPr>
          <w:i w:val="1"/>
          <w:iCs w:val="1"/>
          <w:sz w:val="26"/>
          <w:szCs w:val="26"/>
          <w:rtl w:val="0"/>
        </w:rPr>
        <w:t xml:space="preserve">Elements</w:t>
      </w:r>
      <w:r w:rsidDel="00000000" w:rsidR="00000000" w:rsidRPr="00000000">
        <w:rPr>
          <w:sz w:val="26"/>
          <w:szCs w:val="26"/>
          <w:rtl w:val="0"/>
        </w:rPr>
        <w:t xml:space="preserve"> on the later development of mathematics and mathematics education. It focuses on Euclid’s axiomatic method, deductive proofs, and ruler-and-compass constructions. The introduction explains how the </w:t>
      </w:r>
      <w:r w:rsidDel="00000000" w:rsidR="00000000" w:rsidRPr="00000000">
        <w:rPr>
          <w:i w:val="1"/>
          <w:iCs w:val="1"/>
          <w:sz w:val="26"/>
          <w:szCs w:val="26"/>
          <w:rtl w:val="0"/>
        </w:rPr>
        <w:t xml:space="preserve">Elements</w:t>
      </w:r>
      <w:r w:rsidDel="00000000" w:rsidR="00000000" w:rsidRPr="00000000">
        <w:rPr>
          <w:sz w:val="26"/>
          <w:szCs w:val="26"/>
          <w:rtl w:val="0"/>
        </w:rPr>
        <w:t xml:space="preserve"> shaped mathematics education for over two millennia and established the modern standards for proof. This is one of only three lesson plans that include an image of an original source, in this case a historical edition of the </w:t>
      </w:r>
      <w:r w:rsidDel="00000000" w:rsidR="00000000" w:rsidRPr="00000000">
        <w:rPr>
          <w:i w:val="1"/>
          <w:iCs w:val="1"/>
          <w:sz w:val="26"/>
          <w:szCs w:val="26"/>
          <w:rtl w:val="0"/>
        </w:rPr>
        <w:t xml:space="preserve">Elements</w:t>
      </w:r>
      <w:r w:rsidDel="00000000" w:rsidR="00000000" w:rsidRPr="00000000">
        <w:rPr>
          <w:sz w:val="26"/>
          <w:szCs w:val="26"/>
          <w:rtl w:val="0"/>
        </w:rPr>
        <w:t xml:space="preserve">. The teacher also demonstrates a classical ruler-and-compass proof, followed by hands-on group work in which students construct geometric figures such as equilateral triangles. In this lesson, history serves as a goal by fostering critical thinking and a reflective view of mathematics as a human endeavour, while also functioning as a tool to motivate students, support learning, and encourage active engagement. </w:t>
      </w:r>
    </w:p>
    <w:p w:rsidR="00000000" w:rsidDel="00000000" w:rsidP="00000000" w:rsidRDefault="00000000" w:rsidRPr="00000000" w14:paraId="00000027">
      <w:pPr>
        <w:ind w:firstLine="425"/>
        <w:jc w:val="both"/>
        <w:rPr>
          <w:sz w:val="26"/>
          <w:szCs w:val="26"/>
        </w:rPr>
      </w:pPr>
      <w:r w:rsidDel="00000000" w:rsidR="00000000" w:rsidRPr="00000000">
        <w:rPr>
          <w:sz w:val="26"/>
          <w:szCs w:val="26"/>
          <w:rtl w:val="0"/>
        </w:rPr>
        <w:t xml:space="preserve">Finally, the only lesson plan entirely centred on the history of mathematics integrates history both as a learning tool and as a goal. Focusing on similarity, the lesson uses Aristarchus of Samos’s third-century BCE method for estimating the distances between the Earth, Moon, and Sun, making historical mathematics central to the activity. Rather than serving merely as motivation, the historical material forms the lesson’s structure, guiding students step by step through Aristarchus’s reasoning. Active engagement is encouraged through questioning and group and whole-class discussions. The plan also highlights the cultural and scientific context of mathematics, showing how geometric reasoning was used to understand humanity’s place in the universe. Overall, the lesson uses history to support understanding of similarity while also promoting reflective awareness of mathematics as a human, historically situated discipline.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sz w:val="26"/>
          <w:szCs w:val="26"/>
        </w:rPr>
      </w:pPr>
      <w:r w:rsidDel="00000000" w:rsidR="00000000" w:rsidRPr="00000000">
        <w:rPr>
          <w:b w:val="1"/>
          <w:bCs w:val="1"/>
          <w:sz w:val="26"/>
          <w:szCs w:val="26"/>
          <w:rtl w:val="0"/>
        </w:rPr>
        <w:t xml:space="preserve">Questionnaire</w:t>
      </w:r>
    </w:p>
    <w:p w:rsidR="00000000" w:rsidDel="00000000" w:rsidP="00000000" w:rsidRDefault="00000000" w:rsidRPr="00000000" w14:paraId="0000002A">
      <w:pPr>
        <w:jc w:val="both"/>
        <w:rPr>
          <w:sz w:val="26"/>
          <w:szCs w:val="26"/>
        </w:rPr>
      </w:pPr>
      <w:r w:rsidDel="00000000" w:rsidR="00000000" w:rsidRPr="00000000">
        <w:rPr>
          <w:sz w:val="26"/>
          <w:szCs w:val="26"/>
          <w:rtl w:val="0"/>
        </w:rPr>
        <w:t xml:space="preserve">Of the 20 student teachers who answered the questionnaire, 19 chose to write the lesson plan. Most agreed that including the history of mathematics in the lesson plan was meaningful, one neither agreed nor disagreed, and only two disagreed. Analysis of their reflections on this question revealed five distinct categories of responses: </w:t>
      </w:r>
    </w:p>
    <w:p w:rsidR="00000000" w:rsidDel="00000000" w:rsidP="00000000" w:rsidRDefault="00000000" w:rsidRPr="00000000" w14:paraId="0000002B">
      <w:pPr>
        <w:ind w:firstLine="425"/>
        <w:jc w:val="both"/>
        <w:rPr>
          <w:sz w:val="26"/>
          <w:szCs w:val="26"/>
        </w:rPr>
      </w:pPr>
      <w:r w:rsidDel="00000000" w:rsidR="00000000" w:rsidRPr="00000000">
        <w:rPr>
          <w:b w:val="1"/>
          <w:bCs w:val="1"/>
          <w:i w:val="1"/>
          <w:iCs w:val="1"/>
          <w:sz w:val="26"/>
          <w:szCs w:val="26"/>
          <w:rtl w:val="0"/>
        </w:rPr>
        <w:t xml:space="preserve">Added value for understanding and motivation</w:t>
      </w:r>
      <w:r w:rsidDel="00000000" w:rsidR="00000000" w:rsidRPr="00000000">
        <w:rPr>
          <w:sz w:val="26"/>
          <w:szCs w:val="26"/>
          <w:rtl w:val="0"/>
        </w:rPr>
        <w:t xml:space="preserve">: Several student teachers emphasize that the history of mathematics adds value to teaching by making the subject more vivid and interesting. One notes that history can give the teaching “a bit more flair” and contextualize abstract ideas. Others highlight that exploring historical elements, such as well-known mathematicians and discoveries, is rewarding and enjoyable.</w:t>
      </w:r>
    </w:p>
    <w:p w:rsidR="00000000" w:rsidDel="00000000" w:rsidP="00000000" w:rsidRDefault="00000000" w:rsidRPr="00000000" w14:paraId="0000002C">
      <w:pPr>
        <w:ind w:firstLine="425"/>
        <w:jc w:val="both"/>
        <w:rPr>
          <w:sz w:val="26"/>
          <w:szCs w:val="26"/>
        </w:rPr>
      </w:pPr>
      <w:r w:rsidDel="00000000" w:rsidR="00000000" w:rsidRPr="00000000">
        <w:rPr>
          <w:b w:val="1"/>
          <w:bCs w:val="1"/>
          <w:i w:val="1"/>
          <w:iCs w:val="1"/>
          <w:sz w:val="26"/>
          <w:szCs w:val="26"/>
          <w:rtl w:val="0"/>
        </w:rPr>
        <w:t xml:space="preserve">Relevance for students and engagement</w:t>
      </w:r>
      <w:r w:rsidDel="00000000" w:rsidR="00000000" w:rsidRPr="00000000">
        <w:rPr>
          <w:sz w:val="26"/>
          <w:szCs w:val="26"/>
          <w:rtl w:val="0"/>
        </w:rPr>
        <w:t xml:space="preserve">: Some student teachers discuss the perceived relevance and engagement of the history of mathematics for students. They note that interest varies across learner groups and question whether students aged 12–16 find historical aspects meaningful. In one case, the historical component was perceived as less valuable, as the lesson could have been carried out without it.</w:t>
      </w:r>
    </w:p>
    <w:p w:rsidR="00000000" w:rsidDel="00000000" w:rsidP="00000000" w:rsidRDefault="00000000" w:rsidRPr="00000000" w14:paraId="0000002D">
      <w:pPr>
        <w:ind w:firstLine="425"/>
        <w:jc w:val="both"/>
        <w:rPr>
          <w:sz w:val="26"/>
          <w:szCs w:val="26"/>
        </w:rPr>
      </w:pPr>
      <w:r w:rsidDel="00000000" w:rsidR="00000000" w:rsidRPr="00000000">
        <w:rPr>
          <w:b w:val="1"/>
          <w:bCs w:val="1"/>
          <w:i w:val="1"/>
          <w:iCs w:val="1"/>
          <w:sz w:val="26"/>
          <w:szCs w:val="26"/>
          <w:rtl w:val="0"/>
        </w:rPr>
        <w:t xml:space="preserve">Planning and integration in teaching</w:t>
      </w:r>
      <w:r w:rsidDel="00000000" w:rsidR="00000000" w:rsidRPr="00000000">
        <w:rPr>
          <w:sz w:val="26"/>
          <w:szCs w:val="26"/>
          <w:rtl w:val="0"/>
        </w:rPr>
        <w:t xml:space="preserve">: Student teachers also reflect on the didactic challenges of integrating history. Several view lesson planning with historical elements as valuable and stress the need for inspiring and natural integration. At the same time, they note difficulties in deciding how much history to include, especially given the lack of clear curricular guidance.</w:t>
      </w:r>
    </w:p>
    <w:p w:rsidR="00000000" w:rsidDel="00000000" w:rsidP="00000000" w:rsidRDefault="00000000" w:rsidRPr="00000000" w14:paraId="0000002E">
      <w:pPr>
        <w:ind w:firstLine="425"/>
        <w:jc w:val="both"/>
        <w:rPr>
          <w:sz w:val="26"/>
          <w:szCs w:val="26"/>
        </w:rPr>
      </w:pPr>
      <w:r w:rsidDel="00000000" w:rsidR="00000000" w:rsidRPr="00000000">
        <w:rPr>
          <w:b w:val="1"/>
          <w:bCs w:val="1"/>
          <w:i w:val="1"/>
          <w:iCs w:val="1"/>
          <w:sz w:val="26"/>
          <w:szCs w:val="26"/>
          <w:rtl w:val="0"/>
        </w:rPr>
        <w:t xml:space="preserve">Time and practical constraints</w:t>
      </w:r>
      <w:r w:rsidDel="00000000" w:rsidR="00000000" w:rsidRPr="00000000">
        <w:rPr>
          <w:sz w:val="26"/>
          <w:szCs w:val="26"/>
          <w:rtl w:val="0"/>
        </w:rPr>
        <w:t xml:space="preserve">: A few student teachers mention time as a limitation. One notes that upper secondary mathematics courses are already time-constrained, making it difficult to allocate space for history, while another argues that historical content may reduce time for more complex topics of the course.</w:t>
      </w:r>
    </w:p>
    <w:p w:rsidR="00000000" w:rsidDel="00000000" w:rsidP="00000000" w:rsidRDefault="00000000" w:rsidRPr="00000000" w14:paraId="0000002F">
      <w:pPr>
        <w:ind w:firstLine="425"/>
        <w:jc w:val="both"/>
        <w:rPr>
          <w:sz w:val="26"/>
          <w:szCs w:val="26"/>
        </w:rPr>
      </w:pPr>
      <w:r w:rsidDel="00000000" w:rsidR="00000000" w:rsidRPr="00000000">
        <w:rPr>
          <w:b w:val="1"/>
          <w:bCs w:val="1"/>
          <w:i w:val="1"/>
          <w:iCs w:val="1"/>
          <w:sz w:val="26"/>
          <w:szCs w:val="26"/>
          <w:rtl w:val="0"/>
        </w:rPr>
        <w:t xml:space="preserve">Personal experience of the assignment</w:t>
      </w:r>
      <w:r w:rsidDel="00000000" w:rsidR="00000000" w:rsidRPr="00000000">
        <w:rPr>
          <w:sz w:val="26"/>
          <w:szCs w:val="26"/>
          <w:rtl w:val="0"/>
        </w:rPr>
        <w:t xml:space="preserve">: Several student teachers focus on their own experience of completing the task rather than on the pedagogical role of history. Their comments emphasize enjoyment, interest, or a positive attitude toward the exercise itself, without explicit links to broader pedagogical issues.</w:t>
      </w:r>
    </w:p>
    <w:p w:rsidR="00000000" w:rsidDel="00000000" w:rsidP="00000000" w:rsidRDefault="00000000" w:rsidRPr="00000000" w14:paraId="00000030">
      <w:pPr>
        <w:ind w:firstLine="425"/>
        <w:jc w:val="both"/>
        <w:rPr>
          <w:sz w:val="26"/>
          <w:szCs w:val="26"/>
        </w:rPr>
      </w:pPr>
      <w:r w:rsidDel="00000000" w:rsidR="00000000" w:rsidRPr="00000000">
        <w:rPr>
          <w:sz w:val="26"/>
          <w:szCs w:val="26"/>
          <w:rtl w:val="0"/>
        </w:rPr>
        <w:t xml:space="preserve">In one questionnaire item, the student teachers were asked to indicate their level of agreement with statements concerning the history of mathematics. Table 1 presents a summary of their responses, which show that the student teachers are generally positive towards the inclusion of the history of mathematics in teaching.</w:t>
      </w:r>
    </w:p>
    <w:p w:rsidR="00000000" w:rsidDel="00000000" w:rsidP="00000000" w:rsidRDefault="00000000" w:rsidRPr="00000000" w14:paraId="00000031">
      <w:pPr>
        <w:ind w:firstLine="425"/>
        <w:jc w:val="both"/>
        <w:rPr>
          <w:sz w:val="26"/>
          <w:szCs w:val="26"/>
        </w:rPr>
      </w:pPr>
      <w:r w:rsidDel="00000000" w:rsidR="00000000" w:rsidRPr="00000000">
        <w:rPr>
          <w:rtl w:val="0"/>
        </w:rPr>
      </w:r>
    </w:p>
    <w:tbl>
      <w:tblPr>
        <w:tblStyle w:val="Table1"/>
        <w:tblW w:w="9782.0" w:type="dxa"/>
        <w:jc w:val="left"/>
        <w:tblInd w:w="-2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828"/>
        <w:gridCol w:w="1276"/>
        <w:gridCol w:w="1134"/>
        <w:gridCol w:w="1134"/>
        <w:gridCol w:w="1134"/>
        <w:gridCol w:w="1276"/>
        <w:tblGridChange w:id="0">
          <w:tblGrid>
            <w:gridCol w:w="3828"/>
            <w:gridCol w:w="1276"/>
            <w:gridCol w:w="1134"/>
            <w:gridCol w:w="1134"/>
            <w:gridCol w:w="1134"/>
            <w:gridCol w:w="1276"/>
          </w:tblGrid>
        </w:tblGridChange>
      </w:tblGrid>
      <w:tr>
        <w:trPr>
          <w:cantSplit w:val="0"/>
          <w:trHeight w:val="9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2">
            <w:pPr>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rPr>
                <w:sz w:val="22"/>
                <w:szCs w:val="22"/>
              </w:rPr>
            </w:pPr>
            <w:r w:rsidDel="00000000" w:rsidR="00000000" w:rsidRPr="00000000">
              <w:rPr>
                <w:sz w:val="22"/>
                <w:szCs w:val="22"/>
                <w:rtl w:val="0"/>
              </w:rPr>
              <w:t xml:space="preserve">Completely agree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4">
            <w:pPr>
              <w:rPr>
                <w:sz w:val="22"/>
                <w:szCs w:val="22"/>
              </w:rPr>
            </w:pPr>
            <w:r w:rsidDel="00000000" w:rsidR="00000000" w:rsidRPr="00000000">
              <w:rPr>
                <w:sz w:val="22"/>
                <w:szCs w:val="22"/>
                <w:rtl w:val="0"/>
              </w:rPr>
              <w:t xml:space="preserve">Agree to some extent</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rPr>
                <w:sz w:val="22"/>
                <w:szCs w:val="22"/>
              </w:rPr>
            </w:pPr>
            <w:r w:rsidDel="00000000" w:rsidR="00000000" w:rsidRPr="00000000">
              <w:rPr>
                <w:sz w:val="22"/>
                <w:szCs w:val="22"/>
                <w:rtl w:val="0"/>
              </w:rPr>
              <w:t xml:space="preserve">Neither agree nor disagree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rPr>
                <w:sz w:val="22"/>
                <w:szCs w:val="22"/>
              </w:rPr>
            </w:pPr>
            <w:r w:rsidDel="00000000" w:rsidR="00000000" w:rsidRPr="00000000">
              <w:rPr>
                <w:sz w:val="22"/>
                <w:szCs w:val="22"/>
                <w:rtl w:val="0"/>
              </w:rPr>
              <w:t xml:space="preserve">Disagree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rPr>
                <w:sz w:val="22"/>
                <w:szCs w:val="22"/>
              </w:rPr>
            </w:pPr>
            <w:r w:rsidDel="00000000" w:rsidR="00000000" w:rsidRPr="00000000">
              <w:rPr>
                <w:sz w:val="22"/>
                <w:szCs w:val="22"/>
                <w:rtl w:val="0"/>
              </w:rPr>
              <w:t xml:space="preserve">Completely disagree</w:t>
            </w:r>
          </w:p>
        </w:tc>
      </w:tr>
      <w:tr>
        <w:trPr>
          <w:cantSplit w:val="0"/>
          <w:trHeight w:val="3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8">
            <w:pPr>
              <w:rPr>
                <w:i w:val="1"/>
                <w:iCs w:val="1"/>
                <w:sz w:val="22"/>
                <w:szCs w:val="22"/>
              </w:rPr>
            </w:pPr>
            <w:r w:rsidDel="00000000" w:rsidR="00000000" w:rsidRPr="00000000">
              <w:rPr>
                <w:i w:val="1"/>
                <w:iCs w:val="1"/>
                <w:sz w:val="22"/>
                <w:szCs w:val="22"/>
                <w:rtl w:val="0"/>
              </w:rPr>
              <w:t xml:space="preserve">I think the history of mathematics is interesting.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rPr>
                <w:sz w:val="22"/>
                <w:szCs w:val="22"/>
              </w:rPr>
            </w:pPr>
            <w:r w:rsidDel="00000000" w:rsidR="00000000" w:rsidRPr="00000000">
              <w:rPr>
                <w:sz w:val="22"/>
                <w:szCs w:val="22"/>
                <w:rtl w:val="0"/>
              </w:rPr>
              <w:t xml:space="preserve">10 (50%)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A">
            <w:pPr>
              <w:rPr>
                <w:sz w:val="22"/>
                <w:szCs w:val="22"/>
              </w:rPr>
            </w:pPr>
            <w:r w:rsidDel="00000000" w:rsidR="00000000" w:rsidRPr="00000000">
              <w:rPr>
                <w:sz w:val="22"/>
                <w:szCs w:val="22"/>
                <w:rtl w:val="0"/>
              </w:rPr>
              <w:t xml:space="preserve">8 (40%)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rPr>
                <w:sz w:val="22"/>
                <w:szCs w:val="22"/>
              </w:rPr>
            </w:pPr>
            <w:r w:rsidDel="00000000" w:rsidR="00000000" w:rsidRPr="00000000">
              <w:rPr>
                <w:sz w:val="22"/>
                <w:szCs w:val="22"/>
                <w:rtl w:val="0"/>
              </w:rPr>
              <w:t xml:space="preserve">1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rPr>
                <w:sz w:val="22"/>
                <w:szCs w:val="22"/>
              </w:rPr>
            </w:pPr>
            <w:r w:rsidDel="00000000" w:rsidR="00000000" w:rsidRPr="00000000">
              <w:rPr>
                <w:sz w:val="22"/>
                <w:szCs w:val="22"/>
                <w:rtl w:val="0"/>
              </w:rPr>
              <w:t xml:space="preserve">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D">
            <w:pPr>
              <w:rPr>
                <w:sz w:val="22"/>
                <w:szCs w:val="22"/>
              </w:rPr>
            </w:pPr>
            <w:r w:rsidDel="00000000" w:rsidR="00000000" w:rsidRPr="00000000">
              <w:rPr>
                <w:sz w:val="22"/>
                <w:szCs w:val="22"/>
                <w:rtl w:val="0"/>
              </w:rPr>
              <w:t xml:space="preserve">1 (5%)</w:t>
            </w:r>
          </w:p>
        </w:tc>
      </w:tr>
      <w:tr>
        <w:trPr>
          <w:cantSplit w:val="0"/>
          <w:trHeight w:val="3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rPr>
                <w:i w:val="1"/>
                <w:iCs w:val="1"/>
                <w:sz w:val="22"/>
                <w:szCs w:val="22"/>
              </w:rPr>
            </w:pPr>
            <w:r w:rsidDel="00000000" w:rsidR="00000000" w:rsidRPr="00000000">
              <w:rPr>
                <w:i w:val="1"/>
                <w:iCs w:val="1"/>
                <w:sz w:val="22"/>
                <w:szCs w:val="22"/>
                <w:rtl w:val="0"/>
              </w:rPr>
              <w:t xml:space="preserve">I think it is important to gain knowledge of the history of mathematics.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F">
            <w:pPr>
              <w:rPr>
                <w:sz w:val="22"/>
                <w:szCs w:val="22"/>
              </w:rPr>
            </w:pPr>
            <w:r w:rsidDel="00000000" w:rsidR="00000000" w:rsidRPr="00000000">
              <w:rPr>
                <w:sz w:val="22"/>
                <w:szCs w:val="22"/>
                <w:rtl w:val="0"/>
              </w:rPr>
              <w:t xml:space="preserve">6 (30%)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rPr>
                <w:sz w:val="22"/>
                <w:szCs w:val="22"/>
              </w:rPr>
            </w:pPr>
            <w:r w:rsidDel="00000000" w:rsidR="00000000" w:rsidRPr="00000000">
              <w:rPr>
                <w:sz w:val="22"/>
                <w:szCs w:val="22"/>
                <w:rtl w:val="0"/>
              </w:rPr>
              <w:t xml:space="preserve">6 (30%)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rPr>
                <w:sz w:val="22"/>
                <w:szCs w:val="22"/>
              </w:rPr>
            </w:pPr>
            <w:r w:rsidDel="00000000" w:rsidR="00000000" w:rsidRPr="00000000">
              <w:rPr>
                <w:sz w:val="22"/>
                <w:szCs w:val="22"/>
                <w:rtl w:val="0"/>
              </w:rPr>
              <w:t xml:space="preserve">7 (35%)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rPr>
                <w:sz w:val="22"/>
                <w:szCs w:val="22"/>
              </w:rPr>
            </w:pPr>
            <w:r w:rsidDel="00000000" w:rsidR="00000000" w:rsidRPr="00000000">
              <w:rPr>
                <w:sz w:val="22"/>
                <w:szCs w:val="22"/>
                <w:rtl w:val="0"/>
              </w:rPr>
              <w:t xml:space="preserve">1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rPr>
                <w:sz w:val="22"/>
                <w:szCs w:val="22"/>
              </w:rPr>
            </w:pPr>
            <w:r w:rsidDel="00000000" w:rsidR="00000000" w:rsidRPr="00000000">
              <w:rPr>
                <w:sz w:val="22"/>
                <w:szCs w:val="22"/>
                <w:rtl w:val="0"/>
              </w:rPr>
              <w:t xml:space="preserve">0</w:t>
            </w:r>
          </w:p>
        </w:tc>
      </w:tr>
      <w:tr>
        <w:trPr>
          <w:cantSplit w:val="0"/>
          <w:trHeight w:val="3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rPr>
                <w:i w:val="1"/>
                <w:iCs w:val="1"/>
                <w:sz w:val="22"/>
                <w:szCs w:val="22"/>
              </w:rPr>
            </w:pPr>
            <w:r w:rsidDel="00000000" w:rsidR="00000000" w:rsidRPr="00000000">
              <w:rPr>
                <w:i w:val="1"/>
                <w:iCs w:val="1"/>
                <w:sz w:val="22"/>
                <w:szCs w:val="22"/>
                <w:rtl w:val="0"/>
              </w:rPr>
              <w:t xml:space="preserve">I feel motivated to learn more mathematics when I gain insight into the history of mathematics.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rPr>
                <w:sz w:val="22"/>
                <w:szCs w:val="22"/>
              </w:rPr>
            </w:pPr>
            <w:r w:rsidDel="00000000" w:rsidR="00000000" w:rsidRPr="00000000">
              <w:rPr>
                <w:sz w:val="22"/>
                <w:szCs w:val="22"/>
                <w:rtl w:val="0"/>
              </w:rPr>
              <w:t xml:space="preserve">7 (35%)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rPr>
                <w:sz w:val="22"/>
                <w:szCs w:val="22"/>
              </w:rPr>
            </w:pPr>
            <w:r w:rsidDel="00000000" w:rsidR="00000000" w:rsidRPr="00000000">
              <w:rPr>
                <w:sz w:val="22"/>
                <w:szCs w:val="22"/>
                <w:rtl w:val="0"/>
              </w:rPr>
              <w:t xml:space="preserve">4 (20%)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7">
            <w:pPr>
              <w:rPr>
                <w:sz w:val="22"/>
                <w:szCs w:val="22"/>
              </w:rPr>
            </w:pPr>
            <w:r w:rsidDel="00000000" w:rsidR="00000000" w:rsidRPr="00000000">
              <w:rPr>
                <w:sz w:val="22"/>
                <w:szCs w:val="22"/>
                <w:rtl w:val="0"/>
              </w:rPr>
              <w:t xml:space="preserve">4 (20%)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8">
            <w:pPr>
              <w:rPr>
                <w:sz w:val="22"/>
                <w:szCs w:val="22"/>
              </w:rPr>
            </w:pPr>
            <w:r w:rsidDel="00000000" w:rsidR="00000000" w:rsidRPr="00000000">
              <w:rPr>
                <w:sz w:val="22"/>
                <w:szCs w:val="22"/>
                <w:rtl w:val="0"/>
              </w:rPr>
              <w:t xml:space="preserve">3 (15%)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rPr>
                <w:sz w:val="22"/>
                <w:szCs w:val="22"/>
              </w:rPr>
            </w:pPr>
            <w:r w:rsidDel="00000000" w:rsidR="00000000" w:rsidRPr="00000000">
              <w:rPr>
                <w:sz w:val="22"/>
                <w:szCs w:val="22"/>
                <w:rtl w:val="0"/>
              </w:rPr>
              <w:t xml:space="preserve">2 (10%)</w:t>
            </w:r>
          </w:p>
        </w:tc>
      </w:tr>
      <w:tr>
        <w:trPr>
          <w:cantSplit w:val="0"/>
          <w:trHeight w:val="3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A">
            <w:pPr>
              <w:rPr>
                <w:i w:val="1"/>
                <w:iCs w:val="1"/>
                <w:sz w:val="22"/>
                <w:szCs w:val="22"/>
              </w:rPr>
            </w:pPr>
            <w:r w:rsidDel="00000000" w:rsidR="00000000" w:rsidRPr="00000000">
              <w:rPr>
                <w:i w:val="1"/>
                <w:iCs w:val="1"/>
                <w:sz w:val="22"/>
                <w:szCs w:val="22"/>
                <w:rtl w:val="0"/>
              </w:rPr>
              <w:t xml:space="preserve">Historical elements in the course deepened my understanding of its mathematics.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rPr>
                <w:sz w:val="22"/>
                <w:szCs w:val="22"/>
              </w:rPr>
            </w:pPr>
            <w:r w:rsidDel="00000000" w:rsidR="00000000" w:rsidRPr="00000000">
              <w:rPr>
                <w:sz w:val="22"/>
                <w:szCs w:val="22"/>
                <w:rtl w:val="0"/>
              </w:rPr>
              <w:t xml:space="preserve">5 (25%)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rPr>
                <w:sz w:val="22"/>
                <w:szCs w:val="22"/>
              </w:rPr>
            </w:pPr>
            <w:r w:rsidDel="00000000" w:rsidR="00000000" w:rsidRPr="00000000">
              <w:rPr>
                <w:sz w:val="22"/>
                <w:szCs w:val="22"/>
                <w:rtl w:val="0"/>
              </w:rPr>
              <w:t xml:space="preserve">6 (30%)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D">
            <w:pPr>
              <w:rPr>
                <w:sz w:val="22"/>
                <w:szCs w:val="22"/>
              </w:rPr>
            </w:pPr>
            <w:r w:rsidDel="00000000" w:rsidR="00000000" w:rsidRPr="00000000">
              <w:rPr>
                <w:sz w:val="22"/>
                <w:szCs w:val="22"/>
                <w:rtl w:val="0"/>
              </w:rPr>
              <w:t xml:space="preserve">2 (10%)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rPr>
                <w:sz w:val="22"/>
                <w:szCs w:val="22"/>
              </w:rPr>
            </w:pPr>
            <w:r w:rsidDel="00000000" w:rsidR="00000000" w:rsidRPr="00000000">
              <w:rPr>
                <w:sz w:val="22"/>
                <w:szCs w:val="22"/>
                <w:rtl w:val="0"/>
              </w:rPr>
              <w:t xml:space="preserve">7 (35%)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rPr>
                <w:sz w:val="22"/>
                <w:szCs w:val="22"/>
              </w:rPr>
            </w:pPr>
            <w:r w:rsidDel="00000000" w:rsidR="00000000" w:rsidRPr="00000000">
              <w:rPr>
                <w:sz w:val="22"/>
                <w:szCs w:val="22"/>
                <w:rtl w:val="0"/>
              </w:rPr>
              <w:t xml:space="preserve">0</w:t>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Table 1. Summary of student teachers’ responses.  </w:t>
      </w:r>
    </w:p>
    <w:p w:rsidR="00000000" w:rsidDel="00000000" w:rsidP="00000000" w:rsidRDefault="00000000" w:rsidRPr="00000000" w14:paraId="00000051">
      <w:pPr>
        <w:jc w:val="both"/>
        <w:rPr>
          <w:color w:val="000000"/>
        </w:rPr>
      </w:pPr>
      <w:r w:rsidDel="00000000" w:rsidR="00000000" w:rsidRPr="00000000">
        <w:rPr>
          <w:sz w:val="26"/>
          <w:szCs w:val="26"/>
          <w:rtl w:val="0"/>
        </w:rPr>
        <w:t xml:space="preserve">Reflections on the last three questionnaire items, addressing various aspects of the history of mathematics in education, were analysed collectively, resulting in four categories:</w:t>
      </w:r>
      <w:r w:rsidDel="00000000" w:rsidR="00000000" w:rsidRPr="00000000">
        <w:rPr>
          <w:color w:val="000000"/>
          <w:rtl w:val="0"/>
        </w:rPr>
        <w:t xml:space="preserve"> </w:t>
      </w:r>
    </w:p>
    <w:p w:rsidR="00000000" w:rsidDel="00000000" w:rsidP="00000000" w:rsidRDefault="00000000" w:rsidRPr="00000000" w14:paraId="00000052">
      <w:pPr>
        <w:ind w:firstLine="425"/>
        <w:jc w:val="both"/>
        <w:rPr>
          <w:sz w:val="26"/>
          <w:szCs w:val="26"/>
        </w:rPr>
      </w:pPr>
      <w:r w:rsidDel="00000000" w:rsidR="00000000" w:rsidRPr="00000000">
        <w:rPr>
          <w:b w:val="1"/>
          <w:bCs w:val="1"/>
          <w:i w:val="1"/>
          <w:iCs w:val="1"/>
          <w:sz w:val="26"/>
          <w:szCs w:val="26"/>
          <w:rtl w:val="0"/>
        </w:rPr>
        <w:t xml:space="preserve">History as motivation and interest</w:t>
      </w:r>
      <w:r w:rsidDel="00000000" w:rsidR="00000000" w:rsidRPr="00000000">
        <w:rPr>
          <w:sz w:val="26"/>
          <w:szCs w:val="26"/>
          <w:rtl w:val="0"/>
        </w:rPr>
        <w:t xml:space="preserve">: Student teachers often found the historical perspective motivating and engaging. It made mathematics feel more exciting and connected to the broader story of the subject. As one student noted, “You feel a bit cool when you connect your own calculations to those of the great mathematicians” showing how historical links can boost both interest and personal engagement.</w:t>
      </w:r>
    </w:p>
    <w:p w:rsidR="00000000" w:rsidDel="00000000" w:rsidP="00000000" w:rsidRDefault="00000000" w:rsidRPr="00000000" w14:paraId="00000053">
      <w:pPr>
        <w:ind w:firstLine="425"/>
        <w:jc w:val="both"/>
        <w:rPr>
          <w:sz w:val="26"/>
          <w:szCs w:val="26"/>
        </w:rPr>
      </w:pPr>
      <w:r w:rsidDel="00000000" w:rsidR="00000000" w:rsidRPr="00000000">
        <w:rPr>
          <w:b w:val="1"/>
          <w:bCs w:val="1"/>
          <w:i w:val="1"/>
          <w:iCs w:val="1"/>
          <w:sz w:val="26"/>
          <w:szCs w:val="26"/>
          <w:rtl w:val="0"/>
        </w:rPr>
        <w:t xml:space="preserve">Understanding and deeper meaning</w:t>
      </w:r>
      <w:r w:rsidDel="00000000" w:rsidR="00000000" w:rsidRPr="00000000">
        <w:rPr>
          <w:i w:val="1"/>
          <w:iCs w:val="1"/>
          <w:sz w:val="26"/>
          <w:szCs w:val="26"/>
          <w:rtl w:val="0"/>
        </w:rPr>
        <w:t xml:space="preserve">:</w:t>
      </w:r>
      <w:r w:rsidDel="00000000" w:rsidR="00000000" w:rsidRPr="00000000">
        <w:rPr>
          <w:sz w:val="26"/>
          <w:szCs w:val="26"/>
          <w:rtl w:val="0"/>
        </w:rPr>
        <w:t xml:space="preserve"> Several student teachers felt that historical insights deepened their understanding of mathematics. Learning why formulas were developed and how past mathematicians reasoned enhanced both comprehension and appreciation. One noted that historical connections give mathematics a new perspective and purpose, while another emphasized how history reveals the intellectual effort behind mathematical discoveries.</w:t>
      </w:r>
    </w:p>
    <w:p w:rsidR="00000000" w:rsidDel="00000000" w:rsidP="00000000" w:rsidRDefault="00000000" w:rsidRPr="00000000" w14:paraId="00000054">
      <w:pPr>
        <w:ind w:firstLine="425"/>
        <w:jc w:val="both"/>
        <w:rPr>
          <w:sz w:val="26"/>
          <w:szCs w:val="26"/>
        </w:rPr>
      </w:pPr>
      <w:r w:rsidDel="00000000" w:rsidR="00000000" w:rsidRPr="00000000">
        <w:rPr>
          <w:b w:val="1"/>
          <w:bCs w:val="1"/>
          <w:i w:val="1"/>
          <w:iCs w:val="1"/>
          <w:sz w:val="26"/>
          <w:szCs w:val="26"/>
          <w:rtl w:val="0"/>
        </w:rPr>
        <w:t xml:space="preserve">Aim and relevance in education</w:t>
      </w:r>
      <w:r w:rsidDel="00000000" w:rsidR="00000000" w:rsidRPr="00000000">
        <w:rPr>
          <w:sz w:val="26"/>
          <w:szCs w:val="26"/>
          <w:rtl w:val="0"/>
        </w:rPr>
        <w:t xml:space="preserve">: Student teachers reflected on the importance of linking historical content to the curriculum and to practical classroom application. One observed, “I think it is both broadly educational and helps us place mathematics in context, which I perceive students seek,” emphasizing how history can clarify the purpose of mathematical concepts and support meaningful and relevant learning.</w:t>
      </w:r>
    </w:p>
    <w:p w:rsidR="00000000" w:rsidDel="00000000" w:rsidP="00000000" w:rsidRDefault="00000000" w:rsidRPr="00000000" w14:paraId="00000055">
      <w:pPr>
        <w:ind w:firstLine="425"/>
        <w:jc w:val="both"/>
        <w:rPr>
          <w:sz w:val="26"/>
          <w:szCs w:val="26"/>
        </w:rPr>
      </w:pPr>
      <w:r w:rsidDel="00000000" w:rsidR="00000000" w:rsidRPr="00000000">
        <w:rPr>
          <w:b w:val="1"/>
          <w:bCs w:val="1"/>
          <w:i w:val="1"/>
          <w:iCs w:val="1"/>
          <w:sz w:val="26"/>
          <w:szCs w:val="26"/>
          <w:rtl w:val="0"/>
        </w:rPr>
        <w:t xml:space="preserve">Mathematics as human and cultural activity</w:t>
      </w:r>
      <w:r w:rsidDel="00000000" w:rsidR="00000000" w:rsidRPr="00000000">
        <w:rPr>
          <w:sz w:val="26"/>
          <w:szCs w:val="26"/>
          <w:rtl w:val="0"/>
        </w:rPr>
        <w:t xml:space="preserve">: Several student teachers emphasized that mathematics is not only abstract, but a human and cultural activity shaped by history. They noted how mathematical ideas developed across societies and over time and that formulas are not simply “thrown out” but explained through their origins. These reflections show that student teachers view mathematics as a dynamic, culturally embedded human activity shaped by historical and societal processes.</w:t>
      </w:r>
    </w:p>
    <w:p w:rsidR="00000000" w:rsidDel="00000000" w:rsidP="00000000" w:rsidRDefault="00000000" w:rsidRPr="00000000" w14:paraId="00000056">
      <w:pPr>
        <w:ind w:firstLine="425"/>
        <w:jc w:val="both"/>
        <w:rPr>
          <w:b w:val="1"/>
          <w:bCs w:val="1"/>
          <w:sz w:val="26"/>
          <w:szCs w:val="26"/>
        </w:rPr>
      </w:pPr>
      <w:r w:rsidDel="00000000" w:rsidR="00000000" w:rsidRPr="00000000">
        <w:rPr>
          <w:sz w:val="26"/>
          <w:szCs w:val="26"/>
          <w:rtl w:val="0"/>
        </w:rPr>
        <w:t xml:space="preserve">The reflections from the student teachers complement the earlier findings, showing how their engagement with the history of mathematics is not only pedagogically relevant but also personally meaningful, emphasizing how historical content shapes student teachers’ own interest, understanding, and sense of the human and cultural dimensions of mathematics. In summary, the results illustrate that integrating history into mathematics education affects both the teacher’s professional thinking and their personal appreciation of the subject.</w:t>
      </w:r>
      <w:r w:rsidDel="00000000" w:rsidR="00000000" w:rsidRPr="00000000">
        <w:rPr>
          <w:rtl w:val="0"/>
        </w:rPr>
      </w:r>
    </w:p>
    <w:p w:rsidR="00000000" w:rsidDel="00000000" w:rsidP="00000000" w:rsidRDefault="00000000" w:rsidRPr="00000000" w14:paraId="00000057">
      <w:pPr>
        <w:rPr>
          <w:b w:val="1"/>
          <w:bCs w:val="1"/>
          <w:sz w:val="28"/>
          <w:szCs w:val="28"/>
        </w:rPr>
      </w:pPr>
      <w:r w:rsidDel="00000000" w:rsidR="00000000" w:rsidRPr="00000000">
        <w:rPr>
          <w:rtl w:val="0"/>
        </w:rPr>
      </w:r>
    </w:p>
    <w:p w:rsidR="00000000" w:rsidDel="00000000" w:rsidP="00000000" w:rsidRDefault="00000000" w:rsidRPr="00000000" w14:paraId="00000058">
      <w:pPr>
        <w:rPr>
          <w:b w:val="1"/>
          <w:bCs w:val="1"/>
        </w:rPr>
      </w:pPr>
      <w:r w:rsidDel="00000000" w:rsidR="00000000" w:rsidRPr="00000000">
        <w:rPr>
          <w:b w:val="1"/>
          <w:bCs w:val="1"/>
          <w:sz w:val="28"/>
          <w:szCs w:val="28"/>
          <w:rtl w:val="0"/>
        </w:rPr>
        <w:t xml:space="preserve">Discussion</w:t>
      </w:r>
      <w:r w:rsidDel="00000000" w:rsidR="00000000" w:rsidRPr="00000000">
        <w:rPr>
          <w:rtl w:val="0"/>
        </w:rPr>
      </w:r>
    </w:p>
    <w:p w:rsidR="00000000" w:rsidDel="00000000" w:rsidP="00000000" w:rsidRDefault="00000000" w:rsidRPr="00000000" w14:paraId="00000059">
      <w:pPr>
        <w:jc w:val="both"/>
        <w:rPr>
          <w:sz w:val="26"/>
          <w:szCs w:val="26"/>
        </w:rPr>
      </w:pPr>
      <w:r w:rsidDel="00000000" w:rsidR="00000000" w:rsidRPr="00000000">
        <w:rPr>
          <w:sz w:val="26"/>
          <w:szCs w:val="26"/>
          <w:rtl w:val="0"/>
        </w:rPr>
        <w:t xml:space="preserve">Overall, the findings illustrate that integrating the history of mathematics into teacher education has several interconnected benefits. Most student teachers perceived historical content as motivating and engaging, providing interest and personal connection. Some described how historical explanations helped them better understand formulas and methods, suggesting that history can support conceptual understanding in certain contexts. The analysed lesson plans also show that history can be aligned with curriculum aims, though sometimes only superficially. Additionally, some student teachers expressed that working with historical material helped them see mathematics as a human and cultural activity, though this varied across individuals and lesson plans. Together, these findings highlight the potential of historical content to enrich teacher education by supporting motivation, understanding, and a broader view of mathematics, while also indicating areas for further development.</w:t>
      </w:r>
    </w:p>
    <w:p w:rsidR="00000000" w:rsidDel="00000000" w:rsidP="00000000" w:rsidRDefault="00000000" w:rsidRPr="00000000" w14:paraId="0000005A">
      <w:pPr>
        <w:ind w:firstLine="425"/>
        <w:jc w:val="both"/>
        <w:rPr>
          <w:sz w:val="26"/>
          <w:szCs w:val="26"/>
        </w:rPr>
      </w:pPr>
      <w:r w:rsidDel="00000000" w:rsidR="00000000" w:rsidRPr="00000000">
        <w:rPr>
          <w:sz w:val="26"/>
          <w:szCs w:val="26"/>
          <w:rtl w:val="0"/>
        </w:rPr>
        <w:t xml:space="preserve">Analysis of the lesson plans reveals a clear pattern: the history of mathematics is mainly introduced through teacher-led presentations, usually at the beginning or end of lessons, and is rarely integrated into students’ own work. In most plans, history functions as a tool (Jankvist, 2009) to contextualize mathematical content through motivation or illustrative examples, such as accounts of Pythagoras or timelines of </w:t>
      </w:r>
      <m:oMath>
        <m:r>
          <m:t>π</m:t>
        </m:r>
      </m:oMath>
      <w:r w:rsidDel="00000000" w:rsidR="00000000" w:rsidRPr="00000000">
        <w:rPr>
          <w:sz w:val="26"/>
          <w:szCs w:val="26"/>
          <w:rtl w:val="0"/>
        </w:rPr>
        <w:t xml:space="preserve"> approximations. These uses can enhance engagement and understanding. Some plans also reflect history as a goal (Jankvist, 2009) by incorporating cultural and philosophical perspectives, such as the influence of Euclid’s </w:t>
      </w:r>
      <w:r w:rsidDel="00000000" w:rsidR="00000000" w:rsidRPr="00000000">
        <w:rPr>
          <w:i w:val="1"/>
          <w:iCs w:val="1"/>
          <w:sz w:val="26"/>
          <w:szCs w:val="26"/>
          <w:rtl w:val="0"/>
        </w:rPr>
        <w:t xml:space="preserve">Elements</w:t>
      </w:r>
      <w:r w:rsidDel="00000000" w:rsidR="00000000" w:rsidRPr="00000000">
        <w:rPr>
          <w:sz w:val="26"/>
          <w:szCs w:val="26"/>
          <w:rtl w:val="0"/>
        </w:rPr>
        <w:t xml:space="preserve"> or Aristarchus’s impact on views of the cosmos. In these cases, history promotes cultural literacy and critical reflection, presenting mathematics as a human enterprise shaped by creativity and continuity. The Euclid lesson on proofs and constructions stands out by integrating historical context with student activity through hands-on geometric constructions linked to historical practices of proof and axiomatic reasoning.</w:t>
      </w:r>
    </w:p>
    <w:p w:rsidR="00000000" w:rsidDel="00000000" w:rsidP="00000000" w:rsidRDefault="00000000" w:rsidRPr="00000000" w14:paraId="0000005B">
      <w:pPr>
        <w:ind w:firstLine="425"/>
        <w:jc w:val="both"/>
        <w:rPr>
          <w:sz w:val="26"/>
          <w:szCs w:val="26"/>
        </w:rPr>
      </w:pPr>
      <w:r w:rsidDel="00000000" w:rsidR="00000000" w:rsidRPr="00000000">
        <w:rPr>
          <w:sz w:val="26"/>
          <w:szCs w:val="26"/>
          <w:rtl w:val="0"/>
        </w:rPr>
        <w:t xml:space="preserve">Nevertheless, limitations remain. The reliance on teacher presentations, often focused on biographical or anecdotal details, risks reducing history to a decorative supplement rather than a meaningful part of mathematical inquiry. Another concern is that none of the lesson plans mentioned any women in their historical accounts, reinforcing a “great men” narrative despite women’s historical contributions to mathematics. Including women and diverse societal uses of mathematics could help challenge this view. Moreover, students were rarely engaged with original texts or historical problems, and historical sources were seldom shown. One exception is the Aristarchus lesson plan on estimating distances between the Earth, Moon, and Sun, which used a historical method as the basis of the entire lesson. This approach moved beyond illustration toward genuine mathematical exploration, demonstrating how historical reconstruction can support both conceptual understanding and reflection. This aligns with Jahnke et al.’s (2000) argument that well-contextualized historical material can foster deeper reflection on mathematics as a dynamic and evolving discipline.</w:t>
      </w:r>
    </w:p>
    <w:p w:rsidR="00000000" w:rsidDel="00000000" w:rsidP="00000000" w:rsidRDefault="00000000" w:rsidRPr="00000000" w14:paraId="0000005C">
      <w:pPr>
        <w:ind w:firstLine="425"/>
        <w:jc w:val="both"/>
        <w:rPr>
          <w:sz w:val="26"/>
          <w:szCs w:val="26"/>
        </w:rPr>
      </w:pPr>
      <w:r w:rsidDel="00000000" w:rsidR="00000000" w:rsidRPr="00000000">
        <w:rPr>
          <w:sz w:val="26"/>
          <w:szCs w:val="26"/>
          <w:rtl w:val="0"/>
        </w:rPr>
        <w:t xml:space="preserve">Students’ questionnaire responses highlight both the potential and challenges of integrating the history of mathematics into teaching. On the one hand, historical approaches can enrich learning, enhance motivation, and deepen understanding of mathematics as a human endeavour. For many student teachers, engaging with history stimulates interest and provides purpose by situating mathematics within a broader cultural and intellectual context, supporting earlier research on engagement and positive affect (Fauvel, 1991; Tzanakis et al., 2000). On the other hand, practical constraints, such as limited time, varying student interest, and lack of curricular guidance, pose barriers to implementation. Some students reported limited benefits, echoing Fried’s (2001) concern that poorly integrated history may be trivialized or distorted. These tensions suggest that effective inclusion of the history of mathematics requires careful planning and a clear pedagogical role.</w:t>
      </w:r>
    </w:p>
    <w:p w:rsidR="00000000" w:rsidDel="00000000" w:rsidP="00000000" w:rsidRDefault="00000000" w:rsidRPr="00000000" w14:paraId="0000005D">
      <w:pPr>
        <w:ind w:firstLine="425"/>
        <w:jc w:val="both"/>
        <w:rPr>
          <w:sz w:val="26"/>
          <w:szCs w:val="26"/>
        </w:rPr>
      </w:pPr>
      <w:r w:rsidDel="00000000" w:rsidR="00000000" w:rsidRPr="00000000">
        <w:rPr>
          <w:sz w:val="26"/>
          <w:szCs w:val="26"/>
          <w:rtl w:val="0"/>
        </w:rPr>
        <w:t xml:space="preserve">In summary, the findings suggest that although student teachers recognize the potential of history as both a tool and a goal, their lesson designs mainly use history for motivation and context, with less emphasis on its role in fostering critical and historically informed mathematical thinking. This points to a need in teacher education not only to emphasize pedagogical benefits but also to develop strategies for more authentic integration, such as working with historical problems, primary sources, or discussing the epistemological implications of historical developments. Future teachers may benefit from training that supports the selection and adaptation of meaningful historical examples while balancing curricular demands and broader educational aims. Such approaches may help reduce trivialization and better realize the educational potential of history.</w:t>
      </w:r>
    </w:p>
    <w:p w:rsidR="00000000" w:rsidDel="00000000" w:rsidP="00000000" w:rsidRDefault="00000000" w:rsidRPr="00000000" w14:paraId="0000005E">
      <w:pPr>
        <w:pStyle w:val="Heading2"/>
        <w:rPr/>
      </w:pPr>
      <w:r w:rsidDel="00000000" w:rsidR="00000000" w:rsidRPr="00000000">
        <w:rPr>
          <w:rtl w:val="0"/>
        </w:rPr>
        <w:t xml:space="preserve">References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Qualitative Research in Psychology, 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77–101. </w:t>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https://doi.org/10.1191/1478088706qp063oa</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Chorlay, R., Clark, K. M., &amp; Tzanakis, C. (2022). History of mathematics in mathematics education: Recent developments in the field.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Mathematics Education, 54,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1407–1420. </w:t>
      </w:r>
      <w:hyperlink r:id="rId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https://doi.org/10.1007/s11858-022-01442-7</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 K. M., Kjeldsen, T. H., Schorcht, S., Tzanakis, C., &amp; Wang, X. (2016). History of mathematics in mathematics education: Recent developments. In L. Radford, F. Furinghetti, &amp; T. Hausberger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Proceedings of the 2016 ICME Satellite Meeting – HPM 2016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135–179). IREM de Montpellier.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Fauvel, J. (1991). Using history in mathematics education.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For the Learning of Mathematics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3–6.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Fried, M. N. (2001). Can mathematics education and history of mathematics coexist?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Science &amp;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391–408.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https://doi.org/10.1023/A:1011205014608</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Jahnke, H. N., Arcavi, A., Barbin, E., Bekken, O., Furinghetti, F., El Idrissi, A., Silva da Silva, C. M., &amp; Weeks, C. (2000). The use of original sources in the mathematics classroom. In J. Fauvel &amp; J. van Maanen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History in mathematics education: The ICMI study, New ICMI Study Series, vol.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291–328). Dordrecht: Kluwer.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https://doi.org/10.1007/0-306-47220-1_9</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Jankvist, U. T. (2009). A categorization of the “whys” and “hows” of using history in mathematics education.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Studies in Mathematics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71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235–261.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https://doi.org/10.1007/s10649-008-9174-9</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Shulman, L. S. (1986). Those who understand: Knowledge growth in teaching.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Researcher, 15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4–14.</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Skolverket. (2022).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Kursplan för ämnet matematik i grundskolan: Läroplan för grundskolan, förskoleklassen och fritidshemmet (Lgr22)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Skolverket.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https://www.skolverket.se/undervisning/grundskolan/kursplaner-for-grundskolan/kursplan</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Skolverket. (2025).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Ämne – Matematik: Ämnesplan för gymnasieskolan (Gy25)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https://www.skolverket.se/undervisning/gymnasieskolan/program-och-amnen-i-gymnasieskolan/hitta-program-och-amnen-i-gymnasieskolan-gy25/amne-gy2025</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Tzanakis, C., Arcavi, A., de Sa, C. C., Isoda, M., Lit, C.-K., Niss, M., de Carvalho, J. P., Rodriguez, M., &amp; Siu, M.-K. (2000). Integrating history of mathematics in the classroom: an analytic survey. In J. Fauvel &amp; J. van Maanen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History in mathematics education: The ICMI study, New ICMI Study Series, vol.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201–240). Dordrecht Kluwer. </w:t>
      </w:r>
      <w:hyperlink r:id="rId1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https://doi.org/10.1007/0-306-47220-1_7</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Vinerean, M., Liljekvist, Y., Brandl, M., &amp; Przybilla, J. (2023). Didactical usefulness of interactive mathematical maps: Designing activities supporting prospective teachers’ learning.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Nordic Studies in Mathematics Education, 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77–102. </w:t>
      </w:r>
    </w:p>
    <w:sectPr>
      <w:headerReference r:id="rId15" w:type="default"/>
      <w:footerReference r:id="rId16" w:type="default"/>
      <w:footerReference r:id="rId17"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right"/>
      <w:rPr/>
    </w:pPr>
    <w:r w:rsidDel="00000000" w:rsidR="00000000" w:rsidRPr="00000000">
      <w:rPr>
        <w:rtl w:val="0"/>
      </w:rPr>
    </w:r>
  </w:p>
  <w:p w:rsidR="00000000" w:rsidDel="00000000" w:rsidP="00000000" w:rsidRDefault="00000000" w:rsidRPr="00000000" w14:paraId="0000006C">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pPr>
    <w:rPr>
      <w:b w:val="1"/>
      <w:bCs w:val="1"/>
    </w:rPr>
  </w:style>
  <w:style w:type="paragraph" w:styleId="Heading4">
    <w:name w:val="heading 4"/>
    <w:basedOn w:val="Normal"/>
    <w:next w:val="Normal"/>
    <w:pPr>
      <w:keepNext w:val="1"/>
      <w:spacing w:after="0" w:before="120" w:lineRule="auto"/>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Cs w:val="26"/>
    </w:rPr>
  </w:style>
  <w:style w:type="paragraph" w:styleId="References" w:customStyle="1">
    <w:name w:val="References"/>
    <w:basedOn w:val="Brdtext"/>
    <w:qFormat w:val="1"/>
    <w:rsid w:val="002A0C36"/>
    <w:pPr>
      <w:spacing w:line="300" w:lineRule="atLeast"/>
      <w:ind w:left="425" w:hanging="425"/>
    </w:pPr>
  </w:style>
  <w:style w:type="paragraph" w:styleId="Endnote" w:customStyle="1">
    <w:name w:val="Endnote"/>
    <w:basedOn w:val="Normal"/>
    <w:qFormat w:val="1"/>
    <w:rsid w:val="002A0C36"/>
    <w:pPr>
      <w:spacing w:line="300" w:lineRule="atLeast"/>
    </w:p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pPr>
  </w:style>
  <w:style w:type="paragraph" w:styleId="Abstract" w:customStyle="1">
    <w:name w:val="Abstract"/>
    <w:basedOn w:val="Brdtext"/>
    <w:link w:val="AbstractChar"/>
    <w:qFormat w:val="1"/>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character" w:styleId="Hyperlnk">
    <w:name w:val="Hyperlink"/>
    <w:basedOn w:val="Standardstycketeckensnitt"/>
    <w:unhideWhenUsed w:val="1"/>
    <w:rsid w:val="00E33BF4"/>
    <w:rPr>
      <w:color w:val="0000ff" w:themeColor="hyperlink"/>
      <w:u w:val="single"/>
    </w:rPr>
  </w:style>
  <w:style w:type="character" w:styleId="Olstomnmnande">
    <w:name w:val="Unresolved Mention"/>
    <w:basedOn w:val="Standardstycketeckensnitt"/>
    <w:uiPriority w:val="99"/>
    <w:semiHidden w:val="1"/>
    <w:unhideWhenUsed w:val="1"/>
    <w:rsid w:val="00E33BF4"/>
    <w:rPr>
      <w:color w:val="605e5c"/>
      <w:shd w:color="auto" w:fill="e1dfdd" w:val="clear"/>
    </w:rPr>
  </w:style>
  <w:style w:type="character" w:styleId="AnvndHyperlnk">
    <w:name w:val="FollowedHyperlink"/>
    <w:basedOn w:val="Standardstycketeckensnitt"/>
    <w:semiHidden w:val="1"/>
    <w:unhideWhenUsed w:val="1"/>
    <w:rsid w:val="00E33BF4"/>
    <w:rPr>
      <w:color w:val="800080" w:themeColor="followedHyperlink"/>
      <w:u w:val="single"/>
    </w:rPr>
  </w:style>
  <w:style w:type="paragraph" w:styleId="Liststycke">
    <w:name w:val="List Paragraph"/>
    <w:basedOn w:val="Normal"/>
    <w:rsid w:val="00E25EC2"/>
    <w:pPr>
      <w:ind w:left="720"/>
      <w:contextualSpacing w:val="1"/>
    </w:pPr>
  </w:style>
  <w:style w:type="character" w:styleId="apple-converted-space" w:customStyle="1">
    <w:name w:val="apple-converted-space"/>
    <w:basedOn w:val="Standardstycketeckensnitt"/>
    <w:rsid w:val="003C6701"/>
  </w:style>
  <w:style w:type="paragraph" w:styleId="Normalwebb">
    <w:name w:val="Normal (Web)"/>
    <w:basedOn w:val="Normal"/>
    <w:uiPriority w:val="99"/>
    <w:semiHidden w:val="1"/>
    <w:unhideWhenUsed w:val="1"/>
    <w:rsid w:val="00BE2321"/>
  </w:style>
  <w:style w:type="character" w:styleId="Platshllartext">
    <w:name w:val="Placeholder Text"/>
    <w:basedOn w:val="Standardstycketeckensnitt"/>
    <w:semiHidden w:val="1"/>
    <w:rsid w:val="005B3288"/>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7/s10649-008-9174-9" TargetMode="External"/><Relationship Id="rId10" Type="http://schemas.openxmlformats.org/officeDocument/2006/relationships/hyperlink" Target="https://doi.org/10.1007/0-306-47220-1_9" TargetMode="External"/><Relationship Id="rId13" Type="http://schemas.openxmlformats.org/officeDocument/2006/relationships/hyperlink" Target="https://www.skolverket.se/undervisning/gymnasieskolan/program-och-amnen-i-gymnasieskolan/hitta-program-och-amnen-i-gymnasieskolan-gy25/amne-gy2025" TargetMode="External"/><Relationship Id="rId12" Type="http://schemas.openxmlformats.org/officeDocument/2006/relationships/hyperlink" Target="https://www.skolverket.se/undervisning/grundskolan/kursplaner-for-grundskolan/kurspl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23/A:1011205014608" TargetMode="External"/><Relationship Id="rId15" Type="http://schemas.openxmlformats.org/officeDocument/2006/relationships/header" Target="header1.xml"/><Relationship Id="rId14" Type="http://schemas.openxmlformats.org/officeDocument/2006/relationships/hyperlink" Target="https://doi.org/10.1007/0-306-47220-1_7"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191/1478088706qp063oa" TargetMode="External"/><Relationship Id="rId8" Type="http://schemas.openxmlformats.org/officeDocument/2006/relationships/hyperlink" Target="https://doi.org/10.1007/s11858-022-0144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spp84h+NTck/pLEaSAcid2D5AQ==">CgMxLjA4AHIhMWxxX3ZmbXozMk1RZjJoS25pZkdacV9rUHd4bXNmcXlw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2025-12-20T13:04:00Z</dcterms:created>
</cp:coreProperties>
</file>