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D796" w14:textId="18FA5B2C" w:rsidR="00170F69" w:rsidRPr="008575E4" w:rsidRDefault="00E133F3" w:rsidP="00170F69">
      <w:pPr>
        <w:pStyle w:val="Rubrik1"/>
      </w:pPr>
      <w:r>
        <w:t xml:space="preserve">Developing a </w:t>
      </w:r>
      <w:r w:rsidR="00170F69">
        <w:t>model of meaning for the concept of logarithms based on the content of university mathematics textbooks</w:t>
      </w:r>
    </w:p>
    <w:p w14:paraId="00BE70AF" w14:textId="77777777" w:rsidR="00170F69" w:rsidRPr="008575E4" w:rsidRDefault="00170F69" w:rsidP="00170F69">
      <w:pPr>
        <w:pStyle w:val="Rubrik8"/>
      </w:pPr>
      <w:r w:rsidRPr="008575E4">
        <w:t>Sara Julsgård</w:t>
      </w:r>
    </w:p>
    <w:p w14:paraId="24F59F3A" w14:textId="77777777" w:rsidR="00170F69" w:rsidRPr="008575E4" w:rsidRDefault="00170F69" w:rsidP="00170F69">
      <w:pPr>
        <w:pStyle w:val="Rubrik9"/>
      </w:pPr>
      <w:r w:rsidRPr="008575E4">
        <w:t>Department of Mathematics, Linköping university</w:t>
      </w:r>
    </w:p>
    <w:p w14:paraId="7DEA29A4" w14:textId="6DF7238A" w:rsidR="00170F69" w:rsidRDefault="00170F69" w:rsidP="00170F69">
      <w:pPr>
        <w:pStyle w:val="Abstract"/>
      </w:pPr>
      <w:r>
        <w:t xml:space="preserve">This paper </w:t>
      </w:r>
      <w:r w:rsidR="00E81FC5">
        <w:t>explores the concept of logarithms as presented in university mathematics textbooks</w:t>
      </w:r>
      <w:r w:rsidR="00F9060E">
        <w:t xml:space="preserve">. </w:t>
      </w:r>
      <w:r w:rsidR="007A2E63">
        <w:t>By means of</w:t>
      </w:r>
      <w:r w:rsidR="00954B91">
        <w:t xml:space="preserve"> subject matter analysis,</w:t>
      </w:r>
      <w:r w:rsidR="00421906">
        <w:t xml:space="preserve"> </w:t>
      </w:r>
      <w:r w:rsidR="002A158E">
        <w:t>the</w:t>
      </w:r>
      <w:r w:rsidR="00954B91">
        <w:t xml:space="preserve"> </w:t>
      </w:r>
      <w:r>
        <w:t xml:space="preserve">content was analysed </w:t>
      </w:r>
      <w:r w:rsidR="009731AD">
        <w:t>for ways to define and give meaning to logarithms</w:t>
      </w:r>
      <w:r>
        <w:t>. Seven variants of logarithm definition and ten different facets of meaning were identified, reflecting formal rigor alongside intuition. The findings demonstrate mathematically equivalent yet conceptually diverse ways of defining logarithms</w:t>
      </w:r>
      <w:r w:rsidR="00686F4C">
        <w:t xml:space="preserve">, as well as </w:t>
      </w:r>
      <w:r w:rsidR="00092C76">
        <w:t xml:space="preserve">various semantic </w:t>
      </w:r>
      <w:r w:rsidR="00315276">
        <w:t>descriptions</w:t>
      </w:r>
      <w:r w:rsidR="00092C76">
        <w:t xml:space="preserve"> </w:t>
      </w:r>
      <w:r w:rsidR="00F70277">
        <w:t>highlighting certain properties of the concept</w:t>
      </w:r>
      <w:r>
        <w:t>. The resulting model of meaning provides a structured framework for understanding how logarithms are conceptualised in higher education, and for studying how logarithms are or could be conceptualised in secondary school.</w:t>
      </w:r>
    </w:p>
    <w:p w14:paraId="1B4C7F6A" w14:textId="77777777" w:rsidR="00170F69" w:rsidRPr="008575E4" w:rsidRDefault="00170F69" w:rsidP="00170F69">
      <w:pPr>
        <w:pStyle w:val="Rubrik2"/>
      </w:pPr>
      <w:r w:rsidRPr="008575E4">
        <w:t>Introduction</w:t>
      </w:r>
    </w:p>
    <w:p w14:paraId="60C0C6EB" w14:textId="6907EBDC" w:rsidR="00170F69" w:rsidRPr="008575E4" w:rsidRDefault="00170F69" w:rsidP="00170F69">
      <w:pPr>
        <w:pStyle w:val="Brdtext"/>
      </w:pPr>
      <w:r>
        <w:t>The concept of logarithms has been shown to pose challenges for students to comprehend</w:t>
      </w:r>
      <w:r w:rsidRPr="008575E4">
        <w:t xml:space="preserve"> </w:t>
      </w:r>
      <w:r>
        <w:rPr>
          <w:noProof/>
        </w:rPr>
        <w:t>(e.g., Berezovski &amp; Zazkis, 2006; Chua &amp; Wood, 2005; Kenney, 2005)</w:t>
      </w:r>
      <w:r w:rsidRPr="008575E4">
        <w:t xml:space="preserve">. It is </w:t>
      </w:r>
      <w:r>
        <w:t xml:space="preserve">a non-trivial function as it </w:t>
      </w:r>
      <w:r w:rsidRPr="008575E4">
        <w:t xml:space="preserve">cannot be expressed </w:t>
      </w:r>
      <w:r>
        <w:t xml:space="preserve">using a </w:t>
      </w:r>
      <w:r w:rsidRPr="008575E4">
        <w:t xml:space="preserve">finite combination of numbers, variables, and the </w:t>
      </w:r>
      <w:r w:rsidR="002029D2">
        <w:t>standard</w:t>
      </w:r>
      <w:r w:rsidRPr="008575E4">
        <w:t xml:space="preserve"> operations addition, subtraction, multiplication,</w:t>
      </w:r>
      <w:r>
        <w:t xml:space="preserve"> </w:t>
      </w:r>
      <w:r w:rsidR="00911BF4">
        <w:t xml:space="preserve">and </w:t>
      </w:r>
      <w:r w:rsidRPr="008575E4">
        <w:t xml:space="preserve">division. </w:t>
      </w:r>
      <w:r w:rsidR="00247450">
        <w:t>Despite the basic idea of logarithm</w:t>
      </w:r>
      <w:r w:rsidR="002E36A0">
        <w:t xml:space="preserve"> being a connection between multiplicative and additive structures, providing a tool for </w:t>
      </w:r>
      <w:r w:rsidR="00604F4A">
        <w:t xml:space="preserve">converting </w:t>
      </w:r>
      <w:r w:rsidR="00041064">
        <w:t>burdensome</w:t>
      </w:r>
      <w:r w:rsidR="004E0EF7">
        <w:t xml:space="preserve"> </w:t>
      </w:r>
      <w:r w:rsidR="00C35ECD">
        <w:t>products into easily calculated sums</w:t>
      </w:r>
      <w:r w:rsidRPr="008575E4">
        <w:t>, the notation </w:t>
      </w:r>
      <m:oMath>
        <m:sSub>
          <m:sSubPr>
            <m:ctrlPr>
              <w:rPr>
                <w:rFonts w:ascii="Cambria Math" w:hAnsi="Cambria Math"/>
                <w:i/>
              </w:rPr>
            </m:ctrlPr>
          </m:sSubPr>
          <m:e>
            <m:r>
              <w:rPr>
                <w:rFonts w:ascii="Cambria Math" w:hAnsi="Cambria Math"/>
              </w:rPr>
              <m:t>log</m:t>
            </m:r>
          </m:e>
          <m:sub>
            <m:r>
              <w:rPr>
                <w:rFonts w:ascii="Cambria Math" w:hAnsi="Cambria Math"/>
              </w:rPr>
              <m:t>a</m:t>
            </m:r>
          </m:sub>
        </m:sSub>
        <m:r>
          <w:rPr>
            <w:rFonts w:ascii="Cambria Math" w:hAnsi="Cambria Math"/>
          </w:rPr>
          <m:t>(x)</m:t>
        </m:r>
      </m:oMath>
      <w:r w:rsidRPr="008575E4">
        <w:rPr>
          <w:rFonts w:eastAsiaTheme="minorEastAsia"/>
        </w:rPr>
        <w:t xml:space="preserve"> </w:t>
      </w:r>
      <w:r w:rsidRPr="008575E4">
        <w:t xml:space="preserve">does not </w:t>
      </w:r>
      <w:r w:rsidR="00430317">
        <w:t xml:space="preserve">clearly </w:t>
      </w:r>
      <w:r w:rsidR="00961BBC">
        <w:t>convey</w:t>
      </w:r>
      <w:r w:rsidRPr="008575E4">
        <w:t xml:space="preserve"> </w:t>
      </w:r>
      <w:r w:rsidR="009D446A">
        <w:t>the</w:t>
      </w:r>
      <w:r w:rsidRPr="008575E4">
        <w:t xml:space="preserve"> transformation</w:t>
      </w:r>
      <w:r w:rsidR="002030BF">
        <w:t xml:space="preserve"> </w:t>
      </w:r>
      <w:r w:rsidR="007D09C8">
        <w:t>appl</w:t>
      </w:r>
      <w:r w:rsidR="002A2833">
        <w:t>ied</w:t>
      </w:r>
      <w:r w:rsidRPr="008575E4">
        <w:t xml:space="preserve"> to the input </w:t>
      </w:r>
      <w:r>
        <w:rPr>
          <w:i/>
          <w:iCs/>
        </w:rPr>
        <w:t>x</w:t>
      </w:r>
      <w:r w:rsidR="00C35ECD">
        <w:t>.</w:t>
      </w:r>
      <w:r w:rsidRPr="008575E4">
        <w:t xml:space="preserve"> </w:t>
      </w:r>
      <w:r w:rsidR="006A22A0">
        <w:t>The abstract nature, shared with</w:t>
      </w:r>
      <w:r w:rsidR="00846B4C">
        <w:t xml:space="preserve"> trigonometric and exponential functions</w:t>
      </w:r>
      <w:r w:rsidR="0003441F">
        <w:t>,</w:t>
      </w:r>
      <w:r w:rsidR="00846B4C">
        <w:t xml:space="preserve"> might</w:t>
      </w:r>
      <w:r w:rsidR="006742E4">
        <w:t xml:space="preserve"> </w:t>
      </w:r>
      <w:r w:rsidR="00A645C1">
        <w:t xml:space="preserve">place </w:t>
      </w:r>
      <w:r w:rsidR="00BE7A74">
        <w:t>significant</w:t>
      </w:r>
      <w:r w:rsidR="00A645C1">
        <w:t xml:space="preserve"> cognitive demands on students’</w:t>
      </w:r>
      <w:r w:rsidR="006742E4">
        <w:t xml:space="preserve"> interpretation of mathematical definition</w:t>
      </w:r>
      <w:r w:rsidR="00A645C1">
        <w:t>s</w:t>
      </w:r>
      <w:r w:rsidR="006742E4">
        <w:t>.</w:t>
      </w:r>
      <w:r w:rsidR="00E14C82">
        <w:t xml:space="preserve"> </w:t>
      </w:r>
      <w:r>
        <w:t xml:space="preserve">To begin </w:t>
      </w:r>
      <w:r w:rsidR="00122E5B">
        <w:t>unpacking</w:t>
      </w:r>
      <w:r>
        <w:t xml:space="preserve"> logarithms as </w:t>
      </w:r>
      <w:r w:rsidR="00992C43">
        <w:t>a</w:t>
      </w:r>
      <w:r w:rsidR="005A613F">
        <w:t xml:space="preserve"> mathematics</w:t>
      </w:r>
      <w:r w:rsidR="00992C43">
        <w:t xml:space="preserve"> subject matter</w:t>
      </w:r>
      <w:r w:rsidR="005A613F">
        <w:t xml:space="preserve"> to be taught and learnt</w:t>
      </w:r>
      <w:r>
        <w:t xml:space="preserve">, this paper </w:t>
      </w:r>
      <w:r w:rsidR="00C22D09">
        <w:t>explores</w:t>
      </w:r>
      <w:r w:rsidR="00B67727">
        <w:t xml:space="preserve"> how logarithms are defined and given meaning</w:t>
      </w:r>
      <w:r>
        <w:t xml:space="preserve"> in university mathematics textbooks.</w:t>
      </w:r>
    </w:p>
    <w:p w14:paraId="5E9C152A" w14:textId="02190CD3" w:rsidR="00170F69" w:rsidRPr="008575E4" w:rsidRDefault="00170F69" w:rsidP="00170F69">
      <w:r w:rsidRPr="008575E4">
        <w:rPr>
          <w:rFonts w:eastAsiaTheme="minorEastAsia"/>
        </w:rPr>
        <w:t xml:space="preserve">Among students’ challenges with logarithm comprehension </w:t>
      </w:r>
      <w:r w:rsidR="00A764EA">
        <w:rPr>
          <w:rFonts w:eastAsiaTheme="minorEastAsia"/>
        </w:rPr>
        <w:t>identified</w:t>
      </w:r>
      <w:r w:rsidRPr="008575E4">
        <w:rPr>
          <w:rFonts w:eastAsiaTheme="minorEastAsia"/>
        </w:rPr>
        <w:t xml:space="preserve"> in previous research, there are difficulties related to grasping </w:t>
      </w:r>
      <w:r w:rsidR="00C93E6D">
        <w:rPr>
          <w:rFonts w:eastAsiaTheme="minorEastAsia"/>
        </w:rPr>
        <w:t>the concept and its notation</w:t>
      </w:r>
      <w:r w:rsidRPr="008575E4">
        <w:rPr>
          <w:rFonts w:eastAsiaTheme="minorEastAsia"/>
        </w:rPr>
        <w:t>. For instance, common errors are related to the treatment of “</w:t>
      </w:r>
      <w:proofErr w:type="spellStart"/>
      <w:r w:rsidRPr="008575E4">
        <w:rPr>
          <w:rFonts w:eastAsiaTheme="minorEastAsia"/>
        </w:rPr>
        <w:t>lg</w:t>
      </w:r>
      <w:proofErr w:type="spellEnd"/>
      <w:r w:rsidRPr="008575E4">
        <w:rPr>
          <w:rFonts w:eastAsiaTheme="minorEastAsia"/>
        </w:rPr>
        <w:t xml:space="preserve">” as a product of variables, so </w:t>
      </w:r>
      <w:r w:rsidR="00DF3077">
        <w:rPr>
          <w:rFonts w:eastAsiaTheme="minorEastAsia"/>
        </w:rPr>
        <w:t>in</w:t>
      </w:r>
      <w:r w:rsidRPr="008575E4">
        <w:rPr>
          <w:rFonts w:eastAsiaTheme="minorEastAsia"/>
        </w:rPr>
        <w:t xml:space="preserve"> </w:t>
      </w:r>
      <w:r w:rsidRPr="008575E4">
        <w:t>“</w:t>
      </w:r>
      <m:oMath>
        <m:r>
          <m:rPr>
            <m:sty m:val="p"/>
          </m:rPr>
          <w:rPr>
            <w:rFonts w:ascii="Cambria Math" w:hAnsi="Cambria Math"/>
          </w:rPr>
          <m:t>lg⁡</m:t>
        </m:r>
        <m:r>
          <w:rPr>
            <w:rFonts w:ascii="Cambria Math" w:hAnsi="Cambria Math"/>
          </w:rPr>
          <m:t>(x+100)</m:t>
        </m:r>
      </m:oMath>
      <w:r w:rsidRPr="008575E4">
        <w:rPr>
          <w:rFonts w:eastAsiaTheme="minorEastAsia"/>
        </w:rPr>
        <w:t>”</w:t>
      </w:r>
      <w:r w:rsidR="00DF3077">
        <w:rPr>
          <w:rFonts w:eastAsiaTheme="minorEastAsia"/>
        </w:rPr>
        <w:t>,</w:t>
      </w:r>
      <w:r w:rsidR="00236DE1">
        <w:rPr>
          <w:rFonts w:eastAsiaTheme="minorEastAsia"/>
        </w:rPr>
        <w:t xml:space="preserve"> </w:t>
      </w:r>
      <w:proofErr w:type="spellStart"/>
      <w:r w:rsidR="00236DE1">
        <w:rPr>
          <w:rFonts w:eastAsiaTheme="minorEastAsia"/>
        </w:rPr>
        <w:t>lg</w:t>
      </w:r>
      <w:proofErr w:type="spellEnd"/>
      <w:r w:rsidRPr="008575E4">
        <w:t xml:space="preserve"> is treated as one factor and </w:t>
      </w:r>
      <m:oMath>
        <m:r>
          <w:rPr>
            <w:rFonts w:ascii="Cambria Math" w:hAnsi="Cambria Math"/>
          </w:rPr>
          <m:t>(x+100)</m:t>
        </m:r>
      </m:oMath>
      <w:r w:rsidRPr="008575E4">
        <w:rPr>
          <w:rFonts w:eastAsiaTheme="minorEastAsia"/>
        </w:rPr>
        <w:t xml:space="preserve"> as </w:t>
      </w:r>
      <w:r w:rsidRPr="008575E4">
        <w:t xml:space="preserve">another </w:t>
      </w:r>
      <w:r w:rsidRPr="008575E4">
        <w:rPr>
          <w:noProof/>
        </w:rPr>
        <w:t>(Chua &amp; Wood, 2005; Kenney, 2005)</w:t>
      </w:r>
      <w:r w:rsidRPr="008575E4">
        <w:t xml:space="preserve">. Hence, the combination of the two letters l and g is interpreted in a mathematical, yet improper, way. This </w:t>
      </w:r>
      <w:r w:rsidR="00B45461">
        <w:t>suggests</w:t>
      </w:r>
      <w:r w:rsidRPr="008575E4">
        <w:t xml:space="preserve"> a need of guidance for instructors </w:t>
      </w:r>
      <w:r>
        <w:t>as to</w:t>
      </w:r>
      <w:r w:rsidRPr="008575E4">
        <w:t xml:space="preserve"> how the logarithm can be conceptualised in teaching to minimise misconceptions.</w:t>
      </w:r>
    </w:p>
    <w:p w14:paraId="05D1DBBC" w14:textId="33926C67" w:rsidR="008B0436" w:rsidRDefault="00B839B5" w:rsidP="00170F69">
      <w:r>
        <w:t>Ball et al. (2008) developed a theory of mathematical knowledge for teaching (MKT) based on the notion of pedagogical content knowledge (</w:t>
      </w:r>
      <w:proofErr w:type="spellStart"/>
      <w:r>
        <w:t>PCK</w:t>
      </w:r>
      <w:proofErr w:type="spellEnd"/>
      <w:r>
        <w:t xml:space="preserve">) and observations </w:t>
      </w:r>
      <w:r>
        <w:lastRenderedPageBreak/>
        <w:t xml:space="preserve">and analyses of mathematics teaching. </w:t>
      </w:r>
      <w:r w:rsidR="00EE6CE4">
        <w:rPr>
          <w:noProof/>
        </w:rPr>
        <w:t>They</w:t>
      </w:r>
      <w:r w:rsidR="00170F69" w:rsidRPr="008575E4">
        <w:t xml:space="preserve"> identified specialized content knowledge (</w:t>
      </w:r>
      <w:proofErr w:type="spellStart"/>
      <w:r w:rsidR="00170F69" w:rsidRPr="008575E4">
        <w:t>SCK</w:t>
      </w:r>
      <w:proofErr w:type="spellEnd"/>
      <w:r w:rsidR="00170F69" w:rsidRPr="008575E4">
        <w:t>) as the mathematical knowledge and skills that are unique to teaching. Th</w:t>
      </w:r>
      <w:r w:rsidR="00170F69">
        <w:t>ese</w:t>
      </w:r>
      <w:r w:rsidR="00170F69" w:rsidRPr="008575E4">
        <w:t xml:space="preserve"> include the expertise required to be able to explain procedures, interpret student errors</w:t>
      </w:r>
      <w:r w:rsidR="00170F69">
        <w:t xml:space="preserve">, </w:t>
      </w:r>
      <w:r w:rsidR="00170F69" w:rsidRPr="008575E4">
        <w:t xml:space="preserve">evaluate alternative algorithms, choose </w:t>
      </w:r>
      <w:r w:rsidR="00170F69">
        <w:t>effective analogies</w:t>
      </w:r>
      <w:r w:rsidR="00170F69" w:rsidRPr="008575E4">
        <w:t xml:space="preserve">, and understand different possible interpretations of one and the same topic </w:t>
      </w:r>
      <w:r w:rsidR="00170F69" w:rsidRPr="008575E4">
        <w:rPr>
          <w:noProof/>
        </w:rPr>
        <w:t>(Ball et al., 2008)</w:t>
      </w:r>
      <w:r w:rsidR="00170F69" w:rsidRPr="008575E4">
        <w:t>.</w:t>
      </w:r>
      <w:r w:rsidR="00041C4E">
        <w:t xml:space="preserve"> </w:t>
      </w:r>
    </w:p>
    <w:p w14:paraId="779BFE3C" w14:textId="469062D5" w:rsidR="00170F69" w:rsidRDefault="005A613F" w:rsidP="00DC5AD6">
      <w:r>
        <w:t>In the case of logarithms, they</w:t>
      </w:r>
      <w:r w:rsidR="00170F69">
        <w:t xml:space="preserve"> could be conceptualised differently </w:t>
      </w:r>
      <w:r w:rsidR="007D6E14">
        <w:t>when introduced</w:t>
      </w:r>
      <w:r w:rsidR="00170F69">
        <w:t xml:space="preserve"> </w:t>
      </w:r>
      <w:r>
        <w:t>than</w:t>
      </w:r>
      <w:r w:rsidR="00170F69">
        <w:t xml:space="preserve"> in later </w:t>
      </w:r>
      <w:r>
        <w:t>subsequent teaching</w:t>
      </w:r>
      <w:r w:rsidR="00170F69">
        <w:t xml:space="preserve">, just as </w:t>
      </w:r>
      <w:r w:rsidR="00005124">
        <w:t>sine, cosine, and tangent</w:t>
      </w:r>
      <w:r w:rsidR="00170F69">
        <w:t xml:space="preserve"> could be introduced as relation</w:t>
      </w:r>
      <w:r w:rsidR="00005124">
        <w:t>s</w:t>
      </w:r>
      <w:r w:rsidR="00170F69">
        <w:t xml:space="preserve"> between </w:t>
      </w:r>
      <w:r w:rsidR="006139A0">
        <w:t xml:space="preserve">the </w:t>
      </w:r>
      <w:r w:rsidR="00170F69">
        <w:t xml:space="preserve">sides of a triangle, </w:t>
      </w:r>
      <w:r w:rsidR="007D6E14">
        <w:t>while</w:t>
      </w:r>
      <w:r w:rsidR="00170F69">
        <w:t xml:space="preserve"> later defined as functions. But the meaningful selection of ways to define and give meaning to concepts demands </w:t>
      </w:r>
      <w:proofErr w:type="spellStart"/>
      <w:r w:rsidR="00170F69">
        <w:t>SCK</w:t>
      </w:r>
      <w:proofErr w:type="spellEnd"/>
      <w:r w:rsidR="00170F69">
        <w:t xml:space="preserve"> </w:t>
      </w:r>
      <w:r w:rsidR="00170F69">
        <w:rPr>
          <w:noProof/>
        </w:rPr>
        <w:t>(Ball et al., 2008)</w:t>
      </w:r>
      <w:r w:rsidR="00170F69">
        <w:t>.</w:t>
      </w:r>
      <w:r w:rsidR="00170F69" w:rsidRPr="008575E4">
        <w:t xml:space="preserve"> </w:t>
      </w:r>
      <w:r w:rsidR="005D7F62">
        <w:t>Within the course of a PhD project</w:t>
      </w:r>
      <w:r w:rsidR="00C12B82">
        <w:t xml:space="preserve">, </w:t>
      </w:r>
      <w:r w:rsidR="00BA7B27">
        <w:t>I seek</w:t>
      </w:r>
      <w:r w:rsidR="00C12B82">
        <w:t xml:space="preserve"> to</w:t>
      </w:r>
      <w:r w:rsidR="00170F69" w:rsidRPr="008575E4">
        <w:t xml:space="preserve"> unpack the mathematical content of logarithms and make it accessible to pre-service and in-service teachers as well as mathematics education researchers.</w:t>
      </w:r>
      <w:r w:rsidR="00DC5AD6">
        <w:t xml:space="preserve"> The current paper reports on a </w:t>
      </w:r>
      <w:proofErr w:type="spellStart"/>
      <w:r w:rsidR="00DC5AD6">
        <w:t>substudy</w:t>
      </w:r>
      <w:proofErr w:type="spellEnd"/>
      <w:r w:rsidR="00DC5AD6">
        <w:t xml:space="preserve"> </w:t>
      </w:r>
      <w:r w:rsidR="00D31346">
        <w:t>of a</w:t>
      </w:r>
      <w:r w:rsidR="00DC5AD6">
        <w:t xml:space="preserve"> project </w:t>
      </w:r>
      <w:r w:rsidR="0000122A">
        <w:t xml:space="preserve">aimed </w:t>
      </w:r>
      <w:r w:rsidR="00170F69">
        <w:t>at developing a comprehensive model of meaning for the concept of logarithms, grounded in mathematical and educational perspectives. While the full project incorporates literature, interviews, and teacher workshops, this paper focuses on university textbooks, constituting one quarter of the full study.</w:t>
      </w:r>
    </w:p>
    <w:p w14:paraId="36753311" w14:textId="77777777" w:rsidR="00170F69" w:rsidRDefault="00170F69" w:rsidP="00170F69">
      <w:pPr>
        <w:pStyle w:val="Rubrik3"/>
      </w:pPr>
      <w:r>
        <w:t>Aim and research questions</w:t>
      </w:r>
    </w:p>
    <w:p w14:paraId="4934E2F9" w14:textId="5CB89204" w:rsidR="00170F69" w:rsidRDefault="00170F69" w:rsidP="00170F69">
      <w:pPr>
        <w:pStyle w:val="Brdtext"/>
      </w:pPr>
      <w:r>
        <w:t>This study explore</w:t>
      </w:r>
      <w:r w:rsidR="0031698F">
        <w:t>s</w:t>
      </w:r>
      <w:r>
        <w:t xml:space="preserve"> </w:t>
      </w:r>
      <w:r w:rsidR="003B106D">
        <w:t xml:space="preserve">manifested ways in which the concept of logarithms is defined and given meaning </w:t>
      </w:r>
      <w:r>
        <w:t xml:space="preserve">in </w:t>
      </w:r>
      <w:r w:rsidR="003B106D">
        <w:t xml:space="preserve">university </w:t>
      </w:r>
      <w:r>
        <w:t>mathematics textbooks</w:t>
      </w:r>
      <w:r w:rsidR="00856D25">
        <w:t xml:space="preserve"> on real analysis</w:t>
      </w:r>
      <w:r>
        <w:t xml:space="preserve">. </w:t>
      </w:r>
      <w:r w:rsidR="00F46599">
        <w:t>The</w:t>
      </w:r>
      <w:r>
        <w:t xml:space="preserve"> </w:t>
      </w:r>
      <w:r w:rsidR="0031698F">
        <w:t>aim is</w:t>
      </w:r>
      <w:r>
        <w:t xml:space="preserve"> to </w:t>
      </w:r>
      <w:r w:rsidR="00CD1986">
        <w:t>develop</w:t>
      </w:r>
      <w:r>
        <w:t xml:space="preserve"> a model of meaning containing diverse but normative definitions and meaning</w:t>
      </w:r>
      <w:r w:rsidR="004C1B32">
        <w:t xml:space="preserve"> facets</w:t>
      </w:r>
      <w:r>
        <w:t xml:space="preserve"> of the concept of logarithms. The </w:t>
      </w:r>
      <w:r w:rsidR="00D7725D">
        <w:t>following research questions guide the study:</w:t>
      </w:r>
    </w:p>
    <w:p w14:paraId="0CF45575" w14:textId="6988887D" w:rsidR="00170F69" w:rsidRDefault="00170F69" w:rsidP="00170F69">
      <w:pPr>
        <w:pStyle w:val="Brdtext"/>
        <w:ind w:left="1420" w:hanging="720"/>
      </w:pPr>
      <w:r>
        <w:t xml:space="preserve">RQ1: </w:t>
      </w:r>
      <w:r>
        <w:tab/>
        <w:t>Which definitions and meaning</w:t>
      </w:r>
      <w:r w:rsidR="004C1B32">
        <w:t xml:space="preserve"> facets</w:t>
      </w:r>
      <w:r>
        <w:t xml:space="preserve"> of the concept of logarithms are manifested in university mathematics textbooks as the concept is introduced?</w:t>
      </w:r>
    </w:p>
    <w:p w14:paraId="147F2BAB" w14:textId="31FFD589" w:rsidR="00170F69" w:rsidRDefault="00170F69" w:rsidP="00170F69">
      <w:pPr>
        <w:ind w:left="1416" w:hanging="708"/>
      </w:pPr>
      <w:r>
        <w:t>RQ2:</w:t>
      </w:r>
      <w:r>
        <w:tab/>
      </w:r>
      <w:r w:rsidR="006E66FB">
        <w:t>How can the</w:t>
      </w:r>
      <w:r w:rsidR="00803EFD">
        <w:t>se</w:t>
      </w:r>
      <w:r w:rsidR="006E66FB">
        <w:t xml:space="preserve"> definitions and meaning facets be organised into a model of meaning for the concept of logarithms?</w:t>
      </w:r>
    </w:p>
    <w:p w14:paraId="6DBB0181" w14:textId="77777777" w:rsidR="00170F69" w:rsidRDefault="00170F69" w:rsidP="00170F69">
      <w:pPr>
        <w:pStyle w:val="Rubrik2"/>
      </w:pPr>
      <w:r>
        <w:t>Background</w:t>
      </w:r>
    </w:p>
    <w:p w14:paraId="19F4C116" w14:textId="590D8F53" w:rsidR="00491CC4" w:rsidRPr="00491CC4" w:rsidRDefault="00170F69" w:rsidP="009F61F4">
      <w:pPr>
        <w:pStyle w:val="Brdtext"/>
      </w:pPr>
      <w:r>
        <w:t xml:space="preserve">Mathematical approaches to mathematics education research take mathematics as the main reference point for investigating how mathematical content is recontextualised in educational settings </w:t>
      </w:r>
      <w:r>
        <w:rPr>
          <w:noProof/>
        </w:rPr>
        <w:t>(Bergsten, 2020)</w:t>
      </w:r>
      <w:r>
        <w:t>. Examples include the Anthropological Theory of Didactics (</w:t>
      </w:r>
      <w:proofErr w:type="spellStart"/>
      <w:r>
        <w:t>ATD</w:t>
      </w:r>
      <w:proofErr w:type="spellEnd"/>
      <w:r>
        <w:t xml:space="preserve">), MKT and the German traditions of Stoffdidaktik </w:t>
      </w:r>
      <w:r>
        <w:rPr>
          <w:noProof/>
        </w:rPr>
        <w:t>(Bergsten, 2020)</w:t>
      </w:r>
      <w:r>
        <w:t xml:space="preserve">. While </w:t>
      </w:r>
      <w:proofErr w:type="spellStart"/>
      <w:r>
        <w:t>ATD</w:t>
      </w:r>
      <w:proofErr w:type="spellEnd"/>
      <w:r>
        <w:t xml:space="preserve"> emphasizes the relativity of mathematical knowledge </w:t>
      </w:r>
      <w:r w:rsidR="00540DAF">
        <w:t>with respect to</w:t>
      </w:r>
      <w:r>
        <w:t xml:space="preserve"> institutions </w:t>
      </w:r>
      <w:r>
        <w:rPr>
          <w:noProof/>
        </w:rPr>
        <w:t>(Bosch &amp; Gascón, 2006)</w:t>
      </w:r>
      <w:r>
        <w:t xml:space="preserve">, MKT and Stoffdidaktik attach great importance to didactical analyses of mathematical content as a key activity in preparing the subject for teaching </w:t>
      </w:r>
      <w:r>
        <w:rPr>
          <w:noProof/>
        </w:rPr>
        <w:t>(Ball et al., 2008; Hußmann et al., 2016)</w:t>
      </w:r>
      <w:r>
        <w:t xml:space="preserve">. A key tool </w:t>
      </w:r>
      <w:r w:rsidR="00573703">
        <w:t>is</w:t>
      </w:r>
      <w:r w:rsidR="006C04CA">
        <w:t xml:space="preserve"> </w:t>
      </w:r>
      <w:r>
        <w:t xml:space="preserve">subject matter analysis, which aims to make mathematics accessible and comprehensible for learners through analysis of the subject matter, while preserving mathematical rigor </w:t>
      </w:r>
      <w:r>
        <w:rPr>
          <w:noProof/>
        </w:rPr>
        <w:t>(Hußmann et al., 2016)</w:t>
      </w:r>
      <w:r>
        <w:t>. Such analys</w:t>
      </w:r>
      <w:r w:rsidR="00F00BC4">
        <w:t>e</w:t>
      </w:r>
      <w:r>
        <w:t xml:space="preserve">s </w:t>
      </w:r>
      <w:r w:rsidR="00E42E73">
        <w:t>ha</w:t>
      </w:r>
      <w:r w:rsidR="00F00BC4">
        <w:t>ve</w:t>
      </w:r>
      <w:r w:rsidR="00E42E73">
        <w:t xml:space="preserve"> </w:t>
      </w:r>
      <w:r w:rsidR="00F00BC4">
        <w:t>previously resulted in theoretical</w:t>
      </w:r>
      <w:r>
        <w:t xml:space="preserve"> foundation</w:t>
      </w:r>
      <w:r w:rsidR="00F00BC4">
        <w:t>s</w:t>
      </w:r>
      <w:r>
        <w:t xml:space="preserve"> for empirical research and scholarly discussions </w:t>
      </w:r>
      <w:r>
        <w:rPr>
          <w:noProof/>
        </w:rPr>
        <w:t>(Kolloshe, 2024; Lankeit &amp; Biehler, 2024)</w:t>
      </w:r>
      <w:r>
        <w:t>.</w:t>
      </w:r>
      <w:r w:rsidR="006C5161">
        <w:t xml:space="preserve"> </w:t>
      </w:r>
      <w:r w:rsidR="00491CC4">
        <w:t>Felix</w:t>
      </w:r>
      <w:r w:rsidR="009F61F4">
        <w:t xml:space="preserve"> </w:t>
      </w:r>
      <w:r w:rsidR="009F61F4" w:rsidRPr="008676F4">
        <w:t>Kl</w:t>
      </w:r>
      <w:r w:rsidR="001A6B7E">
        <w:t>e</w:t>
      </w:r>
      <w:r w:rsidR="009F61F4" w:rsidRPr="008676F4">
        <w:t>in (1908/2016) was</w:t>
      </w:r>
      <w:r w:rsidR="009F61F4">
        <w:t xml:space="preserve"> a pioneer of this approach. Through mathematical, didactical </w:t>
      </w:r>
      <w:r w:rsidR="009F61F4">
        <w:lastRenderedPageBreak/>
        <w:t>and historical analysis, he aimed to make the concept of logarithms</w:t>
      </w:r>
      <w:r w:rsidR="00D52AAF">
        <w:t xml:space="preserve"> </w:t>
      </w:r>
      <w:r w:rsidR="009F61F4">
        <w:t xml:space="preserve">teachable for school mathematics. He </w:t>
      </w:r>
      <w:r w:rsidR="00597EF1">
        <w:t>concluded</w:t>
      </w:r>
      <w:r w:rsidR="009F61F4">
        <w:t xml:space="preserve"> </w:t>
      </w:r>
      <w:r w:rsidR="001C48D0">
        <w:t xml:space="preserve">by recommending </w:t>
      </w:r>
      <w:r w:rsidR="009F61F4">
        <w:t>the integral definition of logarithms (see below) as the most suitable way to introduce the concept in school</w:t>
      </w:r>
      <w:r w:rsidR="002C6589">
        <w:t>.</w:t>
      </w:r>
    </w:p>
    <w:p w14:paraId="389B4C52" w14:textId="77777777" w:rsidR="00170F69" w:rsidRDefault="00170F69" w:rsidP="00170F69">
      <w:pPr>
        <w:pStyle w:val="Rubrik3"/>
      </w:pPr>
      <w:r>
        <w:t xml:space="preserve">Subject matter analysis </w:t>
      </w:r>
    </w:p>
    <w:p w14:paraId="38CBB8CF" w14:textId="39C46BE7" w:rsidR="00170F69" w:rsidRDefault="00170F69" w:rsidP="00170F69">
      <w:pPr>
        <w:ind w:firstLine="0"/>
      </w:pPr>
      <w:r>
        <w:t xml:space="preserve">This study applies subject matter analysis </w:t>
      </w:r>
      <w:r w:rsidR="00586CDD">
        <w:t>informed</w:t>
      </w:r>
      <w:r w:rsidR="00B431D5">
        <w:t xml:space="preserve"> by</w:t>
      </w:r>
      <w:r>
        <w:t xml:space="preserve"> </w:t>
      </w:r>
      <w:r>
        <w:rPr>
          <w:noProof/>
        </w:rPr>
        <w:t>Lankeit and Biehler (2024)</w:t>
      </w:r>
      <w:r>
        <w:t xml:space="preserve">, who developed a conceptual framework for modelling the meaning of higher-level mathematical concepts. The framework distinguishes between a </w:t>
      </w:r>
      <w:r>
        <w:rPr>
          <w:i/>
          <w:iCs/>
        </w:rPr>
        <w:t>formal level</w:t>
      </w:r>
      <w:r>
        <w:t xml:space="preserve">, comprising definitions, theorems and proofs, and a </w:t>
      </w:r>
      <w:r>
        <w:rPr>
          <w:i/>
          <w:iCs/>
        </w:rPr>
        <w:t>semantic level</w:t>
      </w:r>
      <w:r>
        <w:t xml:space="preserve">, encompassing sense, meaning and interpretation. Within this </w:t>
      </w:r>
      <w:r w:rsidR="00505C14">
        <w:t>model</w:t>
      </w:r>
      <w:r>
        <w:t xml:space="preserve">, concept definitions appear as </w:t>
      </w:r>
      <w:r>
        <w:rPr>
          <w:i/>
          <w:iCs/>
        </w:rPr>
        <w:t xml:space="preserve">definition variants </w:t>
      </w:r>
      <w:r>
        <w:t xml:space="preserve">(DVs), which are “mathematically equivalent but conceptually different enough to evoke different associations” </w:t>
      </w:r>
      <w:r>
        <w:rPr>
          <w:noProof/>
        </w:rPr>
        <w:t>(Lankeit &amp; Biehler, 2024, p. 3)</w:t>
      </w:r>
      <w:r>
        <w:t xml:space="preserve">. This </w:t>
      </w:r>
      <w:r w:rsidR="009C7B61">
        <w:t xml:space="preserve">equivalence </w:t>
      </w:r>
      <w:r>
        <w:t>means</w:t>
      </w:r>
      <w:r w:rsidR="00417D15">
        <w:t xml:space="preserve"> </w:t>
      </w:r>
      <w:r>
        <w:t xml:space="preserve">that one concept definition can be used to derive theorems which </w:t>
      </w:r>
      <w:r w:rsidR="00980A58">
        <w:t>in turn</w:t>
      </w:r>
      <w:r>
        <w:t xml:space="preserve"> can be used to define the same concept. The DVs may be </w:t>
      </w:r>
      <w:r>
        <w:rPr>
          <w:i/>
          <w:iCs/>
        </w:rPr>
        <w:t>constructive</w:t>
      </w:r>
      <w:r>
        <w:t xml:space="preserve">, specifying how to generate an object, or </w:t>
      </w:r>
      <w:r>
        <w:rPr>
          <w:i/>
          <w:iCs/>
        </w:rPr>
        <w:t>relational-descriptive</w:t>
      </w:r>
      <w:r>
        <w:t xml:space="preserve">, defining it through </w:t>
      </w:r>
      <w:r w:rsidR="00980A58">
        <w:t xml:space="preserve">its </w:t>
      </w:r>
      <w:r>
        <w:t xml:space="preserve">abstract properties </w:t>
      </w:r>
      <w:r>
        <w:rPr>
          <w:noProof/>
        </w:rPr>
        <w:t>(Lankeit &amp; Biehler, 2024)</w:t>
      </w:r>
      <w:r>
        <w:t xml:space="preserve">. For example, odd numbers can be constructively defined as </w:t>
      </w:r>
      <m:oMath>
        <m:r>
          <w:rPr>
            <w:rFonts w:ascii="Cambria Math" w:hAnsi="Cambria Math"/>
            <w:sz w:val="24"/>
            <w:szCs w:val="24"/>
          </w:rPr>
          <m:t>2n+1, n</m:t>
        </m:r>
        <m:r>
          <m:rPr>
            <m:scr m:val="double-struck"/>
          </m:rPr>
          <w:rPr>
            <w:rFonts w:ascii="Cambria Math" w:hAnsi="Cambria Math"/>
            <w:sz w:val="24"/>
            <w:szCs w:val="24"/>
          </w:rPr>
          <m:t>∈Z</m:t>
        </m:r>
      </m:oMath>
      <w:r>
        <w:t xml:space="preserve">, or relational-descriptively defined as integers </w:t>
      </w:r>
      <w:r w:rsidR="00892DC2">
        <w:t>in</w:t>
      </w:r>
      <w:r>
        <w:t>divisible by 2.</w:t>
      </w:r>
    </w:p>
    <w:p w14:paraId="7A7DC0ED" w14:textId="14C08CE7" w:rsidR="00170F69" w:rsidRDefault="00170F69" w:rsidP="00170F69">
      <w:r>
        <w:t xml:space="preserve">The semantic level of the </w:t>
      </w:r>
      <w:r w:rsidR="00E074C2">
        <w:t>framework</w:t>
      </w:r>
      <w:r>
        <w:t xml:space="preserve"> addresses </w:t>
      </w:r>
      <w:r>
        <w:rPr>
          <w:i/>
          <w:iCs/>
        </w:rPr>
        <w:t>facets of meaning</w:t>
      </w:r>
      <w:r>
        <w:t xml:space="preserve"> of the concept, which articulate different interpretive perspectives. In </w:t>
      </w:r>
      <w:r>
        <w:rPr>
          <w:noProof/>
        </w:rPr>
        <w:t>Lankeit and Biehler (2024)</w:t>
      </w:r>
      <w:r>
        <w:t>, facets of meaning were organised according to contexts of interpretation</w:t>
      </w:r>
      <w:r w:rsidR="00832FF8">
        <w:t xml:space="preserve"> (analytic-algebraic, geometric and approximation context)</w:t>
      </w:r>
      <w:r>
        <w:t xml:space="preserve">, derived from mathematics education literature on </w:t>
      </w:r>
      <w:r w:rsidR="00B459EB">
        <w:t>a nearby mathematics concept</w:t>
      </w:r>
      <w:r>
        <w:t xml:space="preserve">. </w:t>
      </w:r>
    </w:p>
    <w:p w14:paraId="455F3B3C" w14:textId="3BC3F4CC" w:rsidR="00170F69" w:rsidRPr="00CF3051" w:rsidRDefault="00170F69" w:rsidP="00170F69">
      <w:pPr>
        <w:pStyle w:val="Rubrik3"/>
      </w:pPr>
      <w:r>
        <w:t xml:space="preserve">Categorisations of logarithm definitions and </w:t>
      </w:r>
      <w:r w:rsidR="00D81120">
        <w:t>interpretations</w:t>
      </w:r>
    </w:p>
    <w:p w14:paraId="0724F5D4" w14:textId="03E40EDA" w:rsidR="00E26B48" w:rsidRDefault="00170F69" w:rsidP="00DE5895">
      <w:pPr>
        <w:pStyle w:val="Brdtext"/>
      </w:pPr>
      <w:r>
        <w:t xml:space="preserve">Previous research on different definitions and </w:t>
      </w:r>
      <w:r w:rsidR="00D81120">
        <w:t>interpretive aspects</w:t>
      </w:r>
      <w:r>
        <w:t xml:space="preserve"> of the logarithm that may be held by students or communicated through teaching suggest</w:t>
      </w:r>
      <w:r w:rsidR="00DA7D4F">
        <w:t>s</w:t>
      </w:r>
      <w:r>
        <w:t xml:space="preserve"> various categorisations, summarised in Table 1. </w:t>
      </w:r>
      <w:r>
        <w:rPr>
          <w:noProof/>
        </w:rPr>
        <w:t>Ricardo (2022)</w:t>
      </w:r>
      <w:r>
        <w:t xml:space="preserve"> outlined four common ways to define the natural logarithm and proved their equivalence. </w:t>
      </w:r>
      <m:oMath>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t xml:space="preserve"> was defined as the </w:t>
      </w:r>
      <w:r w:rsidR="002F4DEC" w:rsidRPr="002E0B0A">
        <w:rPr>
          <w:i/>
          <w:iCs/>
        </w:rPr>
        <w:t>limit</w:t>
      </w:r>
      <w:r w:rsidR="002F4DEC">
        <w:rPr>
          <w:i/>
          <w:iCs/>
        </w:rPr>
        <w:t xml:space="preserve"> </w:t>
      </w:r>
      <w:r w:rsidR="002F4DEC">
        <w:t xml:space="preserve">for </w:t>
      </w:r>
      <m:oMath>
        <m:r>
          <w:rPr>
            <w:rFonts w:ascii="Cambria Math" w:hAnsi="Cambria Math"/>
          </w:rPr>
          <m:t>n(</m:t>
        </m:r>
        <m:rad>
          <m:radPr>
            <m:ctrlPr>
              <w:rPr>
                <w:rFonts w:ascii="Cambria Math" w:hAnsi="Cambria Math"/>
                <w:i/>
              </w:rPr>
            </m:ctrlPr>
          </m:radPr>
          <m:deg>
            <m:r>
              <w:rPr>
                <w:rFonts w:ascii="Cambria Math" w:hAnsi="Cambria Math"/>
              </w:rPr>
              <m:t>n</m:t>
            </m:r>
          </m:deg>
          <m:e>
            <m:r>
              <w:rPr>
                <w:rFonts w:ascii="Cambria Math" w:hAnsi="Cambria Math"/>
              </w:rPr>
              <m:t>x-1</m:t>
            </m:r>
          </m:e>
        </m:rad>
        <m:r>
          <w:rPr>
            <w:rFonts w:ascii="Cambria Math" w:hAnsi="Cambria Math"/>
          </w:rPr>
          <m:t>)</m:t>
        </m:r>
      </m:oMath>
      <w:r w:rsidR="002F4DEC">
        <w:t xml:space="preserve"> as </w:t>
      </w:r>
      <m:oMath>
        <m:r>
          <w:rPr>
            <w:rFonts w:ascii="Cambria Math" w:hAnsi="Cambria Math"/>
          </w:rPr>
          <m:t>n→∞</m:t>
        </m:r>
      </m:oMath>
      <w:r w:rsidR="002F4DEC">
        <w:t xml:space="preserve">, </w:t>
      </w:r>
      <w:r>
        <w:t xml:space="preserve">as the </w:t>
      </w:r>
      <w:r w:rsidRPr="005B226A">
        <w:rPr>
          <w:i/>
          <w:iCs/>
        </w:rPr>
        <w:t>integral</w:t>
      </w:r>
      <w:r>
        <w:t xml:space="preserve"> </w:t>
      </w:r>
      <m:oMath>
        <m:nary>
          <m:naryPr>
            <m:limLoc m:val="subSup"/>
            <m:ctrlPr>
              <w:rPr>
                <w:rFonts w:ascii="Cambria Math" w:hAnsi="Cambria Math"/>
                <w:i/>
              </w:rPr>
            </m:ctrlPr>
          </m:naryPr>
          <m:sub>
            <m:r>
              <w:rPr>
                <w:rFonts w:ascii="Cambria Math" w:hAnsi="Cambria Math"/>
              </w:rPr>
              <m:t>1</m:t>
            </m:r>
          </m:sub>
          <m:sup>
            <m:r>
              <w:rPr>
                <w:rFonts w:ascii="Cambria Math" w:hAnsi="Cambria Math"/>
              </w:rPr>
              <m:t>x</m:t>
            </m:r>
          </m:sup>
          <m:e>
            <m:f>
              <m:fPr>
                <m:ctrlPr>
                  <w:rPr>
                    <w:rFonts w:ascii="Cambria Math" w:hAnsi="Cambria Math"/>
                    <w:i/>
                  </w:rPr>
                </m:ctrlPr>
              </m:fPr>
              <m:num>
                <m:r>
                  <w:rPr>
                    <w:rFonts w:ascii="Cambria Math" w:hAnsi="Cambria Math"/>
                  </w:rPr>
                  <m:t>1</m:t>
                </m:r>
              </m:num>
              <m:den>
                <m:r>
                  <w:rPr>
                    <w:rFonts w:ascii="Cambria Math" w:hAnsi="Cambria Math"/>
                  </w:rPr>
                  <m:t>t</m:t>
                </m:r>
              </m:den>
            </m:f>
            <m:r>
              <w:rPr>
                <w:rFonts w:ascii="Cambria Math" w:hAnsi="Cambria Math"/>
              </w:rPr>
              <m:t>dt</m:t>
            </m:r>
          </m:e>
        </m:nary>
      </m:oMath>
      <w:r w:rsidR="006D5124">
        <w:t xml:space="preserve"> for </w:t>
      </w:r>
      <m:oMath>
        <m:r>
          <w:rPr>
            <w:rFonts w:ascii="Cambria Math" w:hAnsi="Cambria Math"/>
          </w:rPr>
          <m:t>x&gt;0</m:t>
        </m:r>
      </m:oMath>
      <w:r>
        <w:t xml:space="preserve">, as the unique continuous </w:t>
      </w:r>
      <w:r w:rsidRPr="00FB6759">
        <w:rPr>
          <w:i/>
          <w:iCs/>
        </w:rPr>
        <w:t>solution</w:t>
      </w:r>
      <w:r>
        <w:t xml:space="preserve"> </w:t>
      </w:r>
      <w:r w:rsidRPr="00FB6759">
        <w:rPr>
          <w:i/>
          <w:iCs/>
        </w:rPr>
        <w:t>of the functional equation</w:t>
      </w:r>
      <w:r>
        <w:t xml:space="preserve"> </w:t>
      </w: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+f(y)</m:t>
        </m:r>
      </m:oMath>
      <w:r>
        <w:t xml:space="preserve">, </w:t>
      </w:r>
      <m:oMath>
        <m:r>
          <w:rPr>
            <w:rFonts w:ascii="Cambria Math" w:hAnsi="Cambria Math"/>
          </w:rPr>
          <m:t>f</m:t>
        </m:r>
        <m:d>
          <m:dPr>
            <m:ctrlPr>
              <w:rPr>
                <w:rFonts w:ascii="Cambria Math" w:hAnsi="Cambria Math"/>
                <w:i/>
              </w:rPr>
            </m:ctrlPr>
          </m:dPr>
          <m:e>
            <m:r>
              <w:rPr>
                <w:rFonts w:ascii="Cambria Math" w:hAnsi="Cambria Math"/>
              </w:rPr>
              <m:t>e</m:t>
            </m:r>
          </m:e>
        </m:d>
        <m:r>
          <w:rPr>
            <w:rFonts w:ascii="Cambria Math" w:hAnsi="Cambria Math"/>
          </w:rPr>
          <m:t>=1</m:t>
        </m:r>
      </m:oMath>
      <w:r w:rsidR="002F4DEC">
        <w:t xml:space="preserve">, and as the </w:t>
      </w:r>
      <w:r w:rsidR="002F4DEC" w:rsidRPr="004B4EAC">
        <w:rPr>
          <w:i/>
          <w:iCs/>
        </w:rPr>
        <w:t>inverse</w:t>
      </w:r>
      <w:r w:rsidR="002F4DEC">
        <w:t xml:space="preserve"> of </w:t>
      </w:r>
      <m:oMath>
        <m:sSup>
          <m:sSupPr>
            <m:ctrlPr>
              <w:rPr>
                <w:rFonts w:ascii="Cambria Math" w:hAnsi="Cambria Math"/>
                <w:i/>
              </w:rPr>
            </m:ctrlPr>
          </m:sSupPr>
          <m:e>
            <m:r>
              <w:rPr>
                <w:rFonts w:ascii="Cambria Math" w:hAnsi="Cambria Math"/>
              </w:rPr>
              <m:t>e</m:t>
            </m:r>
          </m:e>
          <m:sup>
            <m:r>
              <w:rPr>
                <w:rFonts w:ascii="Cambria Math" w:hAnsi="Cambria Math"/>
              </w:rPr>
              <m:t>x</m:t>
            </m:r>
          </m:sup>
        </m:sSup>
      </m:oMath>
      <w:r w:rsidR="002F4DEC">
        <w:t>.</w:t>
      </w:r>
      <w:r w:rsidR="005443E4" w:rsidRPr="005443E4">
        <w:t xml:space="preserve"> </w:t>
      </w:r>
      <w:r w:rsidR="005443E4">
        <w:t xml:space="preserve">Conducting a historical review, </w:t>
      </w:r>
      <w:r w:rsidR="005443E4">
        <w:rPr>
          <w:noProof/>
        </w:rPr>
        <w:t>Riley (2023)</w:t>
      </w:r>
      <w:r w:rsidR="005443E4">
        <w:t xml:space="preserve"> identified five </w:t>
      </w:r>
      <w:r w:rsidR="00701CD5">
        <w:t>various</w:t>
      </w:r>
      <w:r w:rsidR="005443E4">
        <w:t xml:space="preserve"> ways </w:t>
      </w:r>
      <w:r w:rsidR="008C0E55">
        <w:t>in</w:t>
      </w:r>
      <w:r w:rsidR="00701CD5">
        <w:t xml:space="preserve"> which</w:t>
      </w:r>
    </w:p>
    <w:tbl>
      <w:tblPr>
        <w:tblStyle w:val="Oformateradtabell4"/>
        <w:tblpPr w:leftFromText="141" w:rightFromText="141" w:vertAnchor="text" w:horzAnchor="margin" w:tblpY="171"/>
        <w:tblW w:w="0" w:type="auto"/>
        <w:tblLook w:val="0220" w:firstRow="1" w:lastRow="0" w:firstColumn="0" w:lastColumn="0" w:noHBand="1" w:noVBand="0"/>
      </w:tblPr>
      <w:tblGrid>
        <w:gridCol w:w="2265"/>
        <w:gridCol w:w="2265"/>
        <w:gridCol w:w="2416"/>
        <w:gridCol w:w="2114"/>
      </w:tblGrid>
      <w:tr w:rsidR="00E26B48" w:rsidRPr="004961C8" w14:paraId="77FECF36" w14:textId="77777777" w:rsidTr="00630DA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Borders>
              <w:bottom w:val="single" w:sz="4" w:space="0" w:color="auto"/>
            </w:tcBorders>
          </w:tcPr>
          <w:p w14:paraId="2FF7816F" w14:textId="77777777" w:rsidR="00E26B48" w:rsidRPr="003E3407" w:rsidRDefault="00E26B48" w:rsidP="00630DAB">
            <w:pPr>
              <w:ind w:firstLine="0"/>
              <w:jc w:val="left"/>
              <w:rPr>
                <w:sz w:val="22"/>
                <w:szCs w:val="22"/>
              </w:rPr>
            </w:pPr>
            <w:r>
              <w:rPr>
                <w:sz w:val="22"/>
                <w:szCs w:val="22"/>
              </w:rPr>
              <w:t>Definitions</w:t>
            </w:r>
          </w:p>
        </w:tc>
        <w:tc>
          <w:tcPr>
            <w:tcW w:w="6795" w:type="dxa"/>
            <w:gridSpan w:val="3"/>
            <w:tcBorders>
              <w:bottom w:val="single" w:sz="4" w:space="0" w:color="auto"/>
            </w:tcBorders>
          </w:tcPr>
          <w:p w14:paraId="452D5ABD" w14:textId="77777777" w:rsidR="00E26B48" w:rsidRPr="003E3407" w:rsidRDefault="00E26B48" w:rsidP="00630DAB">
            <w:pPr>
              <w:ind w:firstLine="0"/>
              <w:jc w:val="left"/>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Interpretations</w:t>
            </w:r>
          </w:p>
        </w:tc>
      </w:tr>
      <w:tr w:rsidR="00E26B48" w:rsidRPr="004961C8" w14:paraId="2938A098"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bottom w:val="single" w:sz="4" w:space="0" w:color="auto"/>
            </w:tcBorders>
          </w:tcPr>
          <w:p w14:paraId="0560408F" w14:textId="77777777" w:rsidR="00E26B48" w:rsidRPr="003E3407" w:rsidRDefault="00E26B48" w:rsidP="00630DAB">
            <w:pPr>
              <w:ind w:firstLine="0"/>
              <w:jc w:val="left"/>
              <w:rPr>
                <w:sz w:val="22"/>
                <w:szCs w:val="22"/>
              </w:rPr>
            </w:pPr>
            <w:r>
              <w:rPr>
                <w:sz w:val="22"/>
                <w:szCs w:val="22"/>
              </w:rPr>
              <w:t>Ricardo (2022)</w:t>
            </w:r>
          </w:p>
        </w:tc>
        <w:tc>
          <w:tcPr>
            <w:tcW w:w="2265" w:type="dxa"/>
            <w:tcBorders>
              <w:bottom w:val="single" w:sz="4" w:space="0" w:color="auto"/>
            </w:tcBorders>
          </w:tcPr>
          <w:p w14:paraId="58995DAD" w14:textId="77777777" w:rsidR="00E26B48" w:rsidRPr="003E3407"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3E3407">
              <w:rPr>
                <w:sz w:val="22"/>
                <w:szCs w:val="22"/>
              </w:rPr>
              <w:t>Riley (2023)</w:t>
            </w:r>
          </w:p>
        </w:tc>
        <w:tc>
          <w:tcPr>
            <w:cnfStyle w:val="000010000000" w:firstRow="0" w:lastRow="0" w:firstColumn="0" w:lastColumn="0" w:oddVBand="1" w:evenVBand="0" w:oddHBand="0" w:evenHBand="0" w:firstRowFirstColumn="0" w:firstRowLastColumn="0" w:lastRowFirstColumn="0" w:lastRowLastColumn="0"/>
            <w:tcW w:w="2416" w:type="dxa"/>
            <w:tcBorders>
              <w:bottom w:val="single" w:sz="4" w:space="0" w:color="auto"/>
            </w:tcBorders>
            <w:shd w:val="clear" w:color="auto" w:fill="FFFFFF" w:themeFill="background1"/>
          </w:tcPr>
          <w:p w14:paraId="0EABAABD" w14:textId="77777777" w:rsidR="00E26B48" w:rsidRPr="003E3407" w:rsidRDefault="00E26B48" w:rsidP="00630DAB">
            <w:pPr>
              <w:ind w:firstLine="0"/>
              <w:jc w:val="left"/>
              <w:rPr>
                <w:sz w:val="22"/>
                <w:szCs w:val="22"/>
              </w:rPr>
            </w:pPr>
            <w:r w:rsidRPr="003E3407">
              <w:rPr>
                <w:sz w:val="22"/>
                <w:szCs w:val="22"/>
              </w:rPr>
              <w:t>Weber (2016)</w:t>
            </w:r>
          </w:p>
        </w:tc>
        <w:tc>
          <w:tcPr>
            <w:tcW w:w="2114" w:type="dxa"/>
            <w:tcBorders>
              <w:bottom w:val="single" w:sz="4" w:space="0" w:color="auto"/>
            </w:tcBorders>
          </w:tcPr>
          <w:p w14:paraId="6AC1D5EC" w14:textId="77777777" w:rsidR="00E26B48" w:rsidRPr="003E3407"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3E3407">
              <w:rPr>
                <w:sz w:val="22"/>
                <w:szCs w:val="22"/>
              </w:rPr>
              <w:t>Gruver (2018)</w:t>
            </w:r>
          </w:p>
        </w:tc>
      </w:tr>
      <w:tr w:rsidR="00E26B48" w:rsidRPr="004961C8" w14:paraId="60752015"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top w:val="single" w:sz="4" w:space="0" w:color="auto"/>
              <w:bottom w:val="single" w:sz="4" w:space="0" w:color="BFBFBF" w:themeColor="background1" w:themeShade="BF"/>
            </w:tcBorders>
          </w:tcPr>
          <w:p w14:paraId="7C75A33C" w14:textId="77777777" w:rsidR="00E26B48" w:rsidRPr="004961C8" w:rsidRDefault="00E26B48" w:rsidP="00630DAB">
            <w:pPr>
              <w:ind w:firstLine="0"/>
              <w:jc w:val="left"/>
              <w:rPr>
                <w:sz w:val="22"/>
                <w:szCs w:val="22"/>
              </w:rPr>
            </w:pPr>
            <w:r>
              <w:rPr>
                <w:sz w:val="22"/>
                <w:szCs w:val="22"/>
              </w:rPr>
              <w:t>Limit</w:t>
            </w:r>
          </w:p>
        </w:tc>
        <w:tc>
          <w:tcPr>
            <w:tcW w:w="2265" w:type="dxa"/>
            <w:tcBorders>
              <w:top w:val="single" w:sz="4" w:space="0" w:color="auto"/>
              <w:bottom w:val="single" w:sz="4" w:space="0" w:color="BFBFBF" w:themeColor="background1" w:themeShade="BF"/>
            </w:tcBorders>
          </w:tcPr>
          <w:p w14:paraId="48042198"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Area</w:t>
            </w:r>
          </w:p>
        </w:tc>
        <w:tc>
          <w:tcPr>
            <w:cnfStyle w:val="000010000000" w:firstRow="0" w:lastRow="0" w:firstColumn="0" w:lastColumn="0" w:oddVBand="1" w:evenVBand="0" w:oddHBand="0" w:evenHBand="0" w:firstRowFirstColumn="0" w:firstRowLastColumn="0" w:lastRowFirstColumn="0" w:lastRowLastColumn="0"/>
            <w:tcW w:w="2416" w:type="dxa"/>
            <w:tcBorders>
              <w:top w:val="single" w:sz="4" w:space="0" w:color="auto"/>
              <w:bottom w:val="single" w:sz="4" w:space="0" w:color="BFBFBF" w:themeColor="background1" w:themeShade="BF"/>
            </w:tcBorders>
            <w:shd w:val="clear" w:color="auto" w:fill="FFFFFF" w:themeFill="background1"/>
          </w:tcPr>
          <w:p w14:paraId="6189942A" w14:textId="77777777" w:rsidR="00E26B48" w:rsidRPr="004961C8" w:rsidRDefault="00E26B48" w:rsidP="00630DAB">
            <w:pPr>
              <w:ind w:firstLine="0"/>
              <w:jc w:val="left"/>
              <w:rPr>
                <w:sz w:val="22"/>
                <w:szCs w:val="22"/>
              </w:rPr>
            </w:pPr>
            <w:r>
              <w:rPr>
                <w:sz w:val="22"/>
                <w:szCs w:val="22"/>
              </w:rPr>
              <w:t>Inverse exponent</w:t>
            </w:r>
          </w:p>
        </w:tc>
        <w:tc>
          <w:tcPr>
            <w:tcW w:w="2114" w:type="dxa"/>
            <w:tcBorders>
              <w:top w:val="single" w:sz="4" w:space="0" w:color="auto"/>
              <w:bottom w:val="single" w:sz="4" w:space="0" w:color="BFBFBF" w:themeColor="background1" w:themeShade="BF"/>
            </w:tcBorders>
          </w:tcPr>
          <w:p w14:paraId="76060830"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4961C8">
              <w:rPr>
                <w:sz w:val="22"/>
                <w:szCs w:val="22"/>
              </w:rPr>
              <w:t>Factor interpretation</w:t>
            </w:r>
          </w:p>
        </w:tc>
      </w:tr>
      <w:tr w:rsidR="00E26B48" w:rsidRPr="004961C8" w14:paraId="130C7329"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top w:val="single" w:sz="4" w:space="0" w:color="BFBFBF" w:themeColor="background1" w:themeShade="BF"/>
              <w:bottom w:val="single" w:sz="4" w:space="0" w:color="BFBFBF" w:themeColor="background1" w:themeShade="BF"/>
            </w:tcBorders>
          </w:tcPr>
          <w:p w14:paraId="085CAF35" w14:textId="77777777" w:rsidR="00E26B48" w:rsidRPr="004961C8" w:rsidRDefault="00E26B48" w:rsidP="00630DAB">
            <w:pPr>
              <w:ind w:firstLine="0"/>
              <w:jc w:val="left"/>
              <w:rPr>
                <w:sz w:val="22"/>
                <w:szCs w:val="22"/>
              </w:rPr>
            </w:pPr>
            <w:r>
              <w:rPr>
                <w:sz w:val="22"/>
                <w:szCs w:val="22"/>
              </w:rPr>
              <w:t xml:space="preserve">Integral </w:t>
            </w:r>
          </w:p>
        </w:tc>
        <w:tc>
          <w:tcPr>
            <w:tcW w:w="2265" w:type="dxa"/>
            <w:tcBorders>
              <w:top w:val="single" w:sz="4" w:space="0" w:color="BFBFBF" w:themeColor="background1" w:themeShade="BF"/>
              <w:bottom w:val="single" w:sz="4" w:space="0" w:color="BFBFBF" w:themeColor="background1" w:themeShade="BF"/>
            </w:tcBorders>
          </w:tcPr>
          <w:p w14:paraId="66BA351B"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Exponent</w:t>
            </w:r>
          </w:p>
        </w:tc>
        <w:tc>
          <w:tcPr>
            <w:cnfStyle w:val="000010000000" w:firstRow="0" w:lastRow="0" w:firstColumn="0" w:lastColumn="0" w:oddVBand="1" w:evenVBand="0" w:oddHBand="0" w:evenHBand="0" w:firstRowFirstColumn="0" w:firstRowLastColumn="0" w:lastRowFirstColumn="0" w:lastRowLastColumn="0"/>
            <w:tcW w:w="2416" w:type="dxa"/>
            <w:tcBorders>
              <w:top w:val="single" w:sz="4" w:space="0" w:color="BFBFBF" w:themeColor="background1" w:themeShade="BF"/>
              <w:bottom w:val="single" w:sz="4" w:space="0" w:color="BFBFBF" w:themeColor="background1" w:themeShade="BF"/>
            </w:tcBorders>
            <w:shd w:val="clear" w:color="auto" w:fill="FFFFFF" w:themeFill="background1"/>
          </w:tcPr>
          <w:p w14:paraId="10943723" w14:textId="77777777" w:rsidR="00E26B48" w:rsidRPr="004961C8" w:rsidRDefault="00E26B48" w:rsidP="00630DAB">
            <w:pPr>
              <w:ind w:firstLine="0"/>
              <w:jc w:val="left"/>
              <w:rPr>
                <w:sz w:val="22"/>
                <w:szCs w:val="22"/>
              </w:rPr>
            </w:pPr>
            <w:r>
              <w:rPr>
                <w:sz w:val="22"/>
                <w:szCs w:val="22"/>
              </w:rPr>
              <w:t>Multiplicative reasoning</w:t>
            </w:r>
          </w:p>
        </w:tc>
        <w:tc>
          <w:tcPr>
            <w:tcW w:w="2114" w:type="dxa"/>
            <w:tcBorders>
              <w:top w:val="single" w:sz="4" w:space="0" w:color="BFBFBF" w:themeColor="background1" w:themeShade="BF"/>
              <w:bottom w:val="single" w:sz="4" w:space="0" w:color="BFBFBF" w:themeColor="background1" w:themeShade="BF"/>
            </w:tcBorders>
          </w:tcPr>
          <w:p w14:paraId="2113E387"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4961C8">
              <w:rPr>
                <w:sz w:val="22"/>
                <w:szCs w:val="22"/>
              </w:rPr>
              <w:t>Exponent</w:t>
            </w:r>
          </w:p>
        </w:tc>
      </w:tr>
      <w:tr w:rsidR="00E26B48" w:rsidRPr="004961C8" w14:paraId="587D2E1B"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top w:val="single" w:sz="4" w:space="0" w:color="BFBFBF" w:themeColor="background1" w:themeShade="BF"/>
              <w:bottom w:val="single" w:sz="4" w:space="0" w:color="BFBFBF" w:themeColor="background1" w:themeShade="BF"/>
            </w:tcBorders>
          </w:tcPr>
          <w:p w14:paraId="5FAA9973" w14:textId="77777777" w:rsidR="00E26B48" w:rsidRPr="004961C8" w:rsidRDefault="00E26B48" w:rsidP="00630DAB">
            <w:pPr>
              <w:ind w:firstLine="0"/>
              <w:jc w:val="left"/>
              <w:rPr>
                <w:sz w:val="22"/>
                <w:szCs w:val="22"/>
              </w:rPr>
            </w:pPr>
            <w:r>
              <w:rPr>
                <w:sz w:val="22"/>
                <w:szCs w:val="22"/>
              </w:rPr>
              <w:t>Unique solution to functional equation</w:t>
            </w:r>
          </w:p>
        </w:tc>
        <w:tc>
          <w:tcPr>
            <w:tcW w:w="2265" w:type="dxa"/>
            <w:tcBorders>
              <w:top w:val="single" w:sz="4" w:space="0" w:color="BFBFBF" w:themeColor="background1" w:themeShade="BF"/>
              <w:bottom w:val="single" w:sz="4" w:space="0" w:color="BFBFBF" w:themeColor="background1" w:themeShade="BF"/>
            </w:tcBorders>
          </w:tcPr>
          <w:p w14:paraId="2ECDBB67"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4961C8">
              <w:rPr>
                <w:sz w:val="22"/>
                <w:szCs w:val="22"/>
              </w:rPr>
              <w:t>A way to simplify calculations</w:t>
            </w:r>
          </w:p>
        </w:tc>
        <w:tc>
          <w:tcPr>
            <w:cnfStyle w:val="000010000000" w:firstRow="0" w:lastRow="0" w:firstColumn="0" w:lastColumn="0" w:oddVBand="1" w:evenVBand="0" w:oddHBand="0" w:evenHBand="0" w:firstRowFirstColumn="0" w:firstRowLastColumn="0" w:lastRowFirstColumn="0" w:lastRowLastColumn="0"/>
            <w:tcW w:w="2416" w:type="dxa"/>
            <w:tcBorders>
              <w:top w:val="single" w:sz="4" w:space="0" w:color="BFBFBF" w:themeColor="background1" w:themeShade="BF"/>
              <w:bottom w:val="single" w:sz="4" w:space="0" w:color="BFBFBF" w:themeColor="background1" w:themeShade="BF"/>
            </w:tcBorders>
            <w:shd w:val="clear" w:color="auto" w:fill="FFFFFF" w:themeFill="background1"/>
          </w:tcPr>
          <w:p w14:paraId="259B241A" w14:textId="77777777" w:rsidR="00E26B48" w:rsidRPr="004961C8" w:rsidRDefault="00E26B48" w:rsidP="00630DAB">
            <w:pPr>
              <w:ind w:firstLine="0"/>
              <w:jc w:val="left"/>
              <w:rPr>
                <w:sz w:val="22"/>
                <w:szCs w:val="22"/>
              </w:rPr>
            </w:pPr>
            <w:r w:rsidRPr="004961C8">
              <w:rPr>
                <w:sz w:val="22"/>
                <w:szCs w:val="22"/>
              </w:rPr>
              <w:t>Decreasing the hierarchy level of operations</w:t>
            </w:r>
          </w:p>
        </w:tc>
        <w:tc>
          <w:tcPr>
            <w:tcW w:w="2114" w:type="dxa"/>
            <w:tcBorders>
              <w:top w:val="single" w:sz="4" w:space="0" w:color="BFBFBF" w:themeColor="background1" w:themeShade="BF"/>
              <w:bottom w:val="single" w:sz="4" w:space="0" w:color="BFBFBF" w:themeColor="background1" w:themeShade="BF"/>
            </w:tcBorders>
          </w:tcPr>
          <w:p w14:paraId="4BC4D070"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E26B48" w:rsidRPr="004961C8" w14:paraId="298F7482"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top w:val="single" w:sz="4" w:space="0" w:color="BFBFBF" w:themeColor="background1" w:themeShade="BF"/>
              <w:bottom w:val="single" w:sz="4" w:space="0" w:color="BFBFBF" w:themeColor="background1" w:themeShade="BF"/>
            </w:tcBorders>
          </w:tcPr>
          <w:p w14:paraId="555E9E58" w14:textId="77777777" w:rsidR="00E26B48" w:rsidRPr="004961C8" w:rsidRDefault="00E26B48" w:rsidP="00630DAB">
            <w:pPr>
              <w:ind w:firstLine="0"/>
              <w:jc w:val="left"/>
              <w:rPr>
                <w:sz w:val="22"/>
                <w:szCs w:val="22"/>
              </w:rPr>
            </w:pPr>
            <w:r>
              <w:rPr>
                <w:sz w:val="22"/>
                <w:szCs w:val="22"/>
              </w:rPr>
              <w:t>Inverse to the natural exponential</w:t>
            </w:r>
          </w:p>
        </w:tc>
        <w:tc>
          <w:tcPr>
            <w:tcW w:w="2265" w:type="dxa"/>
            <w:tcBorders>
              <w:top w:val="single" w:sz="4" w:space="0" w:color="BFBFBF" w:themeColor="background1" w:themeShade="BF"/>
              <w:bottom w:val="single" w:sz="4" w:space="0" w:color="BFBFBF" w:themeColor="background1" w:themeShade="BF"/>
            </w:tcBorders>
          </w:tcPr>
          <w:p w14:paraId="29ED7C53"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w:t>
            </w:r>
            <w:r w:rsidRPr="004961C8">
              <w:rPr>
                <w:sz w:val="22"/>
                <w:szCs w:val="22"/>
              </w:rPr>
              <w:t>omparison between two progressions</w:t>
            </w:r>
          </w:p>
        </w:tc>
        <w:tc>
          <w:tcPr>
            <w:cnfStyle w:val="000010000000" w:firstRow="0" w:lastRow="0" w:firstColumn="0" w:lastColumn="0" w:oddVBand="1" w:evenVBand="0" w:oddHBand="0" w:evenHBand="0" w:firstRowFirstColumn="0" w:firstRowLastColumn="0" w:lastRowFirstColumn="0" w:lastRowLastColumn="0"/>
            <w:tcW w:w="2416" w:type="dxa"/>
            <w:tcBorders>
              <w:top w:val="single" w:sz="4" w:space="0" w:color="BFBFBF" w:themeColor="background1" w:themeShade="BF"/>
              <w:bottom w:val="single" w:sz="4" w:space="0" w:color="BFBFBF" w:themeColor="background1" w:themeShade="BF"/>
            </w:tcBorders>
            <w:shd w:val="clear" w:color="auto" w:fill="FFFFFF" w:themeFill="background1"/>
          </w:tcPr>
          <w:p w14:paraId="16C73447" w14:textId="77777777" w:rsidR="00E26B48" w:rsidRPr="004961C8" w:rsidRDefault="00E26B48" w:rsidP="00630DAB">
            <w:pPr>
              <w:ind w:firstLine="0"/>
              <w:jc w:val="left"/>
              <w:rPr>
                <w:sz w:val="22"/>
                <w:szCs w:val="22"/>
              </w:rPr>
            </w:pPr>
            <w:r w:rsidRPr="004961C8">
              <w:rPr>
                <w:sz w:val="22"/>
                <w:szCs w:val="22"/>
              </w:rPr>
              <w:t>Counting the number of digits</w:t>
            </w:r>
          </w:p>
        </w:tc>
        <w:tc>
          <w:tcPr>
            <w:tcW w:w="2114" w:type="dxa"/>
            <w:tcBorders>
              <w:top w:val="single" w:sz="4" w:space="0" w:color="BFBFBF" w:themeColor="background1" w:themeShade="BF"/>
              <w:bottom w:val="single" w:sz="4" w:space="0" w:color="BFBFBF" w:themeColor="background1" w:themeShade="BF"/>
            </w:tcBorders>
          </w:tcPr>
          <w:p w14:paraId="732D3D24"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E26B48" w:rsidRPr="004961C8" w14:paraId="7DE67D36" w14:textId="77777777" w:rsidTr="00630DAB">
        <w:tc>
          <w:tcPr>
            <w:cnfStyle w:val="000010000000" w:firstRow="0" w:lastRow="0" w:firstColumn="0" w:lastColumn="0" w:oddVBand="1" w:evenVBand="0" w:oddHBand="0" w:evenHBand="0" w:firstRowFirstColumn="0" w:firstRowLastColumn="0" w:lastRowFirstColumn="0" w:lastRowLastColumn="0"/>
            <w:tcW w:w="2265" w:type="dxa"/>
            <w:tcBorders>
              <w:top w:val="single" w:sz="4" w:space="0" w:color="BFBFBF" w:themeColor="background1" w:themeShade="BF"/>
            </w:tcBorders>
          </w:tcPr>
          <w:p w14:paraId="7F755E63" w14:textId="77777777" w:rsidR="00E26B48" w:rsidRPr="004961C8" w:rsidRDefault="00E26B48" w:rsidP="00630DAB">
            <w:pPr>
              <w:ind w:firstLine="0"/>
              <w:jc w:val="left"/>
              <w:rPr>
                <w:sz w:val="22"/>
                <w:szCs w:val="22"/>
              </w:rPr>
            </w:pPr>
          </w:p>
        </w:tc>
        <w:tc>
          <w:tcPr>
            <w:tcW w:w="2265" w:type="dxa"/>
            <w:tcBorders>
              <w:top w:val="single" w:sz="4" w:space="0" w:color="BFBFBF" w:themeColor="background1" w:themeShade="BF"/>
            </w:tcBorders>
          </w:tcPr>
          <w:p w14:paraId="54B300E3" w14:textId="327A7BDF" w:rsidR="00E26B48" w:rsidRPr="004961C8" w:rsidRDefault="00805A89"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Arithmetic</w:t>
            </w:r>
            <w:r w:rsidR="00E26B48">
              <w:rPr>
                <w:sz w:val="22"/>
                <w:szCs w:val="22"/>
              </w:rPr>
              <w:t xml:space="preserve"> sequence</w:t>
            </w:r>
          </w:p>
        </w:tc>
        <w:tc>
          <w:tcPr>
            <w:cnfStyle w:val="000010000000" w:firstRow="0" w:lastRow="0" w:firstColumn="0" w:lastColumn="0" w:oddVBand="1" w:evenVBand="0" w:oddHBand="0" w:evenHBand="0" w:firstRowFirstColumn="0" w:firstRowLastColumn="0" w:lastRowFirstColumn="0" w:lastRowLastColumn="0"/>
            <w:tcW w:w="2416" w:type="dxa"/>
            <w:tcBorders>
              <w:top w:val="single" w:sz="4" w:space="0" w:color="BFBFBF" w:themeColor="background1" w:themeShade="BF"/>
            </w:tcBorders>
            <w:shd w:val="clear" w:color="auto" w:fill="FFFFFF" w:themeFill="background1"/>
          </w:tcPr>
          <w:p w14:paraId="7235E725" w14:textId="77777777" w:rsidR="00E26B48" w:rsidRPr="004961C8" w:rsidRDefault="00E26B48" w:rsidP="00630DAB">
            <w:pPr>
              <w:ind w:firstLine="0"/>
              <w:jc w:val="left"/>
              <w:rPr>
                <w:sz w:val="22"/>
                <w:szCs w:val="22"/>
              </w:rPr>
            </w:pPr>
          </w:p>
        </w:tc>
        <w:tc>
          <w:tcPr>
            <w:tcW w:w="2114" w:type="dxa"/>
            <w:tcBorders>
              <w:top w:val="single" w:sz="4" w:space="0" w:color="BFBFBF" w:themeColor="background1" w:themeShade="BF"/>
            </w:tcBorders>
          </w:tcPr>
          <w:p w14:paraId="18F158C0" w14:textId="77777777" w:rsidR="00E26B48" w:rsidRPr="004961C8" w:rsidRDefault="00E26B48" w:rsidP="00630DAB">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p>
        </w:tc>
      </w:tr>
    </w:tbl>
    <w:p w14:paraId="2DD7046D" w14:textId="77777777" w:rsidR="00E26B48" w:rsidRDefault="00E26B48" w:rsidP="00E26B48">
      <w:pPr>
        <w:pStyle w:val="Headtable"/>
      </w:pPr>
      <w:r>
        <w:t>Table 1. Definitions and interpretations of logarithms from previous research</w:t>
      </w:r>
    </w:p>
    <w:p w14:paraId="366C1DF0" w14:textId="4EF7F55A" w:rsidR="00E92690" w:rsidRDefault="005443E4" w:rsidP="00E92690">
      <w:pPr>
        <w:pStyle w:val="Brdtext"/>
        <w:rPr>
          <w:noProof/>
        </w:rPr>
      </w:pPr>
      <w:r>
        <w:lastRenderedPageBreak/>
        <w:t>the logarithm has been presented.</w:t>
      </w:r>
      <w:r w:rsidRPr="005443E4">
        <w:t xml:space="preserve"> </w:t>
      </w:r>
      <w:r>
        <w:t xml:space="preserve">These are </w:t>
      </w:r>
      <w:r w:rsidRPr="001A2FB6">
        <w:t>an</w:t>
      </w:r>
      <w:r>
        <w:rPr>
          <w:i/>
          <w:iCs/>
        </w:rPr>
        <w:t xml:space="preserve"> area</w:t>
      </w:r>
      <w:r w:rsidRPr="001A2FB6">
        <w:t>,</w:t>
      </w:r>
      <w:r>
        <w:rPr>
          <w:i/>
          <w:iCs/>
        </w:rPr>
        <w:t xml:space="preserve"> </w:t>
      </w:r>
      <w:r w:rsidRPr="001A2FB6">
        <w:t>an</w:t>
      </w:r>
      <w:r>
        <w:rPr>
          <w:i/>
          <w:iCs/>
        </w:rPr>
        <w:t xml:space="preserve"> exponent</w:t>
      </w:r>
      <w:r w:rsidRPr="001A2FB6">
        <w:t>, a</w:t>
      </w:r>
      <w:r>
        <w:rPr>
          <w:i/>
          <w:iCs/>
        </w:rPr>
        <w:t xml:space="preserve"> way to simplify computations</w:t>
      </w:r>
      <w:r w:rsidRPr="001A2FB6">
        <w:t>, a</w:t>
      </w:r>
      <w:r>
        <w:rPr>
          <w:i/>
          <w:iCs/>
        </w:rPr>
        <w:t xml:space="preserve"> comparison between two progressions</w:t>
      </w:r>
      <w:r w:rsidRPr="001A2FB6">
        <w:t xml:space="preserve">, and </w:t>
      </w:r>
      <w:r w:rsidR="00805A89">
        <w:t xml:space="preserve">an </w:t>
      </w:r>
      <w:r w:rsidR="00805A89" w:rsidRPr="00805A89">
        <w:rPr>
          <w:i/>
          <w:iCs/>
        </w:rPr>
        <w:t>arithmetic</w:t>
      </w:r>
      <w:r w:rsidR="00805A89">
        <w:t xml:space="preserve"> </w:t>
      </w:r>
      <w:r>
        <w:rPr>
          <w:i/>
          <w:iCs/>
        </w:rPr>
        <w:t>sequence</w:t>
      </w:r>
      <w:r w:rsidR="00805A89">
        <w:rPr>
          <w:i/>
          <w:iCs/>
        </w:rPr>
        <w:t xml:space="preserve"> </w:t>
      </w:r>
      <w:r w:rsidR="00805A89">
        <w:t>juxtaposed to a geometric sequence</w:t>
      </w:r>
      <w:r>
        <w:t>.</w:t>
      </w:r>
      <w:r w:rsidR="00E92690">
        <w:t xml:space="preserve"> </w:t>
      </w:r>
      <w:r w:rsidR="00E92690">
        <w:rPr>
          <w:noProof/>
        </w:rPr>
        <w:t>Weber (2016)</w:t>
      </w:r>
      <w:r w:rsidR="00E92690">
        <w:t xml:space="preserve">, on the other hand, present four ‘basic models’ of the logarithm, namely logarithms as </w:t>
      </w:r>
      <w:r w:rsidR="00E92690">
        <w:rPr>
          <w:i/>
          <w:iCs/>
        </w:rPr>
        <w:t xml:space="preserve">inverse </w:t>
      </w:r>
      <w:r w:rsidR="00E92690" w:rsidRPr="00932645">
        <w:rPr>
          <w:i/>
          <w:iCs/>
        </w:rPr>
        <w:t>exponents</w:t>
      </w:r>
      <w:r w:rsidR="00E92690">
        <w:t xml:space="preserve">, </w:t>
      </w:r>
      <w:r w:rsidR="00E92690" w:rsidRPr="00932645">
        <w:rPr>
          <w:i/>
          <w:iCs/>
        </w:rPr>
        <w:t>multiplicative</w:t>
      </w:r>
      <w:r w:rsidR="00E92690">
        <w:rPr>
          <w:i/>
          <w:iCs/>
        </w:rPr>
        <w:t xml:space="preserve"> reasoning</w:t>
      </w:r>
      <w:r w:rsidR="00E92690">
        <w:t xml:space="preserve"> (including repeated division), </w:t>
      </w:r>
      <w:r w:rsidR="00E92690">
        <w:rPr>
          <w:i/>
          <w:iCs/>
        </w:rPr>
        <w:t>decreasing the hierarchy level</w:t>
      </w:r>
      <w:r w:rsidR="00E92690">
        <w:t xml:space="preserve"> (of operations), and </w:t>
      </w:r>
      <w:r w:rsidR="00E92690">
        <w:rPr>
          <w:i/>
          <w:iCs/>
        </w:rPr>
        <w:t>counting the number of digits</w:t>
      </w:r>
      <w:r w:rsidR="00E92690">
        <w:t xml:space="preserve">. </w:t>
      </w:r>
      <w:r w:rsidR="00E92690">
        <w:rPr>
          <w:noProof/>
        </w:rPr>
        <w:t>Weber (2016)</w:t>
      </w:r>
      <w:r w:rsidR="00E92690">
        <w:t xml:space="preserve"> also theoretically evaluated how well basic models help students solve tasks and avoid errors. For example, digit-counting works only in base ten, while multiplicative reasoning supports solving specific logarithmic expressions effectively </w:t>
      </w:r>
      <w:r w:rsidR="00E92690">
        <w:rPr>
          <w:noProof/>
        </w:rPr>
        <w:t>(Weber, 2016).</w:t>
      </w:r>
    </w:p>
    <w:p w14:paraId="3E1B90BD" w14:textId="3034519D" w:rsidR="00170F69" w:rsidRPr="008F065D" w:rsidRDefault="00257D89" w:rsidP="00C221B9">
      <w:r>
        <w:t xml:space="preserve">Unlike above desk-based studies, </w:t>
      </w:r>
      <w:r>
        <w:rPr>
          <w:noProof/>
        </w:rPr>
        <w:t>Gruver (2018)</w:t>
      </w:r>
      <w:r>
        <w:t xml:space="preserve"> observed logarithm interpretations emerging in classrooms, accepted by a majority of participating students. Two of the normative ways of reasoning were </w:t>
      </w:r>
      <w:r w:rsidRPr="0041053F">
        <w:t>the</w:t>
      </w:r>
      <w:r>
        <w:rPr>
          <w:i/>
          <w:iCs/>
        </w:rPr>
        <w:t xml:space="preserve"> factor interpretation of log</w:t>
      </w:r>
      <w:r>
        <w:t xml:space="preserve"> (i.e., log asks for the number of multiplications) and </w:t>
      </w:r>
      <w:r>
        <w:rPr>
          <w:i/>
          <w:iCs/>
        </w:rPr>
        <w:t>logarithms as exponents</w:t>
      </w:r>
      <w:r>
        <w:t xml:space="preserve"> </w:t>
      </w:r>
      <w:r>
        <w:rPr>
          <w:noProof/>
        </w:rPr>
        <w:t>(Gruver, 2018)</w:t>
      </w:r>
      <w:r>
        <w:t>.</w:t>
      </w:r>
      <w:r w:rsidR="00E26B48">
        <w:t xml:space="preserve"> </w:t>
      </w:r>
      <w:r w:rsidR="00170F69">
        <w:t xml:space="preserve">Although overlaps exist, </w:t>
      </w:r>
      <w:r w:rsidR="00A11E3D">
        <w:t xml:space="preserve">such as </w:t>
      </w:r>
      <w:r w:rsidR="00170F69">
        <w:t xml:space="preserve">the “exponent” highlighted in </w:t>
      </w:r>
      <w:r w:rsidR="00840D43">
        <w:t xml:space="preserve">several </w:t>
      </w:r>
      <w:r w:rsidR="00170F69">
        <w:t xml:space="preserve">studies, the general view of logarithms appears scattered. </w:t>
      </w:r>
      <w:r w:rsidR="00AE41E8">
        <w:t>Furthermore,</w:t>
      </w:r>
      <w:r w:rsidR="005D2CB5">
        <w:t xml:space="preserve"> Riley (2023) showed </w:t>
      </w:r>
      <w:r w:rsidR="002B5497">
        <w:t>that</w:t>
      </w:r>
      <w:r w:rsidR="005D2CB5">
        <w:t xml:space="preserve"> </w:t>
      </w:r>
      <w:r w:rsidR="00AE41E8">
        <w:t>in addition to definitions</w:t>
      </w:r>
      <w:r w:rsidR="00EB76C1">
        <w:t xml:space="preserve"> such as those in Table 1</w:t>
      </w:r>
      <w:r w:rsidR="00CF2E7C">
        <w:t xml:space="preserve">, </w:t>
      </w:r>
      <w:r w:rsidR="00AC6CAD">
        <w:t xml:space="preserve">Canadian, British and American </w:t>
      </w:r>
      <w:r w:rsidR="003A4F83">
        <w:t xml:space="preserve">secondary school </w:t>
      </w:r>
      <w:r w:rsidR="00AC6CAD">
        <w:t xml:space="preserve">textbooks also </w:t>
      </w:r>
      <w:r w:rsidR="005C522B">
        <w:t>conceptualised the</w:t>
      </w:r>
      <w:r w:rsidR="002B5497">
        <w:t xml:space="preserve"> logarithm as a value</w:t>
      </w:r>
      <w:r w:rsidR="00677532">
        <w:t xml:space="preserve"> and </w:t>
      </w:r>
      <w:r w:rsidR="005C522B">
        <w:t xml:space="preserve">as </w:t>
      </w:r>
      <w:r w:rsidR="002B5497">
        <w:t>a button on the calculator</w:t>
      </w:r>
      <w:r w:rsidR="00677532">
        <w:t>.</w:t>
      </w:r>
      <w:r w:rsidR="00C221B9">
        <w:t xml:space="preserve"> </w:t>
      </w:r>
      <w:r w:rsidR="00536C8A">
        <w:t>Extending this previous work to Sweden</w:t>
      </w:r>
      <w:r w:rsidR="00062661">
        <w:t>, including university level textbooks,</w:t>
      </w:r>
      <w:r w:rsidR="00536C8A">
        <w:t xml:space="preserve"> and </w:t>
      </w:r>
      <w:r w:rsidR="00062661">
        <w:t>adding</w:t>
      </w:r>
      <w:r w:rsidR="00536C8A">
        <w:t xml:space="preserve"> multiple data sources, t</w:t>
      </w:r>
      <w:r w:rsidR="003D0593">
        <w:t>he PhD</w:t>
      </w:r>
      <w:r w:rsidR="00170F69">
        <w:t xml:space="preserve"> project aims to systematise </w:t>
      </w:r>
      <w:r w:rsidR="006B4A25">
        <w:t>logarithm</w:t>
      </w:r>
      <w:r w:rsidR="00170F69">
        <w:t xml:space="preserve"> meaning</w:t>
      </w:r>
      <w:r w:rsidR="002A1CBF">
        <w:t xml:space="preserve"> facets</w:t>
      </w:r>
      <w:r w:rsidR="00536C8A">
        <w:t xml:space="preserve">, </w:t>
      </w:r>
      <w:r w:rsidR="00170F69">
        <w:t>developing a comprehensive model that could support empirical research</w:t>
      </w:r>
      <w:r w:rsidR="003A62F5">
        <w:t xml:space="preserve"> and scholarly discussion</w:t>
      </w:r>
      <w:r w:rsidR="00170F69">
        <w:t xml:space="preserve"> of different approaches</w:t>
      </w:r>
      <w:r w:rsidR="00E0781B">
        <w:t xml:space="preserve"> to the teaching of logarithms.</w:t>
      </w:r>
    </w:p>
    <w:p w14:paraId="428C6B1E" w14:textId="77777777" w:rsidR="00170F69" w:rsidRPr="00F217CD" w:rsidRDefault="00170F69" w:rsidP="00170F69">
      <w:pPr>
        <w:pStyle w:val="Rubrik2"/>
      </w:pPr>
      <w:r>
        <w:t>Method</w:t>
      </w:r>
    </w:p>
    <w:p w14:paraId="1FF62A2D" w14:textId="2264E8EF" w:rsidR="00170F69" w:rsidRDefault="00C10B3E" w:rsidP="00170F69">
      <w:pPr>
        <w:pStyle w:val="Brdtext"/>
      </w:pPr>
      <w:r>
        <w:t>13 u</w:t>
      </w:r>
      <w:r w:rsidR="00170F69">
        <w:t xml:space="preserve">niversity mathematics </w:t>
      </w:r>
      <w:r w:rsidR="00D0702E">
        <w:t>textbooks</w:t>
      </w:r>
      <w:r w:rsidR="00170F69">
        <w:t xml:space="preserve"> were </w:t>
      </w:r>
      <w:r w:rsidR="00A36BA6">
        <w:t>sampled</w:t>
      </w:r>
      <w:r w:rsidR="00170F69">
        <w:t xml:space="preserve"> to represent official texts on mathematics subject matter, based on the assumption that the authors of textbooks are authoritative participants in mathematical discourse, and that university teachers purposefully select course literature after careful review. </w:t>
      </w:r>
      <w:r w:rsidR="00170F69" w:rsidRPr="00A06B27">
        <w:t xml:space="preserve"> </w:t>
      </w:r>
      <w:r w:rsidR="00C43C0C">
        <w:t>In strive</w:t>
      </w:r>
      <w:r w:rsidR="00170F69">
        <w:t xml:space="preserve"> for a diverse sample, </w:t>
      </w:r>
      <w:r w:rsidR="00C43C0C">
        <w:t xml:space="preserve">I </w:t>
      </w:r>
      <w:r w:rsidR="00931110">
        <w:t>include</w:t>
      </w:r>
      <w:r w:rsidR="00C43C0C">
        <w:t>d</w:t>
      </w:r>
      <w:r w:rsidR="00931110">
        <w:t xml:space="preserve"> </w:t>
      </w:r>
      <w:r w:rsidR="00170F69">
        <w:t>course literature used in introductory analysis courses at the ten largest universities in Sweden</w:t>
      </w:r>
      <w:r w:rsidR="00170F69" w:rsidRPr="007377C1">
        <w:t xml:space="preserve"> (counted by full-time students, </w:t>
      </w:r>
      <w:r w:rsidR="004B219F">
        <w:rPr>
          <w:noProof/>
        </w:rPr>
        <w:t>UKÄ</w:t>
      </w:r>
      <w:r w:rsidR="00170F69">
        <w:rPr>
          <w:noProof/>
        </w:rPr>
        <w:t xml:space="preserve">, </w:t>
      </w:r>
      <w:r w:rsidR="00170F69" w:rsidRPr="007377C1">
        <w:rPr>
          <w:noProof/>
        </w:rPr>
        <w:t>2025</w:t>
      </w:r>
      <w:r w:rsidR="00170F69" w:rsidRPr="007377C1">
        <w:t>).</w:t>
      </w:r>
      <w:r w:rsidR="00170F69">
        <w:t xml:space="preserve"> This resulted in a sample of </w:t>
      </w:r>
      <w:r w:rsidR="00A36BA6">
        <w:t>11</w:t>
      </w:r>
      <w:r w:rsidR="00170F69">
        <w:t xml:space="preserve"> books</w:t>
      </w:r>
      <w:r w:rsidR="004B219F">
        <w:t xml:space="preserve"> and two </w:t>
      </w:r>
      <w:r w:rsidR="00A36BA6">
        <w:t>course compendiums</w:t>
      </w:r>
      <w:r w:rsidR="00170F69">
        <w:t>, marked with * in the reference list.</w:t>
      </w:r>
    </w:p>
    <w:p w14:paraId="41BCD6BD" w14:textId="5BE18011" w:rsidR="00170F69" w:rsidRDefault="00170F69" w:rsidP="00170F69">
      <w:r>
        <w:t xml:space="preserve">The study employed subject matter analysis following Lankeit and Biehler’s </w:t>
      </w:r>
      <w:r>
        <w:rPr>
          <w:noProof/>
        </w:rPr>
        <w:t>(2024)</w:t>
      </w:r>
      <w:r>
        <w:t xml:space="preserve"> framework. First, the table of content of each textbook was scanned for the </w:t>
      </w:r>
      <w:proofErr w:type="gramStart"/>
      <w:r>
        <w:t>terms</w:t>
      </w:r>
      <w:proofErr w:type="gramEnd"/>
      <w:r>
        <w:t xml:space="preserve"> “logarithm” and “logarithmic function”. </w:t>
      </w:r>
      <w:r w:rsidR="003D0593">
        <w:t>In response to RQ1, o</w:t>
      </w:r>
      <w:r>
        <w:t xml:space="preserve">nly introductory sections were included, while advanced treatments (e.g., derivatives of logarithms) were excluded. Each identified section was then analysed separately using inductive content analysis </w:t>
      </w:r>
      <w:r>
        <w:rPr>
          <w:noProof/>
        </w:rPr>
        <w:t>(Elo &amp; Kyngäs, 2008)</w:t>
      </w:r>
      <w:r>
        <w:t xml:space="preserve">. Aligning with the purpose of this study, the method of content analysis seeks to construct a conceptual map by categories describing the phenomenon in a condensed, still broad, manner </w:t>
      </w:r>
      <w:r>
        <w:rPr>
          <w:noProof/>
        </w:rPr>
        <w:t>(Elo &amp; Kyngäs, 2008)</w:t>
      </w:r>
      <w:r>
        <w:t>.</w:t>
      </w:r>
      <w:r w:rsidRPr="00182745">
        <w:t xml:space="preserve"> </w:t>
      </w:r>
      <w:r>
        <w:t xml:space="preserve">Table 2 </w:t>
      </w:r>
      <w:r w:rsidR="00F81CFE">
        <w:t>outlines</w:t>
      </w:r>
      <w:r>
        <w:t xml:space="preserve"> the different phases of inductive qualitative content analysis as proposed by </w:t>
      </w:r>
      <w:r>
        <w:rPr>
          <w:noProof/>
        </w:rPr>
        <w:t>Elo and Kyngäs (2008)</w:t>
      </w:r>
      <w:r>
        <w:t xml:space="preserve">, along with </w:t>
      </w:r>
      <w:r w:rsidR="00C725A9">
        <w:t>a description</w:t>
      </w:r>
      <w:r>
        <w:t xml:space="preserve"> </w:t>
      </w:r>
      <w:r w:rsidR="00240726">
        <w:t xml:space="preserve">of how the </w:t>
      </w:r>
      <w:r w:rsidR="00BF145B">
        <w:t xml:space="preserve">present </w:t>
      </w:r>
      <w:r w:rsidR="00240726">
        <w:t>analysis was carried out</w:t>
      </w:r>
      <w:r w:rsidR="00BF145B">
        <w:t>.</w:t>
      </w:r>
    </w:p>
    <w:p w14:paraId="0486FB10" w14:textId="469C9FD4" w:rsidR="00170F69" w:rsidRDefault="00170F69" w:rsidP="00170F69">
      <w:r>
        <w:t xml:space="preserve">Contexts of interpretation were identified using the framework by </w:t>
      </w:r>
      <w:r>
        <w:rPr>
          <w:noProof/>
        </w:rPr>
        <w:t>Berezovski and Zazkis (2006)</w:t>
      </w:r>
      <w:r>
        <w:t xml:space="preserve">, which is based upon prior work on exponential functions. Using this, I </w:t>
      </w:r>
      <w:r>
        <w:lastRenderedPageBreak/>
        <w:t xml:space="preserve">distinguished between the </w:t>
      </w:r>
      <w:r w:rsidR="00B94FB6">
        <w:t xml:space="preserve">context of </w:t>
      </w:r>
      <w:r>
        <w:rPr>
          <w:i/>
          <w:iCs/>
        </w:rPr>
        <w:t xml:space="preserve">number </w:t>
      </w:r>
      <w:r>
        <w:t xml:space="preserve">(logarithms </w:t>
      </w:r>
      <w:r w:rsidR="0016320D">
        <w:t>as</w:t>
      </w:r>
      <w:r>
        <w:t xml:space="preserve"> exact or approximated values), </w:t>
      </w:r>
      <w:r>
        <w:rPr>
          <w:i/>
          <w:iCs/>
        </w:rPr>
        <w:t>operatio</w:t>
      </w:r>
      <w:r w:rsidR="00B94FB6">
        <w:rPr>
          <w:i/>
          <w:iCs/>
        </w:rPr>
        <w:t>ns</w:t>
      </w:r>
      <w:r>
        <w:rPr>
          <w:i/>
          <w:iCs/>
        </w:rPr>
        <w:t xml:space="preserve"> </w:t>
      </w:r>
      <w:r>
        <w:t xml:space="preserve">(relating to procedures or to the relation between multiplicative and additive structures), and </w:t>
      </w:r>
      <w:r>
        <w:rPr>
          <w:i/>
          <w:iCs/>
        </w:rPr>
        <w:t xml:space="preserve">function </w:t>
      </w:r>
      <w:r>
        <w:t>(relating to functions or function properties).</w:t>
      </w:r>
    </w:p>
    <w:p w14:paraId="495A4597" w14:textId="77777777" w:rsidR="00170F69" w:rsidRDefault="00170F69" w:rsidP="00170F69">
      <w:pPr>
        <w:ind w:firstLine="0"/>
      </w:pPr>
    </w:p>
    <w:tbl>
      <w:tblPr>
        <w:tblStyle w:val="Oformateradtabell1"/>
        <w:tblW w:w="9067" w:type="dxa"/>
        <w:tblLook w:val="0220" w:firstRow="1" w:lastRow="0" w:firstColumn="0" w:lastColumn="0" w:noHBand="1" w:noVBand="0"/>
      </w:tblPr>
      <w:tblGrid>
        <w:gridCol w:w="542"/>
        <w:gridCol w:w="1726"/>
        <w:gridCol w:w="3325"/>
        <w:gridCol w:w="3474"/>
      </w:tblGrid>
      <w:tr w:rsidR="00170F69" w:rsidRPr="007A1582" w14:paraId="63AD2DBE" w14:textId="77777777" w:rsidTr="00455388">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8" w:type="dxa"/>
            <w:gridSpan w:val="2"/>
            <w:tcBorders>
              <w:top w:val="nil"/>
              <w:left w:val="nil"/>
              <w:bottom w:val="single" w:sz="4" w:space="0" w:color="000000"/>
              <w:right w:val="nil"/>
            </w:tcBorders>
          </w:tcPr>
          <w:p w14:paraId="272C9536" w14:textId="77777777" w:rsidR="00170F69" w:rsidRPr="007A1582" w:rsidRDefault="00170F69" w:rsidP="00F30F4E">
            <w:pPr>
              <w:ind w:firstLine="0"/>
              <w:rPr>
                <w:sz w:val="22"/>
                <w:szCs w:val="22"/>
              </w:rPr>
            </w:pPr>
            <w:r w:rsidRPr="007A1582">
              <w:rPr>
                <w:sz w:val="22"/>
                <w:szCs w:val="22"/>
              </w:rPr>
              <w:t>Phases and steps</w:t>
            </w:r>
          </w:p>
        </w:tc>
        <w:tc>
          <w:tcPr>
            <w:tcW w:w="6799" w:type="dxa"/>
            <w:gridSpan w:val="2"/>
            <w:tcBorders>
              <w:top w:val="nil"/>
              <w:left w:val="nil"/>
              <w:bottom w:val="single" w:sz="4" w:space="0" w:color="000000"/>
              <w:right w:val="nil"/>
            </w:tcBorders>
            <w:shd w:val="clear" w:color="auto" w:fill="FFFFFF" w:themeFill="background1"/>
          </w:tcPr>
          <w:p w14:paraId="74650CE9" w14:textId="1F5CF505" w:rsidR="00170F69" w:rsidRPr="007A1582" w:rsidRDefault="00C725A9" w:rsidP="00F30F4E">
            <w:pPr>
              <w:ind w:firstLine="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Description</w:t>
            </w:r>
          </w:p>
        </w:tc>
      </w:tr>
      <w:tr w:rsidR="00170F69" w:rsidRPr="007A1582" w14:paraId="67E731E9" w14:textId="77777777" w:rsidTr="00455388">
        <w:tc>
          <w:tcPr>
            <w:cnfStyle w:val="000010000000" w:firstRow="0" w:lastRow="0" w:firstColumn="0" w:lastColumn="0" w:oddVBand="1" w:evenVBand="0" w:oddHBand="0" w:evenHBand="0" w:firstRowFirstColumn="0" w:firstRowLastColumn="0" w:lastRowFirstColumn="0" w:lastRowLastColumn="0"/>
            <w:tcW w:w="2268" w:type="dxa"/>
            <w:gridSpan w:val="2"/>
            <w:tcBorders>
              <w:left w:val="nil"/>
              <w:right w:val="nil"/>
            </w:tcBorders>
          </w:tcPr>
          <w:p w14:paraId="05C0CFD5" w14:textId="77777777" w:rsidR="00170F69" w:rsidRPr="007A1582" w:rsidRDefault="00170F69" w:rsidP="00F30F4E">
            <w:pPr>
              <w:ind w:firstLine="0"/>
              <w:rPr>
                <w:sz w:val="22"/>
                <w:szCs w:val="22"/>
              </w:rPr>
            </w:pPr>
            <w:r w:rsidRPr="007A1582">
              <w:rPr>
                <w:sz w:val="22"/>
                <w:szCs w:val="22"/>
              </w:rPr>
              <w:t>Preparation phase</w:t>
            </w:r>
          </w:p>
        </w:tc>
        <w:tc>
          <w:tcPr>
            <w:tcW w:w="6799" w:type="dxa"/>
            <w:gridSpan w:val="2"/>
            <w:tcBorders>
              <w:left w:val="nil"/>
              <w:right w:val="nil"/>
            </w:tcBorders>
            <w:shd w:val="clear" w:color="auto" w:fill="F2F2F2" w:themeFill="background1" w:themeFillShade="F2"/>
          </w:tcPr>
          <w:p w14:paraId="50F1D0E1" w14:textId="77777777" w:rsidR="00170F69" w:rsidRPr="007A1582" w:rsidRDefault="00170F69" w:rsidP="00F30F4E">
            <w:pPr>
              <w:ind w:firstLine="0"/>
              <w:cnfStyle w:val="000000000000" w:firstRow="0" w:lastRow="0" w:firstColumn="0" w:lastColumn="0" w:oddVBand="0" w:evenVBand="0" w:oddHBand="0" w:evenHBand="0" w:firstRowFirstColumn="0" w:firstRowLastColumn="0" w:lastRowFirstColumn="0" w:lastRowLastColumn="0"/>
              <w:rPr>
                <w:sz w:val="22"/>
                <w:szCs w:val="22"/>
              </w:rPr>
            </w:pPr>
          </w:p>
        </w:tc>
      </w:tr>
      <w:tr w:rsidR="00170F69" w:rsidRPr="007A1582" w14:paraId="7400AAF7" w14:textId="77777777" w:rsidTr="00455388">
        <w:tc>
          <w:tcPr>
            <w:cnfStyle w:val="000010000000" w:firstRow="0" w:lastRow="0" w:firstColumn="0" w:lastColumn="0" w:oddVBand="1" w:evenVBand="0" w:oddHBand="0" w:evenHBand="0" w:firstRowFirstColumn="0" w:firstRowLastColumn="0" w:lastRowFirstColumn="0" w:lastRowLastColumn="0"/>
            <w:tcW w:w="542" w:type="dxa"/>
            <w:tcBorders>
              <w:left w:val="nil"/>
              <w:bottom w:val="nil"/>
              <w:right w:val="nil"/>
            </w:tcBorders>
          </w:tcPr>
          <w:p w14:paraId="2B72A03F" w14:textId="77777777" w:rsidR="00170F69" w:rsidRPr="007A1582" w:rsidRDefault="00170F69" w:rsidP="00F30F4E">
            <w:pPr>
              <w:ind w:firstLine="0"/>
              <w:rPr>
                <w:sz w:val="22"/>
                <w:szCs w:val="22"/>
              </w:rPr>
            </w:pPr>
          </w:p>
        </w:tc>
        <w:tc>
          <w:tcPr>
            <w:tcW w:w="1726" w:type="dxa"/>
            <w:tcBorders>
              <w:left w:val="nil"/>
              <w:right w:val="nil"/>
            </w:tcBorders>
            <w:shd w:val="clear" w:color="auto" w:fill="F2F2F2" w:themeFill="background1" w:themeFillShade="F2"/>
          </w:tcPr>
          <w:p w14:paraId="677A5A3D" w14:textId="77777777" w:rsidR="00170F69" w:rsidRPr="007A1582" w:rsidRDefault="00170F69"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Selecting the unit of analysis</w:t>
            </w:r>
          </w:p>
        </w:tc>
        <w:tc>
          <w:tcPr>
            <w:cnfStyle w:val="000010000000" w:firstRow="0" w:lastRow="0" w:firstColumn="0" w:lastColumn="0" w:oddVBand="1" w:evenVBand="0" w:oddHBand="0" w:evenHBand="0" w:firstRowFirstColumn="0" w:firstRowLastColumn="0" w:lastRowFirstColumn="0" w:lastRowLastColumn="0"/>
            <w:tcW w:w="6799" w:type="dxa"/>
            <w:gridSpan w:val="2"/>
            <w:tcBorders>
              <w:left w:val="nil"/>
              <w:right w:val="nil"/>
            </w:tcBorders>
            <w:shd w:val="clear" w:color="auto" w:fill="FFFFFF" w:themeFill="background1"/>
          </w:tcPr>
          <w:p w14:paraId="5BE4CFB1" w14:textId="7ADBA80D" w:rsidR="00170F69" w:rsidRPr="007A1582" w:rsidRDefault="00170F69" w:rsidP="00F30F4E">
            <w:pPr>
              <w:ind w:firstLine="0"/>
              <w:jc w:val="left"/>
              <w:rPr>
                <w:sz w:val="22"/>
                <w:szCs w:val="22"/>
              </w:rPr>
            </w:pPr>
            <w:r w:rsidRPr="007A1582">
              <w:rPr>
                <w:sz w:val="22"/>
                <w:szCs w:val="22"/>
              </w:rPr>
              <w:t>The unit of analysis was selected as statements declaring what logarithms are, expressed with mathematical and/or natural language</w:t>
            </w:r>
            <w:r w:rsidR="00C725A9">
              <w:rPr>
                <w:sz w:val="22"/>
                <w:szCs w:val="22"/>
              </w:rPr>
              <w:t>.</w:t>
            </w:r>
          </w:p>
        </w:tc>
      </w:tr>
      <w:tr w:rsidR="00170F69" w:rsidRPr="007A1582" w14:paraId="224B726E" w14:textId="77777777" w:rsidTr="00455388">
        <w:tc>
          <w:tcPr>
            <w:cnfStyle w:val="000010000000" w:firstRow="0" w:lastRow="0" w:firstColumn="0" w:lastColumn="0" w:oddVBand="1" w:evenVBand="0" w:oddHBand="0" w:evenHBand="0" w:firstRowFirstColumn="0" w:firstRowLastColumn="0" w:lastRowFirstColumn="0" w:lastRowLastColumn="0"/>
            <w:tcW w:w="542" w:type="dxa"/>
            <w:tcBorders>
              <w:top w:val="nil"/>
              <w:left w:val="nil"/>
              <w:right w:val="nil"/>
            </w:tcBorders>
          </w:tcPr>
          <w:p w14:paraId="58ABB4A0" w14:textId="77777777" w:rsidR="00170F69" w:rsidRPr="007A1582" w:rsidRDefault="00170F69" w:rsidP="00F30F4E">
            <w:pPr>
              <w:ind w:firstLine="0"/>
              <w:rPr>
                <w:sz w:val="22"/>
                <w:szCs w:val="22"/>
              </w:rPr>
            </w:pPr>
          </w:p>
        </w:tc>
        <w:tc>
          <w:tcPr>
            <w:tcW w:w="1726" w:type="dxa"/>
            <w:tcBorders>
              <w:left w:val="nil"/>
              <w:right w:val="nil"/>
            </w:tcBorders>
            <w:shd w:val="clear" w:color="auto" w:fill="F2F2F2" w:themeFill="background1" w:themeFillShade="F2"/>
          </w:tcPr>
          <w:p w14:paraId="4E3D315F" w14:textId="77777777" w:rsidR="00170F69" w:rsidRPr="007A1582" w:rsidRDefault="00170F69"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 xml:space="preserve">Making sense of the data </w:t>
            </w:r>
          </w:p>
        </w:tc>
        <w:tc>
          <w:tcPr>
            <w:cnfStyle w:val="000010000000" w:firstRow="0" w:lastRow="0" w:firstColumn="0" w:lastColumn="0" w:oddVBand="1" w:evenVBand="0" w:oddHBand="0" w:evenHBand="0" w:firstRowFirstColumn="0" w:firstRowLastColumn="0" w:lastRowFirstColumn="0" w:lastRowLastColumn="0"/>
            <w:tcW w:w="6799" w:type="dxa"/>
            <w:gridSpan w:val="2"/>
            <w:tcBorders>
              <w:left w:val="nil"/>
              <w:right w:val="nil"/>
            </w:tcBorders>
            <w:shd w:val="clear" w:color="auto" w:fill="FFFFFF" w:themeFill="background1"/>
          </w:tcPr>
          <w:p w14:paraId="1C9BDBC9" w14:textId="3D7A4AEB" w:rsidR="00170F69" w:rsidRPr="007A1582" w:rsidRDefault="00C725A9" w:rsidP="00F30F4E">
            <w:pPr>
              <w:ind w:firstLine="0"/>
              <w:jc w:val="left"/>
              <w:rPr>
                <w:sz w:val="22"/>
                <w:szCs w:val="22"/>
              </w:rPr>
            </w:pPr>
            <w:r>
              <w:rPr>
                <w:sz w:val="22"/>
                <w:szCs w:val="22"/>
              </w:rPr>
              <w:t>All t</w:t>
            </w:r>
            <w:r w:rsidR="00170F69" w:rsidRPr="007A1582">
              <w:rPr>
                <w:sz w:val="22"/>
                <w:szCs w:val="22"/>
              </w:rPr>
              <w:t xml:space="preserve">extbook sections </w:t>
            </w:r>
            <w:r>
              <w:rPr>
                <w:sz w:val="22"/>
                <w:szCs w:val="22"/>
              </w:rPr>
              <w:t xml:space="preserve">included in the sample </w:t>
            </w:r>
            <w:r w:rsidR="00170F69" w:rsidRPr="007A1582">
              <w:rPr>
                <w:sz w:val="22"/>
                <w:szCs w:val="22"/>
              </w:rPr>
              <w:t>were read through several times</w:t>
            </w:r>
            <w:r>
              <w:rPr>
                <w:sz w:val="22"/>
                <w:szCs w:val="22"/>
              </w:rPr>
              <w:t>.</w:t>
            </w:r>
          </w:p>
        </w:tc>
      </w:tr>
      <w:tr w:rsidR="00170F69" w:rsidRPr="007A1582" w14:paraId="1EDD28E8" w14:textId="77777777" w:rsidTr="00455388">
        <w:tc>
          <w:tcPr>
            <w:cnfStyle w:val="000010000000" w:firstRow="0" w:lastRow="0" w:firstColumn="0" w:lastColumn="0" w:oddVBand="1" w:evenVBand="0" w:oddHBand="0" w:evenHBand="0" w:firstRowFirstColumn="0" w:firstRowLastColumn="0" w:lastRowFirstColumn="0" w:lastRowLastColumn="0"/>
            <w:tcW w:w="2268" w:type="dxa"/>
            <w:gridSpan w:val="2"/>
            <w:tcBorders>
              <w:left w:val="nil"/>
              <w:right w:val="nil"/>
            </w:tcBorders>
          </w:tcPr>
          <w:p w14:paraId="4371B995" w14:textId="77777777" w:rsidR="00170F69" w:rsidRPr="007A1582" w:rsidRDefault="00170F69" w:rsidP="00F30F4E">
            <w:pPr>
              <w:ind w:firstLine="0"/>
              <w:jc w:val="left"/>
              <w:rPr>
                <w:sz w:val="22"/>
                <w:szCs w:val="22"/>
              </w:rPr>
            </w:pPr>
            <w:r w:rsidRPr="007A1582">
              <w:rPr>
                <w:sz w:val="22"/>
                <w:szCs w:val="22"/>
              </w:rPr>
              <w:t>Organising phase</w:t>
            </w:r>
          </w:p>
        </w:tc>
        <w:tc>
          <w:tcPr>
            <w:tcW w:w="6799" w:type="dxa"/>
            <w:gridSpan w:val="2"/>
            <w:tcBorders>
              <w:left w:val="nil"/>
              <w:right w:val="nil"/>
            </w:tcBorders>
            <w:shd w:val="clear" w:color="auto" w:fill="F2F2F2" w:themeFill="background1" w:themeFillShade="F2"/>
          </w:tcPr>
          <w:p w14:paraId="7CE957E0" w14:textId="77777777" w:rsidR="00170F69" w:rsidRPr="007A1582" w:rsidRDefault="00170F69"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E73A5A" w:rsidRPr="007A1582" w14:paraId="478C0672" w14:textId="77777777" w:rsidTr="00DE0F5D">
        <w:trPr>
          <w:trHeight w:val="2133"/>
        </w:trPr>
        <w:tc>
          <w:tcPr>
            <w:cnfStyle w:val="000010000000" w:firstRow="0" w:lastRow="0" w:firstColumn="0" w:lastColumn="0" w:oddVBand="1" w:evenVBand="0" w:oddHBand="0" w:evenHBand="0" w:firstRowFirstColumn="0" w:firstRowLastColumn="0" w:lastRowFirstColumn="0" w:lastRowLastColumn="0"/>
            <w:tcW w:w="542" w:type="dxa"/>
            <w:vMerge w:val="restart"/>
            <w:tcBorders>
              <w:left w:val="nil"/>
              <w:right w:val="nil"/>
            </w:tcBorders>
            <w:textDirection w:val="tbRl"/>
          </w:tcPr>
          <w:p w14:paraId="257721C7" w14:textId="1820A869" w:rsidR="00E73A5A" w:rsidRPr="00E61255" w:rsidRDefault="00E73A5A" w:rsidP="00931110">
            <w:pPr>
              <w:ind w:left="113" w:right="113"/>
              <w:jc w:val="left"/>
              <w:rPr>
                <w:sz w:val="18"/>
                <w:szCs w:val="18"/>
              </w:rPr>
            </w:pPr>
            <w:r w:rsidRPr="00E61255">
              <w:rPr>
                <w:sz w:val="18"/>
                <w:szCs w:val="18"/>
              </w:rPr>
              <w:t>Phases and steps of inductive content analysis from Elo &amp; K</w:t>
            </w:r>
            <w:r w:rsidR="002639B7" w:rsidRPr="00E61255">
              <w:rPr>
                <w:sz w:val="18"/>
                <w:szCs w:val="18"/>
              </w:rPr>
              <w:t xml:space="preserve">yngäs </w:t>
            </w:r>
            <w:r w:rsidRPr="00E61255">
              <w:rPr>
                <w:sz w:val="18"/>
                <w:szCs w:val="18"/>
              </w:rPr>
              <w:t>(2008)</w:t>
            </w:r>
          </w:p>
        </w:tc>
        <w:tc>
          <w:tcPr>
            <w:tcW w:w="1726" w:type="dxa"/>
            <w:tcBorders>
              <w:left w:val="nil"/>
              <w:right w:val="nil"/>
            </w:tcBorders>
            <w:shd w:val="clear" w:color="auto" w:fill="F2F2F2" w:themeFill="background1" w:themeFillShade="F2"/>
          </w:tcPr>
          <w:p w14:paraId="66578C6F" w14:textId="77777777"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Open coding</w:t>
            </w:r>
          </w:p>
        </w:tc>
        <w:tc>
          <w:tcPr>
            <w:cnfStyle w:val="000010000000" w:firstRow="0" w:lastRow="0" w:firstColumn="0" w:lastColumn="0" w:oddVBand="1" w:evenVBand="0" w:oddHBand="0" w:evenHBand="0" w:firstRowFirstColumn="0" w:firstRowLastColumn="0" w:lastRowFirstColumn="0" w:lastRowLastColumn="0"/>
            <w:tcW w:w="6799" w:type="dxa"/>
            <w:gridSpan w:val="2"/>
            <w:tcBorders>
              <w:left w:val="nil"/>
              <w:right w:val="nil"/>
            </w:tcBorders>
            <w:shd w:val="clear" w:color="auto" w:fill="FFFFFF" w:themeFill="background1"/>
          </w:tcPr>
          <w:p w14:paraId="47B3608E" w14:textId="62B55A42" w:rsidR="00027991" w:rsidRPr="007A1582" w:rsidRDefault="00027991" w:rsidP="00F30F4E">
            <w:pPr>
              <w:ind w:firstLine="0"/>
              <w:jc w:val="left"/>
              <w:rPr>
                <w:sz w:val="22"/>
                <w:szCs w:val="22"/>
              </w:rPr>
            </w:pPr>
            <w:r>
              <w:rPr>
                <w:noProof/>
              </w:rPr>
              <w:drawing>
                <wp:anchor distT="0" distB="0" distL="114300" distR="114300" simplePos="0" relativeHeight="251662336" behindDoc="1" locked="0" layoutInCell="1" allowOverlap="1" wp14:anchorId="04D3A07F" wp14:editId="50EDB9E8">
                  <wp:simplePos x="0" y="0"/>
                  <wp:positionH relativeFrom="column">
                    <wp:posOffset>348396</wp:posOffset>
                  </wp:positionH>
                  <wp:positionV relativeFrom="paragraph">
                    <wp:posOffset>653415</wp:posOffset>
                  </wp:positionV>
                  <wp:extent cx="3425190" cy="626745"/>
                  <wp:effectExtent l="0" t="0" r="3810" b="0"/>
                  <wp:wrapTopAndBottom/>
                  <wp:docPr id="2034281199" name="Bildobjekt 3" descr="En bild som visar text, Teckensnitt, linj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3102" name="Bildobjekt 3" descr="En bild som visar text, Teckensnitt, linje, skärmbild&#10;&#10;AI-genererat innehåll kan vara felaktigt."/>
                          <pic:cNvPicPr/>
                        </pic:nvPicPr>
                        <pic:blipFill rotWithShape="1">
                          <a:blip r:embed="rId7"/>
                          <a:srcRect b="59534"/>
                          <a:stretch>
                            <a:fillRect/>
                          </a:stretch>
                        </pic:blipFill>
                        <pic:spPr bwMode="auto">
                          <a:xfrm>
                            <a:off x="0" y="0"/>
                            <a:ext cx="3425190" cy="626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3A5A" w:rsidRPr="007A1582">
              <w:rPr>
                <w:sz w:val="22"/>
                <w:szCs w:val="22"/>
              </w:rPr>
              <w:t xml:space="preserve">Statements </w:t>
            </w:r>
            <w:r w:rsidR="007E4E0B">
              <w:rPr>
                <w:sz w:val="22"/>
                <w:szCs w:val="22"/>
              </w:rPr>
              <w:t>about</w:t>
            </w:r>
            <w:r w:rsidR="00E73A5A" w:rsidRPr="007A1582">
              <w:rPr>
                <w:sz w:val="22"/>
                <w:szCs w:val="22"/>
              </w:rPr>
              <w:t xml:space="preserve"> what logarithms are were identified, notes </w:t>
            </w:r>
            <w:r w:rsidR="00F230B6">
              <w:rPr>
                <w:sz w:val="22"/>
                <w:szCs w:val="22"/>
              </w:rPr>
              <w:t xml:space="preserve">were </w:t>
            </w:r>
            <w:r w:rsidR="00E73A5A" w:rsidRPr="007A1582">
              <w:rPr>
                <w:sz w:val="22"/>
                <w:szCs w:val="22"/>
              </w:rPr>
              <w:t>taken in the margins as interpretations of what logarithms are declared to be in this statement</w:t>
            </w:r>
            <w:r w:rsidR="00E73A5A">
              <w:rPr>
                <w:sz w:val="22"/>
                <w:szCs w:val="22"/>
              </w:rPr>
              <w:t>.</w:t>
            </w:r>
            <w:r w:rsidR="00890FF0">
              <w:rPr>
                <w:sz w:val="22"/>
                <w:szCs w:val="22"/>
              </w:rPr>
              <w:t xml:space="preserve"> </w:t>
            </w:r>
            <w:r>
              <w:rPr>
                <w:sz w:val="22"/>
                <w:szCs w:val="22"/>
              </w:rPr>
              <w:t xml:space="preserve">See example below, extract from </w:t>
            </w:r>
            <w:proofErr w:type="spellStart"/>
            <w:r>
              <w:rPr>
                <w:sz w:val="22"/>
                <w:szCs w:val="22"/>
              </w:rPr>
              <w:t>Ekstig</w:t>
            </w:r>
            <w:proofErr w:type="spellEnd"/>
            <w:r>
              <w:rPr>
                <w:sz w:val="22"/>
                <w:szCs w:val="22"/>
              </w:rPr>
              <w:t xml:space="preserve"> et al. (2019).</w:t>
            </w:r>
          </w:p>
        </w:tc>
      </w:tr>
      <w:tr w:rsidR="00E73A5A" w:rsidRPr="007A1582" w14:paraId="02E1B585" w14:textId="77777777" w:rsidTr="00455388">
        <w:tc>
          <w:tcPr>
            <w:cnfStyle w:val="000010000000" w:firstRow="0" w:lastRow="0" w:firstColumn="0" w:lastColumn="0" w:oddVBand="1" w:evenVBand="0" w:oddHBand="0" w:evenHBand="0" w:firstRowFirstColumn="0" w:firstRowLastColumn="0" w:lastRowFirstColumn="0" w:lastRowLastColumn="0"/>
            <w:tcW w:w="542" w:type="dxa"/>
            <w:vMerge/>
            <w:tcBorders>
              <w:left w:val="nil"/>
              <w:right w:val="nil"/>
            </w:tcBorders>
            <w:textDirection w:val="tbRl"/>
          </w:tcPr>
          <w:p w14:paraId="61E01B9A" w14:textId="058775A5" w:rsidR="00E73A5A" w:rsidRPr="007A1582" w:rsidRDefault="00E73A5A" w:rsidP="00E73A5A">
            <w:pPr>
              <w:ind w:left="113" w:right="113" w:firstLine="0"/>
              <w:rPr>
                <w:sz w:val="22"/>
                <w:szCs w:val="22"/>
              </w:rPr>
            </w:pPr>
          </w:p>
        </w:tc>
        <w:tc>
          <w:tcPr>
            <w:tcW w:w="1726" w:type="dxa"/>
            <w:tcBorders>
              <w:left w:val="nil"/>
              <w:right w:val="nil"/>
            </w:tcBorders>
            <w:shd w:val="clear" w:color="auto" w:fill="F2F2F2" w:themeFill="background1" w:themeFillShade="F2"/>
          </w:tcPr>
          <w:p w14:paraId="6D8FDB21" w14:textId="77777777"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3325" w:type="dxa"/>
            <w:tcBorders>
              <w:left w:val="nil"/>
              <w:right w:val="single" w:sz="4" w:space="0" w:color="BFBFBF" w:themeColor="background1" w:themeShade="BF"/>
            </w:tcBorders>
            <w:shd w:val="clear" w:color="auto" w:fill="FFFFFF" w:themeFill="background1"/>
          </w:tcPr>
          <w:p w14:paraId="42D66851" w14:textId="77777777" w:rsidR="00E73A5A" w:rsidRPr="007A1582" w:rsidRDefault="00E73A5A" w:rsidP="00F30F4E">
            <w:pPr>
              <w:ind w:firstLine="0"/>
              <w:jc w:val="left"/>
              <w:rPr>
                <w:i/>
                <w:iCs/>
                <w:sz w:val="22"/>
                <w:szCs w:val="22"/>
              </w:rPr>
            </w:pPr>
            <w:r w:rsidRPr="007A1582">
              <w:rPr>
                <w:i/>
                <w:iCs/>
                <w:sz w:val="22"/>
                <w:szCs w:val="22"/>
              </w:rPr>
              <w:t>Definition variants</w:t>
            </w:r>
          </w:p>
        </w:tc>
        <w:tc>
          <w:tcPr>
            <w:tcW w:w="3474" w:type="dxa"/>
            <w:tcBorders>
              <w:left w:val="single" w:sz="4" w:space="0" w:color="BFBFBF" w:themeColor="background1" w:themeShade="BF"/>
              <w:right w:val="nil"/>
            </w:tcBorders>
            <w:shd w:val="clear" w:color="auto" w:fill="FFFFFF" w:themeFill="background1"/>
          </w:tcPr>
          <w:p w14:paraId="366CB17C" w14:textId="77777777"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i/>
                <w:iCs/>
                <w:sz w:val="22"/>
                <w:szCs w:val="22"/>
              </w:rPr>
            </w:pPr>
            <w:r w:rsidRPr="007A1582">
              <w:rPr>
                <w:i/>
                <w:iCs/>
                <w:sz w:val="22"/>
                <w:szCs w:val="22"/>
              </w:rPr>
              <w:t>Facets of meaning</w:t>
            </w:r>
          </w:p>
        </w:tc>
      </w:tr>
      <w:tr w:rsidR="00E73A5A" w:rsidRPr="007A1582" w14:paraId="5A185F8B" w14:textId="77777777" w:rsidTr="00455388">
        <w:tc>
          <w:tcPr>
            <w:cnfStyle w:val="000010000000" w:firstRow="0" w:lastRow="0" w:firstColumn="0" w:lastColumn="0" w:oddVBand="1" w:evenVBand="0" w:oddHBand="0" w:evenHBand="0" w:firstRowFirstColumn="0" w:firstRowLastColumn="0" w:lastRowFirstColumn="0" w:lastRowLastColumn="0"/>
            <w:tcW w:w="542" w:type="dxa"/>
            <w:vMerge/>
            <w:tcBorders>
              <w:left w:val="nil"/>
              <w:right w:val="nil"/>
            </w:tcBorders>
          </w:tcPr>
          <w:p w14:paraId="27FD7022" w14:textId="77777777" w:rsidR="00E73A5A" w:rsidRPr="007A1582" w:rsidRDefault="00E73A5A" w:rsidP="00F30F4E">
            <w:pPr>
              <w:ind w:firstLine="0"/>
              <w:rPr>
                <w:sz w:val="22"/>
                <w:szCs w:val="22"/>
              </w:rPr>
            </w:pPr>
          </w:p>
        </w:tc>
        <w:tc>
          <w:tcPr>
            <w:tcW w:w="1726" w:type="dxa"/>
            <w:tcBorders>
              <w:left w:val="nil"/>
              <w:right w:val="nil"/>
            </w:tcBorders>
            <w:shd w:val="clear" w:color="auto" w:fill="F2F2F2" w:themeFill="background1" w:themeFillShade="F2"/>
          </w:tcPr>
          <w:p w14:paraId="40C38067" w14:textId="77777777"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Coding sheets</w:t>
            </w:r>
          </w:p>
        </w:tc>
        <w:tc>
          <w:tcPr>
            <w:cnfStyle w:val="000010000000" w:firstRow="0" w:lastRow="0" w:firstColumn="0" w:lastColumn="0" w:oddVBand="1" w:evenVBand="0" w:oddHBand="0" w:evenHBand="0" w:firstRowFirstColumn="0" w:firstRowLastColumn="0" w:lastRowFirstColumn="0" w:lastRowLastColumn="0"/>
            <w:tcW w:w="3325" w:type="dxa"/>
            <w:tcBorders>
              <w:left w:val="nil"/>
              <w:right w:val="single" w:sz="4" w:space="0" w:color="BFBFBF" w:themeColor="background1" w:themeShade="BF"/>
            </w:tcBorders>
            <w:shd w:val="clear" w:color="auto" w:fill="FFFFFF" w:themeFill="background1"/>
          </w:tcPr>
          <w:p w14:paraId="2721B4CE" w14:textId="0632244E" w:rsidR="00E73A5A" w:rsidRPr="007A1582" w:rsidRDefault="00E73A5A" w:rsidP="00F30F4E">
            <w:pPr>
              <w:ind w:firstLine="0"/>
              <w:jc w:val="left"/>
              <w:rPr>
                <w:sz w:val="22"/>
                <w:szCs w:val="22"/>
              </w:rPr>
            </w:pPr>
            <w:r w:rsidRPr="007A1582">
              <w:rPr>
                <w:sz w:val="22"/>
                <w:szCs w:val="22"/>
              </w:rPr>
              <w:t>Identified statements belonging to the formal level were adopted as pre-DVs</w:t>
            </w:r>
            <w:r>
              <w:rPr>
                <w:sz w:val="22"/>
                <w:szCs w:val="22"/>
              </w:rPr>
              <w:t>.</w:t>
            </w:r>
          </w:p>
        </w:tc>
        <w:tc>
          <w:tcPr>
            <w:tcW w:w="3474" w:type="dxa"/>
            <w:tcBorders>
              <w:left w:val="single" w:sz="4" w:space="0" w:color="BFBFBF" w:themeColor="background1" w:themeShade="BF"/>
              <w:right w:val="nil"/>
            </w:tcBorders>
            <w:shd w:val="clear" w:color="auto" w:fill="FFFFFF" w:themeFill="background1"/>
          </w:tcPr>
          <w:p w14:paraId="5321FDF4" w14:textId="3F8A4AE4"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 xml:space="preserve">Notes from the margins were used to construct the coding sheet, producing </w:t>
            </w:r>
            <w:r w:rsidR="00E66CBD">
              <w:rPr>
                <w:sz w:val="22"/>
                <w:szCs w:val="22"/>
              </w:rPr>
              <w:t>preliminary categories.</w:t>
            </w:r>
          </w:p>
        </w:tc>
      </w:tr>
      <w:tr w:rsidR="00E73A5A" w:rsidRPr="007A1582" w14:paraId="2419A5D1" w14:textId="77777777" w:rsidTr="00455388">
        <w:tc>
          <w:tcPr>
            <w:cnfStyle w:val="000010000000" w:firstRow="0" w:lastRow="0" w:firstColumn="0" w:lastColumn="0" w:oddVBand="1" w:evenVBand="0" w:oddHBand="0" w:evenHBand="0" w:firstRowFirstColumn="0" w:firstRowLastColumn="0" w:lastRowFirstColumn="0" w:lastRowLastColumn="0"/>
            <w:tcW w:w="542" w:type="dxa"/>
            <w:vMerge/>
            <w:tcBorders>
              <w:left w:val="nil"/>
              <w:right w:val="nil"/>
            </w:tcBorders>
          </w:tcPr>
          <w:p w14:paraId="74163288" w14:textId="77777777" w:rsidR="00E73A5A" w:rsidRPr="007A1582" w:rsidRDefault="00E73A5A" w:rsidP="00F30F4E">
            <w:pPr>
              <w:ind w:firstLine="0"/>
              <w:rPr>
                <w:sz w:val="22"/>
                <w:szCs w:val="22"/>
              </w:rPr>
            </w:pPr>
          </w:p>
        </w:tc>
        <w:tc>
          <w:tcPr>
            <w:tcW w:w="1726" w:type="dxa"/>
            <w:tcBorders>
              <w:left w:val="nil"/>
              <w:right w:val="nil"/>
            </w:tcBorders>
            <w:shd w:val="clear" w:color="auto" w:fill="F2F2F2" w:themeFill="background1" w:themeFillShade="F2"/>
          </w:tcPr>
          <w:p w14:paraId="129D7FD9" w14:textId="077F907E"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Grouping</w:t>
            </w:r>
            <w:r w:rsidR="00C10A21">
              <w:rPr>
                <w:sz w:val="22"/>
                <w:szCs w:val="22"/>
              </w:rPr>
              <w:t xml:space="preserve"> and categorisation</w:t>
            </w:r>
          </w:p>
        </w:tc>
        <w:tc>
          <w:tcPr>
            <w:cnfStyle w:val="000010000000" w:firstRow="0" w:lastRow="0" w:firstColumn="0" w:lastColumn="0" w:oddVBand="1" w:evenVBand="0" w:oddHBand="0" w:evenHBand="0" w:firstRowFirstColumn="0" w:firstRowLastColumn="0" w:lastRowFirstColumn="0" w:lastRowLastColumn="0"/>
            <w:tcW w:w="3325" w:type="dxa"/>
            <w:tcBorders>
              <w:left w:val="nil"/>
              <w:right w:val="single" w:sz="4" w:space="0" w:color="BFBFBF" w:themeColor="background1" w:themeShade="BF"/>
            </w:tcBorders>
            <w:shd w:val="clear" w:color="auto" w:fill="FFFFFF" w:themeFill="background1"/>
          </w:tcPr>
          <w:p w14:paraId="3F3E65A6" w14:textId="0A48D657" w:rsidR="00E73A5A" w:rsidRPr="007A1582" w:rsidRDefault="00E73A5A" w:rsidP="00F30F4E">
            <w:pPr>
              <w:ind w:firstLine="0"/>
              <w:jc w:val="left"/>
              <w:rPr>
                <w:sz w:val="22"/>
                <w:szCs w:val="22"/>
              </w:rPr>
            </w:pPr>
            <w:r>
              <w:rPr>
                <w:sz w:val="22"/>
                <w:szCs w:val="22"/>
              </w:rPr>
              <w:t>Pre</w:t>
            </w:r>
            <w:r w:rsidRPr="007A1582">
              <w:rPr>
                <w:sz w:val="22"/>
                <w:szCs w:val="22"/>
              </w:rPr>
              <w:t xml:space="preserve">-DVs were grouped </w:t>
            </w:r>
            <w:r w:rsidR="00BA0ECF">
              <w:rPr>
                <w:sz w:val="22"/>
                <w:szCs w:val="22"/>
              </w:rPr>
              <w:t xml:space="preserve">by considering similarities within and </w:t>
            </w:r>
            <w:r w:rsidR="009A4873">
              <w:rPr>
                <w:sz w:val="22"/>
                <w:szCs w:val="22"/>
              </w:rPr>
              <w:t>differences across the emerging categories.</w:t>
            </w:r>
          </w:p>
        </w:tc>
        <w:tc>
          <w:tcPr>
            <w:tcW w:w="3474" w:type="dxa"/>
            <w:tcBorders>
              <w:left w:val="single" w:sz="4" w:space="0" w:color="BFBFBF" w:themeColor="background1" w:themeShade="BF"/>
              <w:right w:val="nil"/>
            </w:tcBorders>
            <w:shd w:val="clear" w:color="auto" w:fill="FFFFFF" w:themeFill="background1"/>
          </w:tcPr>
          <w:p w14:paraId="57CE6586" w14:textId="58C74394" w:rsidR="0051716E" w:rsidRPr="00020AC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Pr="007A1582">
              <w:rPr>
                <w:sz w:val="22"/>
                <w:szCs w:val="22"/>
              </w:rPr>
              <w:t>reliminary categories were grouped</w:t>
            </w:r>
            <w:r>
              <w:rPr>
                <w:sz w:val="22"/>
                <w:szCs w:val="22"/>
              </w:rPr>
              <w:t xml:space="preserve"> </w:t>
            </w:r>
            <w:r w:rsidR="00AA4B94">
              <w:rPr>
                <w:sz w:val="22"/>
                <w:szCs w:val="22"/>
              </w:rPr>
              <w:t xml:space="preserve">into higher order categories </w:t>
            </w:r>
            <w:r w:rsidR="00FF174B">
              <w:rPr>
                <w:sz w:val="22"/>
                <w:szCs w:val="22"/>
              </w:rPr>
              <w:t>considering similarities within and differences across</w:t>
            </w:r>
            <w:r w:rsidR="008A10E5">
              <w:rPr>
                <w:sz w:val="22"/>
                <w:szCs w:val="22"/>
              </w:rPr>
              <w:t xml:space="preserve"> categories.</w:t>
            </w:r>
          </w:p>
        </w:tc>
      </w:tr>
      <w:tr w:rsidR="00E73A5A" w:rsidRPr="007A1582" w14:paraId="24622BE8" w14:textId="77777777" w:rsidTr="00455388">
        <w:tc>
          <w:tcPr>
            <w:cnfStyle w:val="000010000000" w:firstRow="0" w:lastRow="0" w:firstColumn="0" w:lastColumn="0" w:oddVBand="1" w:evenVBand="0" w:oddHBand="0" w:evenHBand="0" w:firstRowFirstColumn="0" w:firstRowLastColumn="0" w:lastRowFirstColumn="0" w:lastRowLastColumn="0"/>
            <w:tcW w:w="542" w:type="dxa"/>
            <w:vMerge/>
            <w:tcBorders>
              <w:left w:val="nil"/>
              <w:right w:val="nil"/>
            </w:tcBorders>
          </w:tcPr>
          <w:p w14:paraId="42D7B935" w14:textId="77777777" w:rsidR="00E73A5A" w:rsidRPr="007A1582" w:rsidRDefault="00E73A5A" w:rsidP="00F30F4E">
            <w:pPr>
              <w:ind w:firstLine="0"/>
              <w:rPr>
                <w:sz w:val="22"/>
                <w:szCs w:val="22"/>
              </w:rPr>
            </w:pPr>
          </w:p>
        </w:tc>
        <w:tc>
          <w:tcPr>
            <w:tcW w:w="1726" w:type="dxa"/>
            <w:tcBorders>
              <w:left w:val="nil"/>
              <w:right w:val="nil"/>
            </w:tcBorders>
            <w:shd w:val="clear" w:color="auto" w:fill="F2F2F2" w:themeFill="background1" w:themeFillShade="F2"/>
          </w:tcPr>
          <w:p w14:paraId="68E90BDB" w14:textId="77777777"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Abstraction</w:t>
            </w:r>
          </w:p>
        </w:tc>
        <w:tc>
          <w:tcPr>
            <w:cnfStyle w:val="000010000000" w:firstRow="0" w:lastRow="0" w:firstColumn="0" w:lastColumn="0" w:oddVBand="1" w:evenVBand="0" w:oddHBand="0" w:evenHBand="0" w:firstRowFirstColumn="0" w:firstRowLastColumn="0" w:lastRowFirstColumn="0" w:lastRowLastColumn="0"/>
            <w:tcW w:w="3325" w:type="dxa"/>
            <w:tcBorders>
              <w:left w:val="nil"/>
              <w:right w:val="single" w:sz="4" w:space="0" w:color="BFBFBF" w:themeColor="background1" w:themeShade="BF"/>
            </w:tcBorders>
            <w:shd w:val="clear" w:color="auto" w:fill="FFFFFF" w:themeFill="background1"/>
          </w:tcPr>
          <w:p w14:paraId="4F78B616" w14:textId="06C05B2A" w:rsidR="00E73A5A" w:rsidRPr="007A1582" w:rsidRDefault="00E73A5A" w:rsidP="00F30F4E">
            <w:pPr>
              <w:ind w:firstLine="0"/>
              <w:jc w:val="left"/>
              <w:rPr>
                <w:sz w:val="22"/>
                <w:szCs w:val="22"/>
              </w:rPr>
            </w:pPr>
            <w:r w:rsidRPr="007A1582">
              <w:rPr>
                <w:sz w:val="22"/>
                <w:szCs w:val="22"/>
              </w:rPr>
              <w:t>Each category was assigned a number (DV1-7) and a prototypical DV was formulated for each category</w:t>
            </w:r>
            <w:r w:rsidR="00F03D16">
              <w:rPr>
                <w:sz w:val="22"/>
                <w:szCs w:val="22"/>
              </w:rPr>
              <w:t>.</w:t>
            </w:r>
          </w:p>
        </w:tc>
        <w:tc>
          <w:tcPr>
            <w:tcW w:w="3474" w:type="dxa"/>
            <w:tcBorders>
              <w:left w:val="single" w:sz="4" w:space="0" w:color="BFBFBF" w:themeColor="background1" w:themeShade="BF"/>
              <w:right w:val="nil"/>
            </w:tcBorders>
            <w:shd w:val="clear" w:color="auto" w:fill="FFFFFF" w:themeFill="background1"/>
          </w:tcPr>
          <w:p w14:paraId="64EE488D" w14:textId="71E79E4A" w:rsidR="00E73A5A" w:rsidRPr="007A1582" w:rsidRDefault="00E73A5A"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Each category was named using content-characteristic words, and a general description of the data was formulated using typical examples from the data</w:t>
            </w:r>
            <w:r>
              <w:rPr>
                <w:sz w:val="22"/>
                <w:szCs w:val="22"/>
              </w:rPr>
              <w:t>.</w:t>
            </w:r>
          </w:p>
        </w:tc>
      </w:tr>
      <w:tr w:rsidR="00170F69" w:rsidRPr="007A1582" w14:paraId="2829B389" w14:textId="77777777" w:rsidTr="00F30F4E">
        <w:tc>
          <w:tcPr>
            <w:cnfStyle w:val="000010000000" w:firstRow="0" w:lastRow="0" w:firstColumn="0" w:lastColumn="0" w:oddVBand="1" w:evenVBand="0" w:oddHBand="0" w:evenHBand="0" w:firstRowFirstColumn="0" w:firstRowLastColumn="0" w:lastRowFirstColumn="0" w:lastRowLastColumn="0"/>
            <w:tcW w:w="9067" w:type="dxa"/>
            <w:gridSpan w:val="4"/>
            <w:tcBorders>
              <w:left w:val="nil"/>
              <w:right w:val="nil"/>
            </w:tcBorders>
          </w:tcPr>
          <w:p w14:paraId="653B1F39" w14:textId="77777777" w:rsidR="00170F69" w:rsidRPr="007A1582" w:rsidRDefault="00170F69" w:rsidP="00F30F4E">
            <w:pPr>
              <w:ind w:firstLine="0"/>
              <w:jc w:val="left"/>
              <w:rPr>
                <w:sz w:val="22"/>
                <w:szCs w:val="22"/>
              </w:rPr>
            </w:pPr>
            <w:r w:rsidRPr="007A1582">
              <w:rPr>
                <w:sz w:val="22"/>
                <w:szCs w:val="22"/>
              </w:rPr>
              <w:t>Reporting the analysing process and the results</w:t>
            </w:r>
          </w:p>
        </w:tc>
      </w:tr>
      <w:tr w:rsidR="00170F69" w:rsidRPr="007A1582" w14:paraId="28C60709" w14:textId="77777777" w:rsidTr="00455388">
        <w:tc>
          <w:tcPr>
            <w:cnfStyle w:val="000010000000" w:firstRow="0" w:lastRow="0" w:firstColumn="0" w:lastColumn="0" w:oddVBand="1" w:evenVBand="0" w:oddHBand="0" w:evenHBand="0" w:firstRowFirstColumn="0" w:firstRowLastColumn="0" w:lastRowFirstColumn="0" w:lastRowLastColumn="0"/>
            <w:tcW w:w="542" w:type="dxa"/>
            <w:tcBorders>
              <w:left w:val="nil"/>
              <w:right w:val="nil"/>
            </w:tcBorders>
          </w:tcPr>
          <w:p w14:paraId="62D962D6" w14:textId="77777777" w:rsidR="00170F69" w:rsidRPr="007A1582" w:rsidRDefault="00170F69" w:rsidP="00F30F4E">
            <w:pPr>
              <w:ind w:firstLine="0"/>
              <w:rPr>
                <w:sz w:val="22"/>
                <w:szCs w:val="22"/>
              </w:rPr>
            </w:pPr>
          </w:p>
        </w:tc>
        <w:tc>
          <w:tcPr>
            <w:tcW w:w="1726" w:type="dxa"/>
            <w:tcBorders>
              <w:left w:val="nil"/>
              <w:right w:val="nil"/>
            </w:tcBorders>
            <w:shd w:val="clear" w:color="auto" w:fill="F2F2F2" w:themeFill="background1" w:themeFillShade="F2"/>
          </w:tcPr>
          <w:p w14:paraId="48B1A44D" w14:textId="77777777" w:rsidR="00170F69" w:rsidRPr="007A1582" w:rsidRDefault="00170F69" w:rsidP="00F30F4E">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7A1582">
              <w:rPr>
                <w:sz w:val="22"/>
                <w:szCs w:val="22"/>
              </w:rPr>
              <w:t>Model, conceptual map or categories</w:t>
            </w:r>
          </w:p>
        </w:tc>
        <w:tc>
          <w:tcPr>
            <w:cnfStyle w:val="000010000000" w:firstRow="0" w:lastRow="0" w:firstColumn="0" w:lastColumn="0" w:oddVBand="1" w:evenVBand="0" w:oddHBand="0" w:evenHBand="0" w:firstRowFirstColumn="0" w:firstRowLastColumn="0" w:lastRowFirstColumn="0" w:lastRowLastColumn="0"/>
            <w:tcW w:w="6799" w:type="dxa"/>
            <w:gridSpan w:val="2"/>
            <w:tcBorders>
              <w:left w:val="nil"/>
              <w:right w:val="nil"/>
            </w:tcBorders>
            <w:shd w:val="clear" w:color="auto" w:fill="FFFFFF" w:themeFill="background1"/>
          </w:tcPr>
          <w:p w14:paraId="61F901C7" w14:textId="77DA7CD3" w:rsidR="00170F69" w:rsidRPr="007A1582" w:rsidRDefault="00170F69" w:rsidP="00F30F4E">
            <w:pPr>
              <w:ind w:firstLine="0"/>
              <w:jc w:val="left"/>
              <w:rPr>
                <w:sz w:val="22"/>
                <w:szCs w:val="22"/>
              </w:rPr>
            </w:pPr>
            <w:r w:rsidRPr="007A1582">
              <w:rPr>
                <w:sz w:val="22"/>
                <w:szCs w:val="22"/>
              </w:rPr>
              <w:t xml:space="preserve">DVs were assigned to the constructive or relational-descriptive category and facets of meaning to one of the contexts of interpretation. The model of meaning </w:t>
            </w:r>
            <w:r w:rsidR="00A754C1">
              <w:rPr>
                <w:sz w:val="22"/>
                <w:szCs w:val="22"/>
              </w:rPr>
              <w:t>for</w:t>
            </w:r>
            <w:r w:rsidRPr="007A1582">
              <w:rPr>
                <w:sz w:val="22"/>
                <w:szCs w:val="22"/>
              </w:rPr>
              <w:t xml:space="preserve"> the concept of logarithms was constructed</w:t>
            </w:r>
            <w:r w:rsidR="00C725A9">
              <w:rPr>
                <w:sz w:val="22"/>
                <w:szCs w:val="22"/>
              </w:rPr>
              <w:t>.</w:t>
            </w:r>
          </w:p>
        </w:tc>
      </w:tr>
    </w:tbl>
    <w:p w14:paraId="5008B2A5" w14:textId="7761C933" w:rsidR="00170F69" w:rsidRPr="002A19D0" w:rsidRDefault="00170F69" w:rsidP="00170F69">
      <w:pPr>
        <w:pStyle w:val="Headtable"/>
      </w:pPr>
      <w:r>
        <w:t xml:space="preserve">Table 2. </w:t>
      </w:r>
      <w:r w:rsidR="00DD163C">
        <w:t>Phases and steps of inductive analysis from Elo &amp; Kyngäs (2008)</w:t>
      </w:r>
      <w:r w:rsidR="00560F92">
        <w:t xml:space="preserve"> </w:t>
      </w:r>
      <w:r w:rsidR="00DD163C">
        <w:t>juxtaposed with a description of</w:t>
      </w:r>
      <w:r w:rsidR="00EE5412">
        <w:t xml:space="preserve"> this paper’s analysis procedure</w:t>
      </w:r>
    </w:p>
    <w:p w14:paraId="78BA3DA1" w14:textId="4A38E058" w:rsidR="00170F69" w:rsidRPr="0081684B" w:rsidRDefault="00170F69" w:rsidP="00237BFA">
      <w:pPr>
        <w:ind w:firstLine="0"/>
        <w:jc w:val="left"/>
      </w:pPr>
      <w:r>
        <w:t xml:space="preserve">In </w:t>
      </w:r>
      <w:r w:rsidR="002E77AD">
        <w:t>order to get</w:t>
      </w:r>
      <w:r>
        <w:t xml:space="preserve"> a more reliable description of </w:t>
      </w:r>
      <w:r w:rsidR="00C14F69">
        <w:t xml:space="preserve">the </w:t>
      </w:r>
      <w:r>
        <w:t>data, t</w:t>
      </w:r>
      <w:r w:rsidRPr="0081684B">
        <w:t xml:space="preserve">he open coding process and the identification of statements </w:t>
      </w:r>
      <w:r w:rsidR="00C14F69">
        <w:t>at</w:t>
      </w:r>
      <w:r w:rsidRPr="0081684B">
        <w:t xml:space="preserve"> the formal level </w:t>
      </w:r>
      <w:r w:rsidR="006456E5">
        <w:t>were</w:t>
      </w:r>
      <w:r w:rsidRPr="0081684B">
        <w:t xml:space="preserve"> discussed with a group of five colle</w:t>
      </w:r>
      <w:r>
        <w:t>ag</w:t>
      </w:r>
      <w:r w:rsidRPr="0081684B">
        <w:t>ues.</w:t>
      </w:r>
      <w:r>
        <w:t xml:space="preserve"> These discussions led to</w:t>
      </w:r>
      <w:r w:rsidR="00560F92">
        <w:t xml:space="preserve"> the</w:t>
      </w:r>
      <w:r>
        <w:t xml:space="preserve"> replacement of one facet of meaning with two, </w:t>
      </w:r>
      <w:r w:rsidR="00C14F69">
        <w:t xml:space="preserve">the </w:t>
      </w:r>
      <w:r>
        <w:t xml:space="preserve">addition of one DV and </w:t>
      </w:r>
      <w:r w:rsidR="00C14F69">
        <w:t>a refined</w:t>
      </w:r>
      <w:r>
        <w:t xml:space="preserve"> description of the analysis process.</w:t>
      </w:r>
    </w:p>
    <w:p w14:paraId="1BDB3397" w14:textId="77777777" w:rsidR="00170F69" w:rsidRDefault="00170F69" w:rsidP="00170F69">
      <w:pPr>
        <w:pStyle w:val="Rubrik2"/>
      </w:pPr>
      <w:r>
        <w:lastRenderedPageBreak/>
        <w:t>Results</w:t>
      </w:r>
    </w:p>
    <w:p w14:paraId="4356E320" w14:textId="699C195B" w:rsidR="00170F69" w:rsidRDefault="00170F69" w:rsidP="00170F69">
      <w:pPr>
        <w:pStyle w:val="Brdtext"/>
      </w:pPr>
      <w:r>
        <w:t xml:space="preserve">Figure 1 presents a model of meaning for the concept of logarithms, </w:t>
      </w:r>
      <w:r w:rsidR="00507B59">
        <w:t>developed</w:t>
      </w:r>
      <w:r>
        <w:t xml:space="preserve"> using subject matter analysis of </w:t>
      </w:r>
      <w:r w:rsidR="00560F92">
        <w:t xml:space="preserve">13 </w:t>
      </w:r>
      <w:r>
        <w:t xml:space="preserve">university mathematics textbooks. The model identifies seven </w:t>
      </w:r>
      <w:r w:rsidR="00560F92">
        <w:t>DVs</w:t>
      </w:r>
      <w:r>
        <w:t xml:space="preserve"> – three constructive and four relational-descriptive – alongside </w:t>
      </w:r>
      <w:r w:rsidR="00C11992">
        <w:t>ten</w:t>
      </w:r>
      <w:r>
        <w:t xml:space="preserve"> facets of meaning across three contexts: number (3), operational (4) and function (3).</w:t>
      </w:r>
    </w:p>
    <w:p w14:paraId="77541019" w14:textId="266E0F92" w:rsidR="00170F69" w:rsidRDefault="00170F69" w:rsidP="00880DDE">
      <w:r>
        <w:t xml:space="preserve">The constructive DVs show how to mathematically obtain logarithms. DV1 defines </w:t>
      </w:r>
      <w:r w:rsidR="005E1CAD">
        <w:t>the natural logarithm as an integral</w:t>
      </w:r>
      <w:r w:rsidR="002E1129">
        <w:t xml:space="preserve">. In Stewart et al. (2020), this is followed by </w:t>
      </w:r>
      <w:r w:rsidR="00537F7C">
        <w:t xml:space="preserve">an acknowledgement that </w:t>
      </w:r>
      <m:oMath>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rsidR="00537F7C">
        <w:t xml:space="preserve"> also can be interpreted geometrically as an area</w:t>
      </w:r>
      <w:r w:rsidR="00C8621F">
        <w:t>. This</w:t>
      </w:r>
      <w:r w:rsidR="004000C0">
        <w:t xml:space="preserve"> conceptualisation </w:t>
      </w:r>
      <w:r w:rsidR="00C8621F">
        <w:t xml:space="preserve">is </w:t>
      </w:r>
      <w:r w:rsidR="004000C0">
        <w:t xml:space="preserve">used as </w:t>
      </w:r>
      <w:r w:rsidR="00E81F72">
        <w:t xml:space="preserve">a </w:t>
      </w:r>
      <w:r w:rsidR="004000C0">
        <w:t>proper definition in other books (DV2)</w:t>
      </w:r>
      <w:r w:rsidR="00A575DA">
        <w:t xml:space="preserve">, </w:t>
      </w:r>
      <w:r w:rsidR="00D21188">
        <w:t>construct</w:t>
      </w:r>
      <w:r w:rsidR="00CA0163">
        <w:t>ively defin</w:t>
      </w:r>
      <w:r w:rsidR="004B6BFA">
        <w:t>ing</w:t>
      </w:r>
      <w:r w:rsidR="00D21188">
        <w:t xml:space="preserve"> the natural logarithm as an area</w:t>
      </w:r>
      <w:r w:rsidR="004000C0">
        <w:t>.</w:t>
      </w:r>
      <w:r w:rsidR="00880DDE">
        <w:t xml:space="preserve"> </w:t>
      </w:r>
      <w:r>
        <w:t>DV</w:t>
      </w:r>
      <w:r w:rsidR="00880DDE">
        <w:t>3</w:t>
      </w:r>
      <w:r>
        <w:t xml:space="preserve"> defines a logarithm as the exponent </w:t>
      </w:r>
      <m:oMath>
        <m:r>
          <w:rPr>
            <w:rFonts w:ascii="Cambria Math" w:hAnsi="Cambria Math"/>
          </w:rPr>
          <m:t>y</m:t>
        </m:r>
      </m:oMath>
      <w:r>
        <w:t xml:space="preserve"> satisfying </w:t>
      </w:r>
      <m:oMath>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oMath>
      <w:r>
        <w:t xml:space="preserve">, explicitly instructing where </w:t>
      </w:r>
      <w:r w:rsidR="00560F92">
        <w:t xml:space="preserve">in the expression </w:t>
      </w:r>
      <w:r>
        <w:t>to find the logarithm.</w:t>
      </w:r>
    </w:p>
    <w:p w14:paraId="6EFA883D" w14:textId="55902AF4" w:rsidR="00170F69" w:rsidRDefault="00170F69" w:rsidP="00170F69">
      <w:r>
        <w:t xml:space="preserve">The relational-descriptive DVs define logarithms through abstract properties rather than construction. DV4 specifies the equivalence </w:t>
      </w:r>
      <m:oMath>
        <m:r>
          <w:rPr>
            <w:rFonts w:ascii="Cambria Math" w:hAnsi="Cambria Math"/>
          </w:rPr>
          <m:t>y=</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x</m:t>
            </m:r>
          </m:e>
        </m:func>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y</m:t>
            </m:r>
          </m:sup>
        </m:sSup>
        <m:r>
          <w:rPr>
            <w:rFonts w:ascii="Cambria Math" w:hAnsi="Cambria Math"/>
          </w:rPr>
          <m:t>=x</m:t>
        </m:r>
      </m:oMath>
      <w:r>
        <w:t xml:space="preserve"> describing the required </w:t>
      </w:r>
      <w:r w:rsidR="00A94DF5">
        <w:t>relation</w:t>
      </w:r>
      <w:r>
        <w:t xml:space="preserve"> between logarithms and exponentials. It resembles DV</w:t>
      </w:r>
      <w:r w:rsidR="00860B3D">
        <w:t>3</w:t>
      </w:r>
      <w:r>
        <w:t>, h</w:t>
      </w:r>
      <w:r w:rsidRPr="007F3C95">
        <w:t>owever</w:t>
      </w:r>
      <w:r>
        <w:t>,</w:t>
      </w:r>
      <w:r w:rsidRPr="007F3C95">
        <w:t xml:space="preserve"> while DV</w:t>
      </w:r>
      <w:r w:rsidR="00860B3D">
        <w:t>3</w:t>
      </w:r>
      <w:r w:rsidRPr="007F3C95">
        <w:t xml:space="preserve"> instructs where to find the logarithm (in the exponent), DV4 specifies a </w:t>
      </w:r>
      <w:r w:rsidR="00A94DF5">
        <w:t>relation</w:t>
      </w:r>
      <w:r>
        <w:t xml:space="preserve"> that</w:t>
      </w:r>
      <w:r w:rsidRPr="007F3C95">
        <w:t xml:space="preserve"> logarithms must satisfy</w:t>
      </w:r>
      <w:r>
        <w:t xml:space="preserve">. DV5 defines the logarithm as a function </w:t>
      </w:r>
      <w:r w:rsidR="00E445AE">
        <w:t>with</w:t>
      </w:r>
      <w:r>
        <w:t xml:space="preserve"> certain properties, namely the domain (</w:t>
      </w:r>
      <m:oMath>
        <m:r>
          <w:rPr>
            <w:rFonts w:ascii="Cambria Math" w:hAnsi="Cambria Math"/>
          </w:rPr>
          <m:t>x&gt;0</m:t>
        </m:r>
      </m:oMath>
      <w:r>
        <w:t>) and range (</w:t>
      </w:r>
      <m:oMath>
        <m:r>
          <w:rPr>
            <w:rFonts w:ascii="Cambria Math" w:hAnsi="Cambria Math"/>
          </w:rPr>
          <m:t>y</m:t>
        </m:r>
        <m:r>
          <m:rPr>
            <m:scr m:val="double-struck"/>
          </m:rPr>
          <w:rPr>
            <w:rFonts w:ascii="Cambria Math" w:hAnsi="Cambria Math"/>
          </w:rPr>
          <m:t>∈R</m:t>
        </m:r>
      </m:oMath>
      <w:r>
        <w:t xml:space="preserve">) along with the equality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(mn)</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m</m:t>
            </m:r>
          </m:e>
        </m:func>
        <m:r>
          <w:rPr>
            <w:rFonts w:ascii="Cambria Math" w:hAnsi="Cambria Math"/>
          </w:rPr>
          <m:t>+</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a</m:t>
                </m:r>
              </m:sub>
            </m:sSub>
          </m:fName>
          <m:e>
            <m:r>
              <w:rPr>
                <w:rFonts w:ascii="Cambria Math" w:hAnsi="Cambria Math"/>
              </w:rPr>
              <m:t>n</m:t>
            </m:r>
          </m:e>
        </m:func>
      </m:oMath>
      <w:r>
        <w:t xml:space="preserve"> </w:t>
      </w:r>
      <w:r w:rsidR="00055B3A">
        <w:t xml:space="preserve">for </w:t>
      </w:r>
      <m:oMath>
        <m:r>
          <w:rPr>
            <w:rFonts w:ascii="Cambria Math" w:hAnsi="Cambria Math"/>
          </w:rPr>
          <m:t>x&gt;0</m:t>
        </m:r>
      </m:oMath>
      <w:r w:rsidR="00055B3A">
        <w:t xml:space="preserve"> and </w:t>
      </w:r>
      <m:oMath>
        <m:r>
          <w:rPr>
            <w:rFonts w:ascii="Cambria Math" w:hAnsi="Cambria Math"/>
          </w:rPr>
          <m:t>y&gt;0</m:t>
        </m:r>
      </m:oMath>
      <w:r>
        <w:t xml:space="preserve">. DV6 defines </w:t>
      </w:r>
      <w:r w:rsidR="00A649C9">
        <w:t xml:space="preserve">a </w:t>
      </w:r>
      <w:r>
        <w:t>logarithm as the inverse of the exponential function with the same base.</w:t>
      </w:r>
      <w:r w:rsidRPr="00983CBB">
        <w:t xml:space="preserve"> </w:t>
      </w:r>
      <w:r>
        <w:t xml:space="preserve">This </w:t>
      </w:r>
      <w:r w:rsidR="00797CFA">
        <w:t xml:space="preserve">DV </w:t>
      </w:r>
      <w:r>
        <w:t>is relational-descriptive</w:t>
      </w:r>
      <w:r w:rsidR="00797CFA">
        <w:t xml:space="preserve"> as it prescribes </w:t>
      </w:r>
      <w:r>
        <w:t xml:space="preserve">a certain </w:t>
      </w:r>
      <w:r w:rsidR="00A94DF5">
        <w:t>relation</w:t>
      </w:r>
      <w:r>
        <w:t xml:space="preserve"> to be </w:t>
      </w:r>
      <w:r w:rsidR="00797CFA">
        <w:t>fulfilled</w:t>
      </w:r>
      <w:r>
        <w:t xml:space="preserve"> for a function to belong to the </w:t>
      </w:r>
      <w:r w:rsidR="002C0218">
        <w:t xml:space="preserve">class of </w:t>
      </w:r>
      <w:r>
        <w:t xml:space="preserve">logarithm functions. DV7 defines logarithms as unique solutions to exponential equations, their existence relying upon the </w:t>
      </w:r>
      <w:r w:rsidR="00A94DF5">
        <w:t>relation</w:t>
      </w:r>
      <w:r>
        <w:t xml:space="preserve"> with exponentials.</w:t>
      </w:r>
      <w:r w:rsidR="00886E0E">
        <w:t xml:space="preserve"> </w:t>
      </w:r>
    </w:p>
    <w:p w14:paraId="1C49816D" w14:textId="1724235A" w:rsidR="00170F69" w:rsidRDefault="00170F69" w:rsidP="00B740F7">
      <w:r>
        <w:t xml:space="preserve">The definition variants are considered to form the mathematical basis for facets of meaning of the concept of logarithms. Being facets, neither comprises the full meaning of the concept, they rather highlight different properties. In the number context, logarithms are interpreted as a value, a solution or (implicitly) an exponent. The exponent facet is exemplified in </w:t>
      </w:r>
      <w:r>
        <w:rPr>
          <w:noProof/>
        </w:rPr>
        <w:t>Johansson and Öhman (2017, p. 174, my translation)</w:t>
      </w:r>
      <w:r>
        <w:t xml:space="preserve"> calling it a rhetorical definition when stating that “</w:t>
      </w:r>
      <m:oMath>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t xml:space="preserve"> is what one should take</w:t>
      </w:r>
      <m:oMath>
        <m:r>
          <w:rPr>
            <w:rFonts w:ascii="Cambria Math" w:hAnsi="Cambria Math"/>
          </w:rPr>
          <m:t xml:space="preserve"> e</m:t>
        </m:r>
      </m:oMath>
      <w:r>
        <w:t xml:space="preserve"> to the power of in order to receive </w:t>
      </w:r>
      <m:oMath>
        <m:r>
          <w:rPr>
            <w:rFonts w:ascii="Cambria Math" w:hAnsi="Cambria Math"/>
          </w:rPr>
          <m:t>x</m:t>
        </m:r>
      </m:oMath>
      <w:r>
        <w:t>”. The operational context includes tool-referring facets, namely using logarithms to solve exponential equations or to rewrite numbers.</w:t>
      </w:r>
      <w:r w:rsidRPr="00EC415F">
        <w:t xml:space="preserve"> </w:t>
      </w:r>
      <w:r>
        <w:t xml:space="preserve">The transformational facet of meaning, turning multiplication into addition, is presented in a historical remark in </w:t>
      </w:r>
      <w:r>
        <w:rPr>
          <w:noProof/>
        </w:rPr>
        <w:t>Olsen (2023, p. 67)</w:t>
      </w:r>
      <w:r>
        <w:t xml:space="preserve">, stating that “[t]he basic idea of logarithms was to find an invertible function that turns multiplication into addition”. The inverse facet also belongs here, reflecting the isomorphic </w:t>
      </w:r>
      <w:r w:rsidR="00A94DF5">
        <w:t>relation</w:t>
      </w:r>
      <w:r>
        <w:t xml:space="preserve"> between multiplicative and additive structures, as in </w:t>
      </w:r>
      <w:r>
        <w:rPr>
          <w:noProof/>
        </w:rPr>
        <w:t>Rodhe and Sollervall (1998, p. 26, my translation)</w:t>
      </w:r>
      <w:r>
        <w:t>, “the logarithm function is inverse to corresponding exponential function”. Although related to DV6, this statement lacks sufficient mathematical rigor to constitute a DV.</w:t>
      </w:r>
    </w:p>
    <w:p w14:paraId="183A4B26" w14:textId="4785138C" w:rsidR="00327CC2" w:rsidRDefault="00BE0DD2" w:rsidP="00327CC2">
      <w:r>
        <w:t xml:space="preserve">Within the function context, two facets capture the general function perspective, either as a single function or as a class of functions. The third gives logarithms the ordered-pair </w:t>
      </w:r>
      <w:r w:rsidR="00AA538D">
        <w:t>facet of meaning</w:t>
      </w:r>
      <w:r>
        <w:t xml:space="preserve">, which is </w:t>
      </w:r>
      <w:r w:rsidR="00AA538D">
        <w:t>related to</w:t>
      </w:r>
      <w:r>
        <w:t xml:space="preserve"> functional thinking, and is exemplified by </w:t>
      </w:r>
      <w:r w:rsidR="00FB2815">
        <w:rPr>
          <w:noProof/>
        </w:rPr>
        <w:t>Forsling and Neymark (2011, p. 77, my translation)</w:t>
      </w:r>
      <w:r w:rsidR="00FB2815">
        <w:t xml:space="preserve"> stating that “for every number </w:t>
      </w:r>
      <w:r w:rsidR="00FB2815">
        <w:br/>
      </w:r>
      <m:oMath>
        <m:r>
          <w:rPr>
            <w:rFonts w:ascii="Cambria Math" w:hAnsi="Cambria Math"/>
          </w:rPr>
          <m:t>x&gt;0</m:t>
        </m:r>
      </m:oMath>
      <w:r w:rsidR="00FB2815">
        <w:t xml:space="preserve">, a real number </w:t>
      </w:r>
      <m:oMath>
        <m:func>
          <m:funcPr>
            <m:ctrlPr>
              <w:rPr>
                <w:rFonts w:ascii="Cambria Math" w:hAnsi="Cambria Math"/>
                <w:i/>
              </w:rPr>
            </m:ctrlPr>
          </m:funcPr>
          <m:fName>
            <m:r>
              <m:rPr>
                <m:sty m:val="p"/>
              </m:rPr>
              <w:rPr>
                <w:rFonts w:ascii="Cambria Math" w:hAnsi="Cambria Math"/>
              </w:rPr>
              <m:t>ln</m:t>
            </m:r>
          </m:fName>
          <m:e>
            <m:r>
              <w:rPr>
                <w:rFonts w:ascii="Cambria Math" w:hAnsi="Cambria Math"/>
              </w:rPr>
              <m:t>x</m:t>
            </m:r>
          </m:e>
        </m:func>
      </m:oMath>
      <w:r w:rsidR="00FB2815">
        <w:t xml:space="preserve"> is ordered”.</w:t>
      </w:r>
    </w:p>
    <w:p w14:paraId="7E71E6B9" w14:textId="6DB3C05C" w:rsidR="00170F69" w:rsidRDefault="00170F69" w:rsidP="002639B7">
      <w:pPr>
        <w:autoSpaceDE/>
        <w:autoSpaceDN/>
        <w:spacing w:line="240" w:lineRule="auto"/>
        <w:ind w:left="1416" w:firstLine="0"/>
        <w:jc w:val="left"/>
      </w:pPr>
      <w:r w:rsidRPr="008261B0">
        <w:br w:type="page"/>
      </w:r>
      <w:r w:rsidR="006935FD">
        <w:rPr>
          <w:b/>
          <w:bCs/>
          <w:noProof/>
        </w:rPr>
        <w:lastRenderedPageBreak/>
        <mc:AlternateContent>
          <mc:Choice Requires="wps">
            <w:drawing>
              <wp:anchor distT="0" distB="0" distL="114300" distR="114300" simplePos="0" relativeHeight="251659264" behindDoc="0" locked="0" layoutInCell="1" allowOverlap="1" wp14:anchorId="612C3587" wp14:editId="158113E0">
                <wp:simplePos x="0" y="0"/>
                <wp:positionH relativeFrom="column">
                  <wp:posOffset>-116628</wp:posOffset>
                </wp:positionH>
                <wp:positionV relativeFrom="paragraph">
                  <wp:posOffset>85302</wp:posOffset>
                </wp:positionV>
                <wp:extent cx="620202" cy="8261405"/>
                <wp:effectExtent l="0" t="0" r="2540" b="6350"/>
                <wp:wrapNone/>
                <wp:docPr id="1764137108" name="Textruta 2"/>
                <wp:cNvGraphicFramePr/>
                <a:graphic xmlns:a="http://schemas.openxmlformats.org/drawingml/2006/main">
                  <a:graphicData uri="http://schemas.microsoft.com/office/word/2010/wordprocessingShape">
                    <wps:wsp>
                      <wps:cNvSpPr txBox="1"/>
                      <wps:spPr>
                        <a:xfrm>
                          <a:off x="0" y="0"/>
                          <a:ext cx="620202" cy="8261405"/>
                        </a:xfrm>
                        <a:prstGeom prst="rect">
                          <a:avLst/>
                        </a:prstGeom>
                        <a:solidFill>
                          <a:schemeClr val="lt1"/>
                        </a:solidFill>
                        <a:ln w="6350">
                          <a:noFill/>
                        </a:ln>
                      </wps:spPr>
                      <wps:txbx>
                        <w:txbxContent>
                          <w:p w14:paraId="3308415A" w14:textId="067ABCD8" w:rsidR="00170F69" w:rsidRPr="001E5C8F" w:rsidRDefault="00170F69" w:rsidP="00170F69">
                            <w:pPr>
                              <w:pStyle w:val="Headtable"/>
                            </w:pPr>
                            <w:r w:rsidRPr="001E5C8F">
                              <w:t>Figure 1. Model of meaning for the concept of logarithms, displaying definition varia</w:t>
                            </w:r>
                            <w:r>
                              <w:t>n</w:t>
                            </w:r>
                            <w:r w:rsidRPr="001E5C8F">
                              <w:t>ts and facets of meaning</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C3587" id="_x0000_t202" coordsize="21600,21600" o:spt="202" path="m,l,21600r21600,l21600,xe">
                <v:stroke joinstyle="miter"/>
                <v:path gradientshapeok="t" o:connecttype="rect"/>
              </v:shapetype>
              <v:shape id="Textruta 2" o:spid="_x0000_s1026" type="#_x0000_t202" style="position:absolute;left:0;text-align:left;margin-left:-9.2pt;margin-top:6.7pt;width:48.85pt;height:6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" fillcolor="white [3201]" stroked="f" strokeweight=".5pt">
                <v:textbox style="layout-flow:vertical-ideographic">
                  <w:txbxContent>
                    <w:p w14:paraId="3308415A" w14:textId="067ABCD8" w:rsidR="00170F69" w:rsidRPr="001E5C8F" w:rsidRDefault="00170F69" w:rsidP="00170F69">
                      <w:pPr>
                        <w:pStyle w:val="Headtable"/>
                      </w:pPr>
                      <w:r w:rsidRPr="001E5C8F">
                        <w:t>Figure 1. Model of meaning for the concept of logarithms, displaying definition varia</w:t>
                      </w:r>
                      <w:r>
                        <w:t>n</w:t>
                      </w:r>
                      <w:r w:rsidRPr="001E5C8F">
                        <w:t>ts and facets of meaning</w:t>
                      </w:r>
                    </w:p>
                  </w:txbxContent>
                </v:textbox>
              </v:shape>
            </w:pict>
          </mc:Fallback>
        </mc:AlternateContent>
      </w:r>
      <w:r w:rsidR="006935FD">
        <w:rPr>
          <w:noProof/>
        </w:rPr>
        <w:drawing>
          <wp:inline distT="0" distB="0" distL="0" distR="0" wp14:anchorId="13E040DB" wp14:editId="2AD0871F">
            <wp:extent cx="8793636" cy="4946541"/>
            <wp:effectExtent l="6032" t="0" r="953" b="952"/>
            <wp:docPr id="189176766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67666" name="Bildobjekt 1891767666"/>
                    <pic:cNvPicPr/>
                  </pic:nvPicPr>
                  <pic:blipFill>
                    <a:blip r:embed="rId8"/>
                    <a:stretch>
                      <a:fillRect/>
                    </a:stretch>
                  </pic:blipFill>
                  <pic:spPr>
                    <a:xfrm rot="5400000">
                      <a:off x="0" y="0"/>
                      <a:ext cx="8823770" cy="4963492"/>
                    </a:xfrm>
                    <a:prstGeom prst="rect">
                      <a:avLst/>
                    </a:prstGeom>
                  </pic:spPr>
                </pic:pic>
              </a:graphicData>
            </a:graphic>
          </wp:inline>
        </w:drawing>
      </w:r>
    </w:p>
    <w:p w14:paraId="7D8ACE06" w14:textId="5D82E32E" w:rsidR="00170F69" w:rsidRDefault="00170F69" w:rsidP="00170F69">
      <w:pPr>
        <w:pStyle w:val="Rubrik2"/>
      </w:pPr>
      <w:r>
        <w:lastRenderedPageBreak/>
        <w:t>Discussion</w:t>
      </w:r>
    </w:p>
    <w:p w14:paraId="6373A3D6" w14:textId="0155BB8B" w:rsidR="00AB49BD" w:rsidRDefault="00170F69" w:rsidP="00170F69">
      <w:pPr>
        <w:pStyle w:val="Brdtext"/>
      </w:pPr>
      <w:r>
        <w:t>This study analysed</w:t>
      </w:r>
      <w:r w:rsidR="00A649C9">
        <w:t xml:space="preserve"> 13</w:t>
      </w:r>
      <w:r>
        <w:t xml:space="preserve"> university mathematics textbooks to explore how the concept of logarithm</w:t>
      </w:r>
      <w:r w:rsidR="00055B3A">
        <w:t>s</w:t>
      </w:r>
      <w:r>
        <w:t xml:space="preserve"> is defined and given meaning, resulting in the model of meaning presented in Figure 1. In response to the research questions, seven definition variants </w:t>
      </w:r>
      <w:r w:rsidR="004E4F16">
        <w:t xml:space="preserve">(DVs) </w:t>
      </w:r>
      <w:r>
        <w:t>and ten facets of meaning were identified, the latter spanning three contexts of interpretation. Together, these capture the diverse ways in which logarithms are presented in the sampled textbooks, as they differ in conceptual emphasis and related procedures.</w:t>
      </w:r>
      <w:r w:rsidR="00B44801">
        <w:t xml:space="preserve"> </w:t>
      </w:r>
    </w:p>
    <w:p w14:paraId="3E384385" w14:textId="111382DD" w:rsidR="00170F69" w:rsidRDefault="00170F69" w:rsidP="00170F69">
      <w:r>
        <w:t xml:space="preserve">A central theme is the </w:t>
      </w:r>
      <w:r w:rsidR="00A94DF5">
        <w:t>relation</w:t>
      </w:r>
      <w:r>
        <w:t xml:space="preserve"> between logarithms and exponential functions. Several DVs and meaning facets rely on this inverse link, yet others, </w:t>
      </w:r>
      <w:r w:rsidR="00264BDF">
        <w:t xml:space="preserve">namely </w:t>
      </w:r>
      <w:r>
        <w:t>DV1 (</w:t>
      </w:r>
      <w:r w:rsidR="0071311E">
        <w:t>integral</w:t>
      </w:r>
      <w:r>
        <w:t>)</w:t>
      </w:r>
      <w:r w:rsidR="00264BDF">
        <w:t xml:space="preserve">, </w:t>
      </w:r>
      <w:r>
        <w:t>DV</w:t>
      </w:r>
      <w:r w:rsidR="0071311E">
        <w:t>2</w:t>
      </w:r>
      <w:r>
        <w:t xml:space="preserve"> (</w:t>
      </w:r>
      <w:r w:rsidR="0071311E">
        <w:t>area</w:t>
      </w:r>
      <w:r>
        <w:t xml:space="preserve">), </w:t>
      </w:r>
      <w:r w:rsidR="00264BDF">
        <w:t>and DV5 (</w:t>
      </w:r>
      <w:r w:rsidR="0060222B">
        <w:t xml:space="preserve">rule) </w:t>
      </w:r>
      <w:r>
        <w:t xml:space="preserve">define logarithms independently of exponentials. Both approaches are mathematically valid, but their didactical implications might differ. These must be explored by the teacher themself or by further research. </w:t>
      </w:r>
    </w:p>
    <w:p w14:paraId="47E1E327" w14:textId="68534A76" w:rsidR="00E874AC" w:rsidRDefault="00170F69" w:rsidP="00C13560">
      <w:r>
        <w:t>Notably, DV1 and DV</w:t>
      </w:r>
      <w:r w:rsidR="00662506">
        <w:t>2</w:t>
      </w:r>
      <w:r>
        <w:t xml:space="preserve"> </w:t>
      </w:r>
      <w:r w:rsidR="0057197C">
        <w:t>define</w:t>
      </w:r>
      <w:r w:rsidR="00E874AC">
        <w:t xml:space="preserve"> only</w:t>
      </w:r>
      <w:r w:rsidR="0057197C">
        <w:t xml:space="preserve"> </w:t>
      </w:r>
      <w:r>
        <w:t>the natural logarithm</w:t>
      </w:r>
      <w:r w:rsidR="00E874AC">
        <w:t xml:space="preserve">, requiring specification of the base to </w:t>
      </w:r>
      <m:oMath>
        <m:r>
          <w:rPr>
            <w:rFonts w:ascii="Cambria Math" w:hAnsi="Cambria Math"/>
          </w:rPr>
          <m:t>e</m:t>
        </m:r>
      </m:oMath>
      <w:r w:rsidR="00E874AC">
        <w:t xml:space="preserve"> when using other DVs to derive them</w:t>
      </w:r>
      <w:r w:rsidR="00C13560">
        <w:t xml:space="preserve">. </w:t>
      </w:r>
      <w:r w:rsidR="000F0C4E">
        <w:t xml:space="preserve">This adds a condition to the mathematical equivalence that characterises the </w:t>
      </w:r>
      <w:r w:rsidR="00A94DF5">
        <w:t>relations</w:t>
      </w:r>
      <w:r w:rsidR="000F0C4E">
        <w:t xml:space="preserve"> among the DVs.</w:t>
      </w:r>
    </w:p>
    <w:p w14:paraId="3457B2D1" w14:textId="276C4A25" w:rsidR="00170F69" w:rsidRDefault="00170F69" w:rsidP="00A40EE9">
      <w:r>
        <w:t>The identified facets of meaning resonate with prior research. Exponent, inverse, and function meaning</w:t>
      </w:r>
      <w:r w:rsidR="00A11E3D">
        <w:t xml:space="preserve"> facets</w:t>
      </w:r>
      <w:r>
        <w:t xml:space="preserve"> align with findings by </w:t>
      </w:r>
      <w:r>
        <w:rPr>
          <w:noProof/>
        </w:rPr>
        <w:t>Gruver (2018)</w:t>
      </w:r>
      <w:r>
        <w:t xml:space="preserve">, </w:t>
      </w:r>
      <w:r>
        <w:rPr>
          <w:noProof/>
        </w:rPr>
        <w:t>Riley (2023)</w:t>
      </w:r>
      <w:r>
        <w:t xml:space="preserve"> and </w:t>
      </w:r>
      <w:r>
        <w:rPr>
          <w:noProof/>
        </w:rPr>
        <w:t>Weber (2016)</w:t>
      </w:r>
      <w:r>
        <w:t>. The function meaning</w:t>
      </w:r>
      <w:r w:rsidR="00A11E3D">
        <w:t xml:space="preserve"> facet</w:t>
      </w:r>
      <w:r>
        <w:t xml:space="preserve"> also appears in the framework by </w:t>
      </w:r>
      <w:r>
        <w:rPr>
          <w:noProof/>
        </w:rPr>
        <w:t>Berezovski and Zazkis (2006)</w:t>
      </w:r>
      <w:r>
        <w:t>, while the transformational, value and equation solution meaning</w:t>
      </w:r>
      <w:r w:rsidR="00875D73">
        <w:t xml:space="preserve"> facets</w:t>
      </w:r>
      <w:r>
        <w:t xml:space="preserve"> refine their operational and number contexts. </w:t>
      </w:r>
      <w:r w:rsidR="007C3FE5">
        <w:t xml:space="preserve">Two </w:t>
      </w:r>
      <w:r w:rsidR="00634BCC">
        <w:t xml:space="preserve">of the definitions </w:t>
      </w:r>
      <w:r w:rsidR="00383859">
        <w:t>presented</w:t>
      </w:r>
      <w:r w:rsidR="00634BCC">
        <w:t xml:space="preserve"> by Ricardo (2022) </w:t>
      </w:r>
      <w:r w:rsidR="007C3FE5">
        <w:t xml:space="preserve">(integral and inverse to exponential) </w:t>
      </w:r>
      <w:r w:rsidR="00383859">
        <w:t>correspond to DVs in the current result</w:t>
      </w:r>
      <w:r w:rsidR="00D92FCA">
        <w:t xml:space="preserve">. </w:t>
      </w:r>
      <w:r w:rsidR="001F20C9">
        <w:t xml:space="preserve">This study extends earlier work by combining the formal level of definition variants and the semantic level of meaning facets into a unified and detailed model. While the DVs could all serve to derive key properties of logarithms, the </w:t>
      </w:r>
      <w:r w:rsidR="003D1A9D">
        <w:t>facets of meaning</w:t>
      </w:r>
      <w:r w:rsidR="001F20C9">
        <w:t xml:space="preserve"> each seem to highlight one or a few features, which </w:t>
      </w:r>
      <w:r w:rsidR="004A4C8A">
        <w:t>suggests that</w:t>
      </w:r>
      <w:r w:rsidR="001F20C9">
        <w:t xml:space="preserve"> we need </w:t>
      </w:r>
      <w:r w:rsidR="004A4C8A">
        <w:t>several</w:t>
      </w:r>
      <w:r w:rsidR="001F20C9">
        <w:t xml:space="preserve"> of them to actually grasp the concept.</w:t>
      </w:r>
      <w:r w:rsidR="00A40EE9">
        <w:t xml:space="preserve"> </w:t>
      </w:r>
      <w:r w:rsidR="00E503F4">
        <w:t>Notably</w:t>
      </w:r>
      <w:r w:rsidR="00E8605A">
        <w:t>,</w:t>
      </w:r>
      <w:r>
        <w:t xml:space="preserve"> the repeated division/factor </w:t>
      </w:r>
      <w:r w:rsidR="00C46F19">
        <w:t>interpretation</w:t>
      </w:r>
      <w:r w:rsidR="008B64E1">
        <w:t xml:space="preserve">, </w:t>
      </w:r>
      <w:r>
        <w:t xml:space="preserve">recognised by </w:t>
      </w:r>
      <w:r>
        <w:rPr>
          <w:noProof/>
        </w:rPr>
        <w:t>Weber (2016)</w:t>
      </w:r>
      <w:r>
        <w:t xml:space="preserve"> and </w:t>
      </w:r>
      <w:r>
        <w:rPr>
          <w:noProof/>
        </w:rPr>
        <w:t>Gruver (2018)</w:t>
      </w:r>
      <w:r>
        <w:t xml:space="preserve">, are absent. </w:t>
      </w:r>
      <w:r w:rsidR="00681315">
        <w:t xml:space="preserve">These views </w:t>
      </w:r>
      <w:r w:rsidR="009C7069">
        <w:t>would connect</w:t>
      </w:r>
      <w:r w:rsidR="00681315">
        <w:t xml:space="preserve"> logarithms to the standard operations multiplication and division</w:t>
      </w:r>
      <w:r w:rsidR="009C7069">
        <w:t>, rather than to the more advanced concepts of exponential, function, inverse and integral</w:t>
      </w:r>
      <w:r w:rsidR="008652E5">
        <w:t xml:space="preserve"> which the current findings emphasise.</w:t>
      </w:r>
      <w:r w:rsidR="00681315">
        <w:t xml:space="preserve"> </w:t>
      </w:r>
      <w:r w:rsidR="003B7D0E">
        <w:t xml:space="preserve">This study’s focus on university textbooks </w:t>
      </w:r>
      <w:r w:rsidR="00662E3B">
        <w:t xml:space="preserve">hence delimits the findings </w:t>
      </w:r>
      <w:r w:rsidR="00B77C32">
        <w:t>by relating to curricula on a certain education</w:t>
      </w:r>
      <w:r w:rsidR="00182D78">
        <w:t>al</w:t>
      </w:r>
      <w:r w:rsidR="00B77C32">
        <w:t xml:space="preserve"> level.</w:t>
      </w:r>
      <w:r w:rsidR="008F7697">
        <w:t xml:space="preserve"> </w:t>
      </w:r>
      <w:r>
        <w:t>Ex</w:t>
      </w:r>
      <w:r w:rsidR="00182D78">
        <w:t>tending</w:t>
      </w:r>
      <w:r>
        <w:t xml:space="preserve"> the data sources to include mathematics education research literature and insights from mathematicians and teachers could further enrich the model.</w:t>
      </w:r>
      <w:r w:rsidR="00CC1F73">
        <w:t xml:space="preserve"> </w:t>
      </w:r>
    </w:p>
    <w:p w14:paraId="5B4DCD0A" w14:textId="1295D4AC" w:rsidR="007937F5" w:rsidRDefault="00170F69" w:rsidP="007937F5">
      <w:r>
        <w:t xml:space="preserve">The model could also be strengthened by further validation. </w:t>
      </w:r>
      <w:r>
        <w:rPr>
          <w:noProof/>
        </w:rPr>
        <w:t>Lankeit and Biehler (2024)</w:t>
      </w:r>
      <w:r>
        <w:t xml:space="preserve"> </w:t>
      </w:r>
      <w:r w:rsidR="00840972">
        <w:t>view</w:t>
      </w:r>
      <w:r>
        <w:t xml:space="preserve"> different DVs as conceptually distinct </w:t>
      </w:r>
      <w:r w:rsidR="00DD5D18">
        <w:t>as</w:t>
      </w:r>
      <w:r>
        <w:t xml:space="preserve"> they evoke different associations. </w:t>
      </w:r>
      <w:r w:rsidR="00840972">
        <w:t>While</w:t>
      </w:r>
      <w:r w:rsidR="00462598">
        <w:t xml:space="preserve"> the current analysis </w:t>
      </w:r>
      <w:r w:rsidR="00840972">
        <w:t>distinguished</w:t>
      </w:r>
      <w:r w:rsidR="00462598">
        <w:t xml:space="preserve"> </w:t>
      </w:r>
      <w:r w:rsidR="002F1DDD">
        <w:t xml:space="preserve">DV1 (integral) and DV2 (area), </w:t>
      </w:r>
      <w:r w:rsidR="00840972">
        <w:t xml:space="preserve">readers </w:t>
      </w:r>
      <w:r w:rsidR="00CC50AC">
        <w:t xml:space="preserve">might </w:t>
      </w:r>
      <w:r w:rsidR="002765BD">
        <w:t>argue</w:t>
      </w:r>
      <w:r w:rsidR="00CC50AC">
        <w:t xml:space="preserve"> that </w:t>
      </w:r>
      <w:r w:rsidR="0008350F">
        <w:t xml:space="preserve">a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f(x)</m:t>
            </m:r>
          </m:e>
        </m:nary>
        <m:r>
          <w:rPr>
            <w:rFonts w:ascii="Cambria Math" w:hAnsi="Cambria Math"/>
          </w:rPr>
          <m:t>dx</m:t>
        </m:r>
      </m:oMath>
      <w:r w:rsidR="00DD31CA">
        <w:t xml:space="preserve"> </w:t>
      </w:r>
      <w:r w:rsidR="00B02132">
        <w:t xml:space="preserve">and an area </w:t>
      </w:r>
      <w:r w:rsidR="00840972">
        <w:t>represent the same</w:t>
      </w:r>
      <w:r w:rsidR="00D00FD3">
        <w:t>.</w:t>
      </w:r>
      <w:r w:rsidR="00B931C7">
        <w:t xml:space="preserve"> </w:t>
      </w:r>
      <w:r w:rsidR="00B53601">
        <w:t xml:space="preserve">Unsurprisingly, the DVs resemble each other mathematically to various degrees, as all aim to grasp </w:t>
      </w:r>
      <w:r w:rsidR="00CC07F2">
        <w:t>logarithms</w:t>
      </w:r>
      <w:r w:rsidR="00B53601">
        <w:t>. This study sought to trace conceptual differences a</w:t>
      </w:r>
      <w:r w:rsidR="004A3BBA">
        <w:t>mong definitions and meaning</w:t>
      </w:r>
      <w:r w:rsidR="00875D73">
        <w:t xml:space="preserve"> facets</w:t>
      </w:r>
      <w:r w:rsidR="004A3BBA">
        <w:t xml:space="preserve"> manifested in textbooks. Future research should examine whether these distinctions extend beyond the author</w:t>
      </w:r>
      <w:r w:rsidR="00DD31CA">
        <w:t>’s interpretations</w:t>
      </w:r>
      <w:r w:rsidR="005D142B">
        <w:t xml:space="preserve">, explore associations evoked by different DVs, and examine </w:t>
      </w:r>
      <w:r w:rsidR="008A6BDB">
        <w:t>their relation</w:t>
      </w:r>
      <w:r w:rsidR="005D142B">
        <w:t xml:space="preserve"> to various </w:t>
      </w:r>
      <w:r w:rsidR="00CC07F2">
        <w:t>meaning facets</w:t>
      </w:r>
      <w:r w:rsidR="005D142B">
        <w:t xml:space="preserve"> of the concept of logarithms.</w:t>
      </w:r>
    </w:p>
    <w:p w14:paraId="58CC5C76" w14:textId="1A73FFC1" w:rsidR="00170F69" w:rsidRDefault="002C2551" w:rsidP="007937F5">
      <w:r>
        <w:lastRenderedPageBreak/>
        <w:t>M</w:t>
      </w:r>
      <w:r w:rsidR="00170F69">
        <w:t>ethodological and theoretical contributions of this study include the productive integration of</w:t>
      </w:r>
      <w:r w:rsidR="00E77E47">
        <w:t xml:space="preserve"> the framework</w:t>
      </w:r>
      <w:r w:rsidR="00170F69">
        <w:t xml:space="preserve"> subject matter analysis with </w:t>
      </w:r>
      <w:r w:rsidR="00E77E47">
        <w:t xml:space="preserve">the method </w:t>
      </w:r>
      <w:r w:rsidR="00170F69">
        <w:t xml:space="preserve">content analysis, alongside the initial development of a model of meaning for the concept of logarithms. </w:t>
      </w:r>
      <w:r w:rsidR="002134D9">
        <w:t>The</w:t>
      </w:r>
      <w:r w:rsidR="00700931">
        <w:t xml:space="preserve"> emerging</w:t>
      </w:r>
      <w:r w:rsidR="00170F69">
        <w:t xml:space="preserve"> model </w:t>
      </w:r>
      <w:r w:rsidR="00700931">
        <w:t>could</w:t>
      </w:r>
      <w:r w:rsidR="00170F69">
        <w:t xml:space="preserve"> guide future empirical and theoretical research on teaching and learning logarithms. For instance, research on MKT requires specification of the mathematics that inform teachers’ </w:t>
      </w:r>
      <w:proofErr w:type="spellStart"/>
      <w:r w:rsidR="00170F69">
        <w:t>SCK</w:t>
      </w:r>
      <w:proofErr w:type="spellEnd"/>
      <w:r w:rsidR="00170F69">
        <w:t xml:space="preserve"> </w:t>
      </w:r>
      <w:r w:rsidR="00170F69">
        <w:rPr>
          <w:noProof/>
        </w:rPr>
        <w:t>(Ball et al., 2008)</w:t>
      </w:r>
      <w:r w:rsidR="00170F69">
        <w:t>.</w:t>
      </w:r>
      <w:r w:rsidR="00B1673E">
        <w:t xml:space="preserve"> Hence, researchers using an MKT framework to study secondary school pre-service or in-service </w:t>
      </w:r>
      <w:r w:rsidR="00777755">
        <w:t>teachers’ knowledge of logarithms could make use of this model of meaning</w:t>
      </w:r>
      <w:r w:rsidR="00E06555">
        <w:t xml:space="preserve">, likewise researchers studying definitions and meanings </w:t>
      </w:r>
      <w:r w:rsidR="009C31E4">
        <w:t>that come to use</w:t>
      </w:r>
      <w:r w:rsidR="00DA2E94">
        <w:t xml:space="preserve"> in classrooms</w:t>
      </w:r>
      <w:r w:rsidR="00777755">
        <w:t>.</w:t>
      </w:r>
      <w:r w:rsidR="00170F69">
        <w:t xml:space="preserve"> Additionally, this study empirically contributes with a characterisation of logarithm definitions and </w:t>
      </w:r>
      <w:r w:rsidR="00716D47">
        <w:t>facets of meaning</w:t>
      </w:r>
      <w:r w:rsidR="00170F69">
        <w:t xml:space="preserve"> brought forth, and not</w:t>
      </w:r>
      <w:r w:rsidR="00170F69" w:rsidRPr="009737E4">
        <w:t xml:space="preserve">, by </w:t>
      </w:r>
      <w:r w:rsidR="00716D47" w:rsidRPr="009737E4">
        <w:t xml:space="preserve">a sample of </w:t>
      </w:r>
      <w:r w:rsidR="00170F69" w:rsidRPr="009737E4">
        <w:t>university</w:t>
      </w:r>
      <w:r w:rsidR="00170F69">
        <w:t xml:space="preserve"> mathematics textbooks.</w:t>
      </w:r>
      <w:r w:rsidR="00643305">
        <w:t xml:space="preserve"> </w:t>
      </w:r>
    </w:p>
    <w:p w14:paraId="53B7FF2B" w14:textId="3B8DDA84" w:rsidR="004E6733" w:rsidRDefault="00D1377E" w:rsidP="004453A2">
      <w:r>
        <w:t xml:space="preserve">The </w:t>
      </w:r>
      <w:r w:rsidR="00C97AB3">
        <w:t xml:space="preserve">emerging </w:t>
      </w:r>
      <w:r>
        <w:t xml:space="preserve">model has didactical implications for subject-specific professional development, encouraging teachers to reflect on </w:t>
      </w:r>
      <w:r w:rsidR="00463AB8">
        <w:t>productive</w:t>
      </w:r>
      <w:r>
        <w:t xml:space="preserve"> ways to define and give meaning to logarithms in instruction. It should be noted</w:t>
      </w:r>
      <w:r w:rsidR="0067515A">
        <w:t>,</w:t>
      </w:r>
      <w:r>
        <w:t xml:space="preserve"> though, that</w:t>
      </w:r>
      <w:r w:rsidR="008E299D">
        <w:t xml:space="preserve"> the distinction made between DVs and facets of meaning is analytical</w:t>
      </w:r>
      <w:r w:rsidR="00423268">
        <w:t>;</w:t>
      </w:r>
      <w:r w:rsidR="008E299D">
        <w:t xml:space="preserve"> in secondary school classrooms, a facet of meaning identified in this analysis could serve as </w:t>
      </w:r>
      <w:r w:rsidR="00B0373F">
        <w:t xml:space="preserve">a </w:t>
      </w:r>
      <w:r w:rsidR="008E299D">
        <w:t>definition</w:t>
      </w:r>
      <w:r w:rsidR="00FB5C0D">
        <w:t>.</w:t>
      </w:r>
      <w:r w:rsidR="00170F69">
        <w:t xml:space="preserve"> </w:t>
      </w:r>
      <w:r w:rsidR="004E6733">
        <w:t>Which interpretation to foreground depends on learning goals, context, and students’ prior knowledge (Lankeit &amp; Biehler, 2024). Notably, the</w:t>
      </w:r>
      <w:r w:rsidR="004E6733" w:rsidRPr="004E6733">
        <w:t xml:space="preserve"> </w:t>
      </w:r>
      <w:r w:rsidR="004E6733">
        <w:t xml:space="preserve">integral definition proposed by Klein (1908/2016) is </w:t>
      </w:r>
      <w:r w:rsidR="008E2F65">
        <w:t xml:space="preserve">still </w:t>
      </w:r>
      <w:r w:rsidR="004E6733">
        <w:t xml:space="preserve">just one of many definitions used in university mathematics textbooks. </w:t>
      </w:r>
      <w:r w:rsidR="002F0CF3">
        <w:t xml:space="preserve">This diversity enables connections between logarithms and several other mathematical concepts. </w:t>
      </w:r>
      <w:r w:rsidR="004E6733">
        <w:t>For instance, Riley (2023) proposes introducing logarithms</w:t>
      </w:r>
      <w:r w:rsidR="004453A2">
        <w:t xml:space="preserve"> through the relation between arithmetic and geometric sequences, which may be more accessible than an inverse exponential definition. </w:t>
      </w:r>
      <w:r w:rsidR="000832A9">
        <w:t xml:space="preserve">In other </w:t>
      </w:r>
      <w:r w:rsidR="001B1F3C">
        <w:t>classrooms</w:t>
      </w:r>
      <w:r w:rsidR="000832A9">
        <w:t xml:space="preserve">, logarithms could </w:t>
      </w:r>
      <w:r w:rsidR="00AD3F9D">
        <w:t>serve</w:t>
      </w:r>
      <w:r w:rsidR="002F1413">
        <w:t xml:space="preserve"> to extend students’ </w:t>
      </w:r>
      <w:r w:rsidR="0060720C">
        <w:t>understanding</w:t>
      </w:r>
      <w:r w:rsidR="00F836D2">
        <w:t xml:space="preserve"> of functions, </w:t>
      </w:r>
      <w:r w:rsidR="00D516BF">
        <w:t>particularly</w:t>
      </w:r>
      <w:r w:rsidR="00F836D2">
        <w:t xml:space="preserve"> non-trivial such, </w:t>
      </w:r>
      <w:r w:rsidR="00183BFE">
        <w:t>in which</w:t>
      </w:r>
      <w:r w:rsidR="005159C4">
        <w:t xml:space="preserve"> the domain, range and ordered-pair</w:t>
      </w:r>
      <w:r w:rsidR="000D1DED">
        <w:t xml:space="preserve"> idea</w:t>
      </w:r>
      <w:r w:rsidR="005159C4">
        <w:t xml:space="preserve"> </w:t>
      </w:r>
      <w:r w:rsidR="00D516BF">
        <w:t>are</w:t>
      </w:r>
      <w:r w:rsidR="005159C4">
        <w:t xml:space="preserve"> significant concepts.</w:t>
      </w:r>
      <w:r w:rsidR="001F75F9">
        <w:t xml:space="preserve"> </w:t>
      </w:r>
      <w:r w:rsidR="00D21954">
        <w:t>Such</w:t>
      </w:r>
      <w:r w:rsidR="005159C4">
        <w:t xml:space="preserve"> </w:t>
      </w:r>
      <w:r w:rsidR="00170F69">
        <w:t>informed decisions</w:t>
      </w:r>
      <w:r w:rsidR="005159C4">
        <w:t xml:space="preserve"> </w:t>
      </w:r>
      <w:r w:rsidR="00CD7C9E">
        <w:t>taken by teachers on</w:t>
      </w:r>
      <w:r w:rsidR="005159C4">
        <w:t xml:space="preserve"> how to prepare mathematical content for instruction</w:t>
      </w:r>
      <w:r w:rsidR="00170F69">
        <w:t xml:space="preserve"> presu</w:t>
      </w:r>
      <w:r w:rsidR="009626FF">
        <w:t>me</w:t>
      </w:r>
      <w:r w:rsidR="00170F69">
        <w:t xml:space="preserve"> an extensive knowledge base, to which the </w:t>
      </w:r>
      <w:r w:rsidR="0063555E">
        <w:t>emerging</w:t>
      </w:r>
      <w:r w:rsidR="00170F69">
        <w:t xml:space="preserve"> model can contribute.</w:t>
      </w:r>
    </w:p>
    <w:p w14:paraId="39F7D39E" w14:textId="77777777" w:rsidR="00170F69" w:rsidRPr="0015425E" w:rsidRDefault="00170F69" w:rsidP="0015425E">
      <w:pPr>
        <w:pStyle w:val="Rubrik2"/>
      </w:pPr>
      <w:r w:rsidRPr="0015425E">
        <w:t>References</w:t>
      </w:r>
    </w:p>
    <w:p w14:paraId="737E1A74" w14:textId="77777777" w:rsidR="00170F69" w:rsidRPr="00987B94" w:rsidRDefault="00170F69" w:rsidP="0015425E">
      <w:pPr>
        <w:pStyle w:val="References"/>
        <w:rPr>
          <w:noProof/>
        </w:rPr>
      </w:pPr>
      <w:r>
        <w:rPr>
          <w:noProof/>
        </w:rPr>
        <w:t>*</w:t>
      </w:r>
      <w:r w:rsidRPr="00987B94">
        <w:rPr>
          <w:noProof/>
        </w:rPr>
        <w:t xml:space="preserve">Adams, R. A., &amp; Essex, C. (2021). </w:t>
      </w:r>
      <w:r w:rsidRPr="00987B94">
        <w:rPr>
          <w:i/>
          <w:noProof/>
        </w:rPr>
        <w:t>Calculus: A complete course</w:t>
      </w:r>
      <w:r w:rsidRPr="00987B94">
        <w:rPr>
          <w:noProof/>
        </w:rPr>
        <w:t xml:space="preserve"> (10th ed.). Pearson. </w:t>
      </w:r>
    </w:p>
    <w:p w14:paraId="47C9CDF9" w14:textId="77777777" w:rsidR="00170F69" w:rsidRPr="00987B94" w:rsidRDefault="00170F69" w:rsidP="0015425E">
      <w:pPr>
        <w:pStyle w:val="References"/>
        <w:rPr>
          <w:noProof/>
        </w:rPr>
      </w:pPr>
      <w:r w:rsidRPr="00987B94">
        <w:rPr>
          <w:noProof/>
        </w:rPr>
        <w:t xml:space="preserve">Ball, D. L., Thames, M. H., &amp; Phelps, G. (2008). Content knowledge for teaching. </w:t>
      </w:r>
      <w:r w:rsidRPr="00987B94">
        <w:rPr>
          <w:i/>
          <w:noProof/>
        </w:rPr>
        <w:t>Journal of Teacher Education</w:t>
      </w:r>
      <w:r w:rsidRPr="00987B94">
        <w:rPr>
          <w:noProof/>
        </w:rPr>
        <w:t>,</w:t>
      </w:r>
      <w:r w:rsidRPr="00987B94">
        <w:rPr>
          <w:i/>
          <w:noProof/>
        </w:rPr>
        <w:t xml:space="preserve"> 59</w:t>
      </w:r>
      <w:r w:rsidRPr="00987B94">
        <w:rPr>
          <w:noProof/>
        </w:rPr>
        <w:t xml:space="preserve">(5), 389–407. </w:t>
      </w:r>
      <w:hyperlink r:id="rId9" w:history="1">
        <w:r w:rsidRPr="00987B94">
          <w:rPr>
            <w:rStyle w:val="Hyperlnk"/>
            <w:noProof/>
            <w:color w:val="auto"/>
          </w:rPr>
          <w:t>https://doi.org/10.1177/0022487108324554</w:t>
        </w:r>
      </w:hyperlink>
    </w:p>
    <w:p w14:paraId="23EFB0A3" w14:textId="77777777" w:rsidR="00170F69" w:rsidRPr="00987B94" w:rsidRDefault="00170F69" w:rsidP="0015425E">
      <w:pPr>
        <w:pStyle w:val="References"/>
        <w:rPr>
          <w:noProof/>
        </w:rPr>
      </w:pPr>
      <w:r w:rsidRPr="00987B94">
        <w:rPr>
          <w:noProof/>
        </w:rPr>
        <w:t xml:space="preserve">Berezovski, T., &amp; Zazkis, R. (2006). Logarithms: Snapshots from two tasks. In J. Novotná, H. Moraová, M. Krátká, &amp; N. a. Stehlíková (Eds.), </w:t>
      </w:r>
      <w:r w:rsidRPr="00987B94">
        <w:rPr>
          <w:i/>
          <w:noProof/>
        </w:rPr>
        <w:t>Proceedings of the 30th Conference of the Internatioinal Group for the Psychology of Mathematics Education</w:t>
      </w:r>
      <w:r w:rsidRPr="00987B94">
        <w:rPr>
          <w:noProof/>
        </w:rPr>
        <w:t xml:space="preserve"> (Vol. 2, pp. 145–152). </w:t>
      </w:r>
    </w:p>
    <w:p w14:paraId="3D581543" w14:textId="77777777" w:rsidR="00170F69" w:rsidRPr="00987B94" w:rsidRDefault="00170F69" w:rsidP="0015425E">
      <w:pPr>
        <w:pStyle w:val="References"/>
        <w:rPr>
          <w:noProof/>
        </w:rPr>
      </w:pPr>
      <w:r w:rsidRPr="00987B94">
        <w:rPr>
          <w:noProof/>
        </w:rPr>
        <w:t xml:space="preserve">Bergsten, C. (2020). Mathematical approaches. In S. Lerman (Ed.), </w:t>
      </w:r>
      <w:r w:rsidRPr="00987B94">
        <w:rPr>
          <w:i/>
          <w:noProof/>
        </w:rPr>
        <w:t>Encyclopedia of Mathematics Education</w:t>
      </w:r>
      <w:r w:rsidRPr="00987B94">
        <w:rPr>
          <w:noProof/>
        </w:rPr>
        <w:t xml:space="preserve"> (2 ed., pp. 498–505). Springer Cham. </w:t>
      </w:r>
      <w:hyperlink r:id="rId10" w:history="1">
        <w:r w:rsidRPr="00987B94">
          <w:rPr>
            <w:rStyle w:val="Hyperlnk"/>
            <w:noProof/>
            <w:color w:val="auto"/>
          </w:rPr>
          <w:t>https://doi.org/https://doi.org/10.1007/978-3-030-15789-0</w:t>
        </w:r>
      </w:hyperlink>
    </w:p>
    <w:p w14:paraId="77348015" w14:textId="77777777" w:rsidR="00170F69" w:rsidRDefault="00170F69" w:rsidP="0015425E">
      <w:pPr>
        <w:pStyle w:val="References"/>
        <w:rPr>
          <w:noProof/>
        </w:rPr>
      </w:pPr>
      <w:r w:rsidRPr="00987B94">
        <w:rPr>
          <w:noProof/>
        </w:rPr>
        <w:t xml:space="preserve">Bosch, M., &amp; Gascón, J. (2006). Twenty-five years of the didactic transposition. </w:t>
      </w:r>
      <w:r w:rsidRPr="00987B94">
        <w:rPr>
          <w:i/>
          <w:noProof/>
        </w:rPr>
        <w:t>ICMI Bulletin</w:t>
      </w:r>
      <w:r w:rsidRPr="00987B94">
        <w:rPr>
          <w:noProof/>
        </w:rPr>
        <w:t>,</w:t>
      </w:r>
      <w:r w:rsidRPr="00987B94">
        <w:rPr>
          <w:i/>
          <w:noProof/>
        </w:rPr>
        <w:t xml:space="preserve"> 58</w:t>
      </w:r>
      <w:r w:rsidRPr="00987B94">
        <w:rPr>
          <w:noProof/>
        </w:rPr>
        <w:t xml:space="preserve">, 51–65. </w:t>
      </w:r>
    </w:p>
    <w:p w14:paraId="3422902E" w14:textId="77777777" w:rsidR="00170F69" w:rsidRPr="00565D60" w:rsidRDefault="00170F69" w:rsidP="0015425E">
      <w:pPr>
        <w:pStyle w:val="References"/>
        <w:rPr>
          <w:noProof/>
        </w:rPr>
      </w:pPr>
      <w:r>
        <w:rPr>
          <w:noProof/>
        </w:rPr>
        <w:t xml:space="preserve">*Brandell, G., &amp; Sjöstrand, S. (2016). </w:t>
      </w:r>
      <w:r>
        <w:rPr>
          <w:i/>
          <w:iCs/>
          <w:noProof/>
        </w:rPr>
        <w:t>Envariabelsanalys med datorstöd</w:t>
      </w:r>
      <w:r>
        <w:rPr>
          <w:noProof/>
        </w:rPr>
        <w:t>. Studentlitteratur.</w:t>
      </w:r>
    </w:p>
    <w:p w14:paraId="2D01F36D" w14:textId="77777777" w:rsidR="00170F69" w:rsidRDefault="00170F69" w:rsidP="0015425E">
      <w:pPr>
        <w:pStyle w:val="References"/>
        <w:rPr>
          <w:noProof/>
        </w:rPr>
      </w:pPr>
      <w:r w:rsidRPr="00987B94">
        <w:rPr>
          <w:noProof/>
        </w:rPr>
        <w:t xml:space="preserve">Chua, B. L., &amp; Wood, E. (2005). Working with logarithms: Students’ misconceptions and errors. </w:t>
      </w:r>
      <w:r w:rsidRPr="00987B94">
        <w:rPr>
          <w:i/>
          <w:noProof/>
        </w:rPr>
        <w:t>The Mathematics Educator</w:t>
      </w:r>
      <w:r w:rsidRPr="00987B94">
        <w:rPr>
          <w:noProof/>
        </w:rPr>
        <w:t>,</w:t>
      </w:r>
      <w:r w:rsidRPr="00987B94">
        <w:rPr>
          <w:i/>
          <w:noProof/>
        </w:rPr>
        <w:t xml:space="preserve"> 8</w:t>
      </w:r>
      <w:r w:rsidRPr="00987B94">
        <w:rPr>
          <w:noProof/>
        </w:rPr>
        <w:t xml:space="preserve">(2), 53–70. </w:t>
      </w:r>
    </w:p>
    <w:p w14:paraId="2C0E944F" w14:textId="5B5FDF54" w:rsidR="00983FC5" w:rsidRPr="00491BE8" w:rsidRDefault="003763CC" w:rsidP="0015425E">
      <w:pPr>
        <w:pStyle w:val="References"/>
        <w:rPr>
          <w:noProof/>
        </w:rPr>
      </w:pPr>
      <w:r>
        <w:rPr>
          <w:noProof/>
        </w:rPr>
        <w:lastRenderedPageBreak/>
        <w:t>*</w:t>
      </w:r>
      <w:r w:rsidR="00983FC5">
        <w:rPr>
          <w:noProof/>
        </w:rPr>
        <w:t>Ekholm</w:t>
      </w:r>
      <w:r w:rsidR="00442F27">
        <w:rPr>
          <w:noProof/>
        </w:rPr>
        <w:t>, T. (2022).</w:t>
      </w:r>
      <w:r w:rsidR="00491BE8">
        <w:rPr>
          <w:noProof/>
        </w:rPr>
        <w:t xml:space="preserve"> </w:t>
      </w:r>
      <w:r w:rsidR="00491BE8">
        <w:rPr>
          <w:i/>
          <w:iCs/>
          <w:noProof/>
        </w:rPr>
        <w:t>Envariabelsanalys för teknisk fysik</w:t>
      </w:r>
      <w:r w:rsidR="00491BE8">
        <w:rPr>
          <w:noProof/>
        </w:rPr>
        <w:t>. [Unpublished course material].</w:t>
      </w:r>
      <w:r>
        <w:rPr>
          <w:noProof/>
        </w:rPr>
        <w:t xml:space="preserve"> KTH Royal Institute of Technology.</w:t>
      </w:r>
    </w:p>
    <w:p w14:paraId="3EE477B6" w14:textId="77777777" w:rsidR="00170F69" w:rsidRPr="00987B94" w:rsidRDefault="00170F69" w:rsidP="0015425E">
      <w:pPr>
        <w:pStyle w:val="References"/>
        <w:rPr>
          <w:noProof/>
        </w:rPr>
      </w:pPr>
      <w:r>
        <w:rPr>
          <w:noProof/>
        </w:rPr>
        <w:t xml:space="preserve">*Ekstig, K., Hellström, L. &amp; Sollervall, H. (2019). </w:t>
      </w:r>
      <w:r w:rsidRPr="008F2945">
        <w:rPr>
          <w:i/>
          <w:iCs/>
          <w:noProof/>
        </w:rPr>
        <w:t>Matematik startbok – för ingenjörer och naturvetare</w:t>
      </w:r>
      <w:r>
        <w:rPr>
          <w:noProof/>
        </w:rPr>
        <w:t>. Studentlitteratur.</w:t>
      </w:r>
    </w:p>
    <w:p w14:paraId="5DD15629" w14:textId="77777777" w:rsidR="00170F69" w:rsidRPr="00987B94" w:rsidRDefault="00170F69" w:rsidP="0015425E">
      <w:pPr>
        <w:pStyle w:val="References"/>
        <w:rPr>
          <w:noProof/>
        </w:rPr>
      </w:pPr>
      <w:r w:rsidRPr="00987B94">
        <w:rPr>
          <w:noProof/>
        </w:rPr>
        <w:t xml:space="preserve">Elo, S., &amp; Kyngäs, H. (2008). The qualitative content analysis process. </w:t>
      </w:r>
      <w:r w:rsidRPr="00987B94">
        <w:rPr>
          <w:i/>
          <w:noProof/>
        </w:rPr>
        <w:t>Journal of Advanced Nursing</w:t>
      </w:r>
      <w:r w:rsidRPr="00987B94">
        <w:rPr>
          <w:noProof/>
        </w:rPr>
        <w:t>,</w:t>
      </w:r>
      <w:r w:rsidRPr="00987B94">
        <w:rPr>
          <w:i/>
          <w:noProof/>
        </w:rPr>
        <w:t xml:space="preserve"> 62</w:t>
      </w:r>
      <w:r w:rsidRPr="00987B94">
        <w:rPr>
          <w:noProof/>
        </w:rPr>
        <w:t xml:space="preserve">(1), 107–115. </w:t>
      </w:r>
      <w:hyperlink r:id="rId11" w:history="1">
        <w:r w:rsidRPr="00987B94">
          <w:rPr>
            <w:rStyle w:val="Hyperlnk"/>
            <w:noProof/>
            <w:color w:val="auto"/>
          </w:rPr>
          <w:t>https://doi.org/10.1111/j.1365-2648.2007.04569.x</w:t>
        </w:r>
      </w:hyperlink>
    </w:p>
    <w:p w14:paraId="42E342F4" w14:textId="77777777" w:rsidR="00170F69" w:rsidRPr="00987B94" w:rsidRDefault="00170F69" w:rsidP="0015425E">
      <w:pPr>
        <w:pStyle w:val="References"/>
        <w:rPr>
          <w:noProof/>
        </w:rPr>
      </w:pPr>
      <w:r>
        <w:rPr>
          <w:noProof/>
        </w:rPr>
        <w:t>*</w:t>
      </w:r>
      <w:r w:rsidRPr="00987B94">
        <w:rPr>
          <w:noProof/>
        </w:rPr>
        <w:t xml:space="preserve">Forsling, G., &amp; Neymark, M. (2011). </w:t>
      </w:r>
      <w:r w:rsidRPr="00987B94">
        <w:rPr>
          <w:i/>
          <w:noProof/>
        </w:rPr>
        <w:t>Matematisk analys - En variabel</w:t>
      </w:r>
      <w:r w:rsidRPr="00987B94">
        <w:rPr>
          <w:noProof/>
        </w:rPr>
        <w:t xml:space="preserve"> (2nd ed.). Liber. </w:t>
      </w:r>
    </w:p>
    <w:p w14:paraId="238C5F3D" w14:textId="77777777" w:rsidR="00170F69" w:rsidRPr="00987B94" w:rsidRDefault="00170F69" w:rsidP="0015425E">
      <w:pPr>
        <w:pStyle w:val="References"/>
        <w:rPr>
          <w:noProof/>
        </w:rPr>
      </w:pPr>
      <w:r w:rsidRPr="00987B94">
        <w:rPr>
          <w:noProof/>
        </w:rPr>
        <w:t xml:space="preserve">Gruver, J. (2018). A trajectory for developing conceptual understanding of logarithmic relationships. </w:t>
      </w:r>
      <w:r w:rsidRPr="00987B94">
        <w:rPr>
          <w:i/>
          <w:noProof/>
        </w:rPr>
        <w:t>The Journal of Mathematical Behavior</w:t>
      </w:r>
      <w:r w:rsidRPr="00987B94">
        <w:rPr>
          <w:noProof/>
        </w:rPr>
        <w:t>,</w:t>
      </w:r>
      <w:r w:rsidRPr="00987B94">
        <w:rPr>
          <w:i/>
          <w:noProof/>
        </w:rPr>
        <w:t xml:space="preserve"> 50</w:t>
      </w:r>
      <w:r w:rsidRPr="00987B94">
        <w:rPr>
          <w:noProof/>
        </w:rPr>
        <w:t xml:space="preserve">, 1–22. </w:t>
      </w:r>
      <w:hyperlink r:id="rId12" w:history="1">
        <w:r w:rsidRPr="00987B94">
          <w:rPr>
            <w:rStyle w:val="Hyperlnk"/>
            <w:noProof/>
            <w:color w:val="auto"/>
          </w:rPr>
          <w:t>https://doi.org/10.1016/j.jmathb.2017.12.003</w:t>
        </w:r>
      </w:hyperlink>
    </w:p>
    <w:p w14:paraId="5B2E5D68" w14:textId="77777777" w:rsidR="00170F69" w:rsidRPr="00987B94" w:rsidRDefault="00170F69" w:rsidP="0015425E">
      <w:pPr>
        <w:pStyle w:val="References"/>
        <w:rPr>
          <w:noProof/>
        </w:rPr>
      </w:pPr>
      <w:r w:rsidRPr="00987B94">
        <w:rPr>
          <w:noProof/>
        </w:rPr>
        <w:t xml:space="preserve">Hußmann, S., Rezat, S., &amp; Sträßer, R. (2016). Subject </w:t>
      </w:r>
      <w:r>
        <w:rPr>
          <w:noProof/>
        </w:rPr>
        <w:t>m</w:t>
      </w:r>
      <w:r w:rsidRPr="00987B94">
        <w:rPr>
          <w:noProof/>
        </w:rPr>
        <w:t xml:space="preserve">atter </w:t>
      </w:r>
      <w:r>
        <w:rPr>
          <w:noProof/>
        </w:rPr>
        <w:t>d</w:t>
      </w:r>
      <w:r w:rsidRPr="00987B94">
        <w:rPr>
          <w:noProof/>
        </w:rPr>
        <w:t xml:space="preserve">idactics in </w:t>
      </w:r>
      <w:r>
        <w:rPr>
          <w:noProof/>
        </w:rPr>
        <w:t>m</w:t>
      </w:r>
      <w:r w:rsidRPr="00987B94">
        <w:rPr>
          <w:noProof/>
        </w:rPr>
        <w:t xml:space="preserve">athematics </w:t>
      </w:r>
      <w:r>
        <w:rPr>
          <w:noProof/>
        </w:rPr>
        <w:t>e</w:t>
      </w:r>
      <w:r w:rsidRPr="00987B94">
        <w:rPr>
          <w:noProof/>
        </w:rPr>
        <w:t xml:space="preserve">ducation. </w:t>
      </w:r>
      <w:r w:rsidRPr="00987B94">
        <w:rPr>
          <w:i/>
          <w:noProof/>
        </w:rPr>
        <w:t>Journal für Mathematik-Didaktik</w:t>
      </w:r>
      <w:r w:rsidRPr="00987B94">
        <w:rPr>
          <w:noProof/>
        </w:rPr>
        <w:t>,</w:t>
      </w:r>
      <w:r w:rsidRPr="00987B94">
        <w:rPr>
          <w:i/>
          <w:noProof/>
        </w:rPr>
        <w:t xml:space="preserve"> 37</w:t>
      </w:r>
      <w:r w:rsidRPr="00987B94">
        <w:rPr>
          <w:noProof/>
        </w:rPr>
        <w:t xml:space="preserve">(S1), 1–9. </w:t>
      </w:r>
      <w:hyperlink r:id="rId13" w:history="1">
        <w:r w:rsidRPr="00987B94">
          <w:rPr>
            <w:rStyle w:val="Hyperlnk"/>
            <w:noProof/>
            <w:color w:val="auto"/>
          </w:rPr>
          <w:t>https://doi.org/10.1007/s13138-016-0105-5</w:t>
        </w:r>
      </w:hyperlink>
    </w:p>
    <w:p w14:paraId="1CC24C1B" w14:textId="77777777" w:rsidR="00170F69" w:rsidRPr="00987B94" w:rsidRDefault="00170F69" w:rsidP="0015425E">
      <w:pPr>
        <w:pStyle w:val="References"/>
        <w:rPr>
          <w:noProof/>
        </w:rPr>
      </w:pPr>
      <w:r>
        <w:rPr>
          <w:noProof/>
        </w:rPr>
        <w:t>*</w:t>
      </w:r>
      <w:r w:rsidRPr="00987B94">
        <w:rPr>
          <w:noProof/>
        </w:rPr>
        <w:t xml:space="preserve">Johansson, R., &amp; Öhman, L.-D. (2017). </w:t>
      </w:r>
      <w:r w:rsidRPr="00987B94">
        <w:rPr>
          <w:i/>
          <w:noProof/>
        </w:rPr>
        <w:t>Introduktion till högre studier i matematik</w:t>
      </w:r>
      <w:r w:rsidRPr="00987B94">
        <w:rPr>
          <w:noProof/>
        </w:rPr>
        <w:t xml:space="preserve">. Liber. </w:t>
      </w:r>
    </w:p>
    <w:p w14:paraId="64EE5BCF" w14:textId="0CCAD2B2" w:rsidR="00170F69" w:rsidRDefault="00170F69" w:rsidP="0015425E">
      <w:pPr>
        <w:pStyle w:val="References"/>
        <w:rPr>
          <w:noProof/>
        </w:rPr>
      </w:pPr>
      <w:r w:rsidRPr="00987B94">
        <w:rPr>
          <w:noProof/>
        </w:rPr>
        <w:t xml:space="preserve">Kenney, R. (2005). Students’ understanding of logarithmic function notation. In G. Lloyd, M. WIlson, J. Wilkins, &amp; S. Behm (Eds.), </w:t>
      </w:r>
      <w:r w:rsidRPr="00987B94">
        <w:rPr>
          <w:i/>
          <w:noProof/>
        </w:rPr>
        <w:t>Proceedings of the 27th annual meeting of the North American Chapter of the International Group for the Psychology of Mathematics Education</w:t>
      </w:r>
      <w:r w:rsidR="002B2C56">
        <w:rPr>
          <w:i/>
          <w:noProof/>
        </w:rPr>
        <w:t xml:space="preserve"> </w:t>
      </w:r>
      <w:r w:rsidR="002B2C56">
        <w:rPr>
          <w:iCs/>
          <w:noProof/>
        </w:rPr>
        <w:t>(pp. 1–8)</w:t>
      </w:r>
      <w:r w:rsidRPr="00987B94">
        <w:rPr>
          <w:noProof/>
        </w:rPr>
        <w:t xml:space="preserve">. PME-NA. </w:t>
      </w:r>
    </w:p>
    <w:p w14:paraId="6EE47EAA" w14:textId="2376736F" w:rsidR="00AB3CAA" w:rsidRPr="00771AF5" w:rsidRDefault="00AB3CAA" w:rsidP="0015425E">
      <w:pPr>
        <w:pStyle w:val="References"/>
        <w:rPr>
          <w:noProof/>
        </w:rPr>
      </w:pPr>
      <w:r>
        <w:rPr>
          <w:noProof/>
        </w:rPr>
        <w:t xml:space="preserve">Klein, F. (2016). </w:t>
      </w:r>
      <w:r w:rsidR="00771AF5">
        <w:rPr>
          <w:i/>
          <w:iCs/>
          <w:noProof/>
        </w:rPr>
        <w:t>Elementary mathematics from a higher standpoint</w:t>
      </w:r>
      <w:r w:rsidR="00073857">
        <w:rPr>
          <w:i/>
          <w:iCs/>
          <w:noProof/>
        </w:rPr>
        <w:t xml:space="preserve"> </w:t>
      </w:r>
      <w:r w:rsidR="00073857">
        <w:rPr>
          <w:noProof/>
        </w:rPr>
        <w:t>(G. Schubring</w:t>
      </w:r>
      <w:r w:rsidR="0069040D">
        <w:rPr>
          <w:noProof/>
        </w:rPr>
        <w:t xml:space="preserve"> Trans.)</w:t>
      </w:r>
      <w:r w:rsidR="00771AF5">
        <w:rPr>
          <w:noProof/>
        </w:rPr>
        <w:t>.</w:t>
      </w:r>
      <w:r w:rsidR="0069040D">
        <w:rPr>
          <w:noProof/>
        </w:rPr>
        <w:t xml:space="preserve"> </w:t>
      </w:r>
      <w:r w:rsidR="0064078B">
        <w:rPr>
          <w:noProof/>
        </w:rPr>
        <w:t>Springer. (Original work published 1908)</w:t>
      </w:r>
    </w:p>
    <w:p w14:paraId="2744F04A" w14:textId="55E84BCA" w:rsidR="00170F69" w:rsidRPr="00987B94" w:rsidRDefault="00170F69" w:rsidP="0015425E">
      <w:pPr>
        <w:pStyle w:val="References"/>
        <w:rPr>
          <w:noProof/>
        </w:rPr>
      </w:pPr>
      <w:r w:rsidRPr="00987B94">
        <w:rPr>
          <w:noProof/>
        </w:rPr>
        <w:t xml:space="preserve">Lankeit, E., &amp; Biehler, R. (2024). The meaning landscape of the concept of the total derivative in multivariable real analysis textbooks: </w:t>
      </w:r>
      <w:r w:rsidR="002C7D4C">
        <w:rPr>
          <w:noProof/>
        </w:rPr>
        <w:t>An</w:t>
      </w:r>
      <w:r w:rsidRPr="00987B94">
        <w:rPr>
          <w:noProof/>
        </w:rPr>
        <w:t xml:space="preserve"> analysis based on a new model of meaning. </w:t>
      </w:r>
      <w:r w:rsidRPr="00987B94">
        <w:rPr>
          <w:i/>
          <w:noProof/>
        </w:rPr>
        <w:t>ZDM – Mathematics Education</w:t>
      </w:r>
      <w:r w:rsidR="00C33230">
        <w:rPr>
          <w:iCs/>
          <w:noProof/>
        </w:rPr>
        <w:t xml:space="preserve">, </w:t>
      </w:r>
      <w:r w:rsidR="00C33230">
        <w:rPr>
          <w:i/>
          <w:noProof/>
        </w:rPr>
        <w:t>56</w:t>
      </w:r>
      <w:r w:rsidR="00C33230">
        <w:rPr>
          <w:iCs/>
          <w:noProof/>
        </w:rPr>
        <w:t>, 1361–1373</w:t>
      </w:r>
      <w:r w:rsidRPr="00987B94">
        <w:rPr>
          <w:noProof/>
        </w:rPr>
        <w:t xml:space="preserve">. </w:t>
      </w:r>
      <w:hyperlink r:id="rId14" w:history="1">
        <w:r w:rsidRPr="00987B94">
          <w:rPr>
            <w:rStyle w:val="Hyperlnk"/>
            <w:noProof/>
            <w:color w:val="auto"/>
          </w:rPr>
          <w:t>https://doi.org/10.1007/s11858-024-01584-w</w:t>
        </w:r>
      </w:hyperlink>
    </w:p>
    <w:p w14:paraId="1AC3036D" w14:textId="77777777" w:rsidR="00170F69" w:rsidRPr="00184824" w:rsidRDefault="00170F69" w:rsidP="0015425E">
      <w:pPr>
        <w:pStyle w:val="References"/>
        <w:rPr>
          <w:noProof/>
        </w:rPr>
      </w:pPr>
      <w:r>
        <w:rPr>
          <w:noProof/>
        </w:rPr>
        <w:t xml:space="preserve">*Månsson, J., &amp; Nordbeck, P. (2011). </w:t>
      </w:r>
      <w:r>
        <w:rPr>
          <w:i/>
          <w:iCs/>
          <w:noProof/>
        </w:rPr>
        <w:t>Endimensionell analys</w:t>
      </w:r>
      <w:r>
        <w:rPr>
          <w:noProof/>
        </w:rPr>
        <w:t>. Studentlitteratur.</w:t>
      </w:r>
    </w:p>
    <w:p w14:paraId="46673D72" w14:textId="77777777" w:rsidR="00170F69" w:rsidRPr="00987B94" w:rsidRDefault="00170F69" w:rsidP="0015425E">
      <w:pPr>
        <w:pStyle w:val="References"/>
        <w:rPr>
          <w:noProof/>
        </w:rPr>
      </w:pPr>
      <w:r>
        <w:rPr>
          <w:noProof/>
        </w:rPr>
        <w:t>*</w:t>
      </w:r>
      <w:r w:rsidRPr="00987B94">
        <w:rPr>
          <w:noProof/>
        </w:rPr>
        <w:t xml:space="preserve">Olsen, J.-F. (2023). </w:t>
      </w:r>
      <w:r w:rsidRPr="00987B94">
        <w:rPr>
          <w:i/>
          <w:noProof/>
        </w:rPr>
        <w:t>Don’t Panic Part 1: A guide to MATA21 analysis in one variable</w:t>
      </w:r>
      <w:r w:rsidRPr="00987B94">
        <w:rPr>
          <w:noProof/>
        </w:rPr>
        <w:t xml:space="preserve">. [Unpublished course material]. Lund University. </w:t>
      </w:r>
    </w:p>
    <w:p w14:paraId="01AD17E2" w14:textId="77777777" w:rsidR="00170F69" w:rsidRPr="00987B94" w:rsidRDefault="00170F69" w:rsidP="0015425E">
      <w:pPr>
        <w:pStyle w:val="References"/>
        <w:rPr>
          <w:noProof/>
        </w:rPr>
      </w:pPr>
      <w:r>
        <w:rPr>
          <w:noProof/>
        </w:rPr>
        <w:t>*</w:t>
      </w:r>
      <w:r w:rsidRPr="00987B94">
        <w:rPr>
          <w:noProof/>
        </w:rPr>
        <w:t xml:space="preserve">Persson, A., &amp; Böiers, L.-C. (2010). </w:t>
      </w:r>
      <w:r w:rsidRPr="00987B94">
        <w:rPr>
          <w:i/>
          <w:noProof/>
        </w:rPr>
        <w:t>Analys i en variabel</w:t>
      </w:r>
      <w:r w:rsidRPr="00987B94">
        <w:rPr>
          <w:noProof/>
        </w:rPr>
        <w:t xml:space="preserve">. Studentlitteratur. </w:t>
      </w:r>
    </w:p>
    <w:p w14:paraId="6879E7EE" w14:textId="4CF36B0B" w:rsidR="00170F69" w:rsidRPr="00987B94" w:rsidRDefault="00170F69" w:rsidP="00B04BC8">
      <w:pPr>
        <w:pStyle w:val="References"/>
        <w:rPr>
          <w:noProof/>
        </w:rPr>
      </w:pPr>
      <w:r w:rsidRPr="00987B94">
        <w:rPr>
          <w:noProof/>
        </w:rPr>
        <w:t xml:space="preserve">Ricardo, H. (2022). The </w:t>
      </w:r>
      <w:r>
        <w:rPr>
          <w:noProof/>
        </w:rPr>
        <w:t>e</w:t>
      </w:r>
      <w:r w:rsidRPr="00987B94">
        <w:rPr>
          <w:noProof/>
        </w:rPr>
        <w:t xml:space="preserve">quivalence of </w:t>
      </w:r>
      <w:r>
        <w:rPr>
          <w:noProof/>
        </w:rPr>
        <w:t>d</w:t>
      </w:r>
      <w:r w:rsidRPr="00987B94">
        <w:rPr>
          <w:noProof/>
        </w:rPr>
        <w:t xml:space="preserve">efinitions of the </w:t>
      </w:r>
      <w:r>
        <w:rPr>
          <w:noProof/>
        </w:rPr>
        <w:t>n</w:t>
      </w:r>
      <w:r w:rsidRPr="00987B94">
        <w:rPr>
          <w:noProof/>
        </w:rPr>
        <w:t xml:space="preserve">atural </w:t>
      </w:r>
      <w:r>
        <w:rPr>
          <w:noProof/>
        </w:rPr>
        <w:t>l</w:t>
      </w:r>
      <w:r w:rsidRPr="00987B94">
        <w:rPr>
          <w:noProof/>
        </w:rPr>
        <w:t xml:space="preserve">ogarithm </w:t>
      </w:r>
      <w:r>
        <w:rPr>
          <w:noProof/>
        </w:rPr>
        <w:t>f</w:t>
      </w:r>
      <w:r w:rsidRPr="00987B94">
        <w:rPr>
          <w:noProof/>
        </w:rPr>
        <w:t xml:space="preserve">unction. </w:t>
      </w:r>
      <w:r w:rsidRPr="00987B94">
        <w:rPr>
          <w:i/>
          <w:noProof/>
        </w:rPr>
        <w:t>The College Mathematics Journal</w:t>
      </w:r>
      <w:r w:rsidRPr="00987B94">
        <w:rPr>
          <w:noProof/>
        </w:rPr>
        <w:t>,</w:t>
      </w:r>
      <w:r w:rsidRPr="00987B94">
        <w:rPr>
          <w:i/>
          <w:noProof/>
        </w:rPr>
        <w:t xml:space="preserve"> 53</w:t>
      </w:r>
      <w:r w:rsidRPr="00987B94">
        <w:rPr>
          <w:noProof/>
        </w:rPr>
        <w:t>(3), 190</w:t>
      </w:r>
      <w:r>
        <w:rPr>
          <w:noProof/>
        </w:rPr>
        <w:t>–</w:t>
      </w:r>
      <w:r w:rsidRPr="00987B94">
        <w:rPr>
          <w:noProof/>
        </w:rPr>
        <w:t xml:space="preserve">196. </w:t>
      </w:r>
      <w:hyperlink r:id="rId15" w:history="1">
        <w:r w:rsidR="007B0B9F" w:rsidRPr="0069354C">
          <w:rPr>
            <w:rStyle w:val="Hyperlnk"/>
            <w:noProof/>
            <w:color w:val="auto"/>
          </w:rPr>
          <w:t>https://doi.org/10.1080/07468342.2022.2039553</w:t>
        </w:r>
      </w:hyperlink>
    </w:p>
    <w:p w14:paraId="27C38376" w14:textId="77777777" w:rsidR="00170F69" w:rsidRDefault="00170F69" w:rsidP="0015425E">
      <w:pPr>
        <w:pStyle w:val="References"/>
        <w:rPr>
          <w:noProof/>
        </w:rPr>
      </w:pPr>
      <w:r w:rsidRPr="00987B94">
        <w:rPr>
          <w:noProof/>
        </w:rPr>
        <w:t xml:space="preserve">Riley, S. (2023). </w:t>
      </w:r>
      <w:r w:rsidRPr="00987B94">
        <w:rPr>
          <w:i/>
          <w:noProof/>
        </w:rPr>
        <w:t>An investigation into historic and contemporary presentations of logarithms in textbooks: Can historic presentations enhance the contemporary presentations of logarithms?</w:t>
      </w:r>
      <w:r w:rsidRPr="00987B94">
        <w:rPr>
          <w:noProof/>
        </w:rPr>
        <w:t xml:space="preserve"> [Doctoral dissertation, Simon Fraser university]. </w:t>
      </w:r>
    </w:p>
    <w:p w14:paraId="129702DD" w14:textId="77777777" w:rsidR="00170F69" w:rsidRPr="004F2A67" w:rsidRDefault="00170F69" w:rsidP="0015425E">
      <w:pPr>
        <w:pStyle w:val="References"/>
        <w:rPr>
          <w:noProof/>
        </w:rPr>
      </w:pPr>
      <w:r>
        <w:rPr>
          <w:noProof/>
        </w:rPr>
        <w:t xml:space="preserve">*Rodhe, S., &amp; Sigstam, I. (2006). </w:t>
      </w:r>
      <w:r>
        <w:rPr>
          <w:i/>
          <w:iCs/>
          <w:noProof/>
        </w:rPr>
        <w:t>Naturlig matematik</w:t>
      </w:r>
      <w:r>
        <w:rPr>
          <w:noProof/>
        </w:rPr>
        <w:t>. Studentlitteratur.</w:t>
      </w:r>
    </w:p>
    <w:p w14:paraId="46558637" w14:textId="77777777" w:rsidR="00170F69" w:rsidRDefault="00170F69" w:rsidP="0015425E">
      <w:pPr>
        <w:pStyle w:val="References"/>
        <w:rPr>
          <w:noProof/>
        </w:rPr>
      </w:pPr>
      <w:r>
        <w:rPr>
          <w:noProof/>
        </w:rPr>
        <w:t>*</w:t>
      </w:r>
      <w:r w:rsidRPr="00987B94">
        <w:rPr>
          <w:noProof/>
        </w:rPr>
        <w:t xml:space="preserve">Rodhe, S., &amp; Sollervall, H. (1998). </w:t>
      </w:r>
      <w:r w:rsidRPr="00987B94">
        <w:rPr>
          <w:i/>
          <w:noProof/>
        </w:rPr>
        <w:t>Matematik för ingenjörer</w:t>
      </w:r>
      <w:r w:rsidRPr="00987B94">
        <w:rPr>
          <w:noProof/>
        </w:rPr>
        <w:t>. Bokförlaget KUB.</w:t>
      </w:r>
    </w:p>
    <w:p w14:paraId="5A0AD315" w14:textId="77777777" w:rsidR="00170F69" w:rsidRPr="00987B94" w:rsidRDefault="00170F69" w:rsidP="0015425E">
      <w:pPr>
        <w:pStyle w:val="References"/>
        <w:rPr>
          <w:noProof/>
        </w:rPr>
      </w:pPr>
      <w:r>
        <w:rPr>
          <w:noProof/>
        </w:rPr>
        <w:t xml:space="preserve">*Rule, D. (2021). </w:t>
      </w:r>
      <w:r>
        <w:rPr>
          <w:i/>
          <w:iCs/>
          <w:noProof/>
        </w:rPr>
        <w:t>Ge svar på tal – En introduktion till matematisk analys</w:t>
      </w:r>
      <w:r>
        <w:rPr>
          <w:noProof/>
        </w:rPr>
        <w:t>. Studentlitteratur.</w:t>
      </w:r>
      <w:r w:rsidRPr="00987B94">
        <w:rPr>
          <w:noProof/>
        </w:rPr>
        <w:t xml:space="preserve"> </w:t>
      </w:r>
    </w:p>
    <w:p w14:paraId="6C50A411" w14:textId="77777777" w:rsidR="00170F69" w:rsidRPr="00987B94" w:rsidRDefault="00170F69" w:rsidP="0015425E">
      <w:pPr>
        <w:pStyle w:val="References"/>
        <w:rPr>
          <w:noProof/>
        </w:rPr>
      </w:pPr>
      <w:r>
        <w:rPr>
          <w:noProof/>
        </w:rPr>
        <w:t>*</w:t>
      </w:r>
      <w:r w:rsidRPr="00987B94">
        <w:rPr>
          <w:noProof/>
        </w:rPr>
        <w:t xml:space="preserve">Stewart, J., Clegg, D., &amp; Watson, S. (2020). </w:t>
      </w:r>
      <w:r w:rsidRPr="00987B94">
        <w:rPr>
          <w:i/>
          <w:noProof/>
        </w:rPr>
        <w:t>Ca</w:t>
      </w:r>
      <w:r>
        <w:rPr>
          <w:i/>
          <w:noProof/>
        </w:rPr>
        <w:t>l</w:t>
      </w:r>
      <w:r w:rsidRPr="00987B94">
        <w:rPr>
          <w:i/>
          <w:noProof/>
        </w:rPr>
        <w:t>culus: Early transcendentals</w:t>
      </w:r>
      <w:r w:rsidRPr="00987B94">
        <w:rPr>
          <w:noProof/>
        </w:rPr>
        <w:t xml:space="preserve"> (9th ed.). Cengage Learning. </w:t>
      </w:r>
    </w:p>
    <w:p w14:paraId="6CB31F67" w14:textId="446D4521" w:rsidR="00170F69" w:rsidRPr="00987B94" w:rsidRDefault="004B219F" w:rsidP="0015425E">
      <w:pPr>
        <w:pStyle w:val="References"/>
        <w:rPr>
          <w:noProof/>
        </w:rPr>
      </w:pPr>
      <w:r>
        <w:rPr>
          <w:noProof/>
        </w:rPr>
        <w:t>UKÄ</w:t>
      </w:r>
      <w:r w:rsidR="00170F69" w:rsidRPr="00987B94">
        <w:rPr>
          <w:noProof/>
        </w:rPr>
        <w:t xml:space="preserve">. (2025). </w:t>
      </w:r>
      <w:r w:rsidR="00170F69" w:rsidRPr="00987B94">
        <w:rPr>
          <w:i/>
          <w:noProof/>
        </w:rPr>
        <w:t>Antal helårsstudenter 2023/2024</w:t>
      </w:r>
      <w:r w:rsidR="00170F69" w:rsidRPr="00987B94">
        <w:rPr>
          <w:noProof/>
        </w:rPr>
        <w:t xml:space="preserve">. </w:t>
      </w:r>
      <w:hyperlink r:id="rId16" w:history="1">
        <w:r w:rsidR="00170F69" w:rsidRPr="00987B94">
          <w:rPr>
            <w:rStyle w:val="Hyperlnk"/>
            <w:noProof/>
            <w:color w:val="auto"/>
          </w:rPr>
          <w:t>https://www.uka.se/integrationer/hogskolan-i-siffror/statistik?statq=https://statistik-api.uka.se/api/totals/34</w:t>
        </w:r>
      </w:hyperlink>
    </w:p>
    <w:p w14:paraId="7D8D56EF" w14:textId="1234A97B" w:rsidR="008575E4" w:rsidRPr="00DB399B" w:rsidRDefault="00170F69" w:rsidP="0015425E">
      <w:pPr>
        <w:pStyle w:val="References"/>
        <w:rPr>
          <w:noProof/>
        </w:rPr>
      </w:pPr>
      <w:r w:rsidRPr="00987B94">
        <w:rPr>
          <w:noProof/>
        </w:rPr>
        <w:t xml:space="preserve">Weber, C. (2016). Making logarithms accessible – operational and structural basic models for logarithms. </w:t>
      </w:r>
      <w:r w:rsidRPr="00987B94">
        <w:rPr>
          <w:i/>
          <w:noProof/>
        </w:rPr>
        <w:t>Journal für Mathematik-Didaktik</w:t>
      </w:r>
      <w:r w:rsidRPr="00987B94">
        <w:rPr>
          <w:noProof/>
        </w:rPr>
        <w:t>,</w:t>
      </w:r>
      <w:r w:rsidRPr="00987B94">
        <w:rPr>
          <w:i/>
          <w:noProof/>
        </w:rPr>
        <w:t xml:space="preserve"> 37</w:t>
      </w:r>
      <w:r w:rsidRPr="00987B94">
        <w:rPr>
          <w:noProof/>
        </w:rPr>
        <w:t xml:space="preserve">, 69–98. </w:t>
      </w:r>
      <w:hyperlink r:id="rId17" w:history="1">
        <w:r w:rsidRPr="00987B94">
          <w:rPr>
            <w:rStyle w:val="Hyperlnk"/>
            <w:noProof/>
            <w:color w:val="auto"/>
          </w:rPr>
          <w:t>https://doi.org/10.1007/s13138-016-0104-6</w:t>
        </w:r>
      </w:hyperlink>
    </w:p>
    <w:sectPr w:rsidR="008575E4" w:rsidRPr="00DB399B" w:rsidSect="000761F4">
      <w:headerReference w:type="default" r:id="rId18"/>
      <w:footerReference w:type="even" r:id="rId19"/>
      <w:footerReference w:type="default" r:id="rId20"/>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A015" w14:textId="77777777" w:rsidR="004D1487" w:rsidRDefault="004D1487">
      <w:pPr>
        <w:spacing w:line="240" w:lineRule="auto"/>
      </w:pPr>
      <w:r>
        <w:separator/>
      </w:r>
    </w:p>
  </w:endnote>
  <w:endnote w:type="continuationSeparator" w:id="0">
    <w:p w14:paraId="264F1546" w14:textId="77777777" w:rsidR="004D1487" w:rsidRDefault="004D1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ACD" w14:textId="77777777" w:rsidR="004D1487" w:rsidRDefault="004D1487">
      <w:pPr>
        <w:spacing w:line="240" w:lineRule="auto"/>
      </w:pPr>
      <w:r>
        <w:separator/>
      </w:r>
    </w:p>
  </w:footnote>
  <w:footnote w:type="continuationSeparator" w:id="0">
    <w:p w14:paraId="001FEC41" w14:textId="77777777" w:rsidR="004D1487" w:rsidRDefault="004D14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40D0F736"/>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79C95D6E"/>
    <w:multiLevelType w:val="hybridMultilevel"/>
    <w:tmpl w:val="72B4CD1A"/>
    <w:lvl w:ilvl="0" w:tplc="90EC363E">
      <w:start w:val="2"/>
      <w:numFmt w:val="bullet"/>
      <w:lvlText w:val="-"/>
      <w:lvlJc w:val="left"/>
      <w:pPr>
        <w:ind w:left="785" w:hanging="360"/>
      </w:pPr>
      <w:rPr>
        <w:rFonts w:ascii="Times New Roman" w:eastAsia="Times New Roman" w:hAnsi="Times New Roman"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16cid:durableId="911501581">
    <w:abstractNumId w:val="0"/>
  </w:num>
  <w:num w:numId="2" w16cid:durableId="1284581613">
    <w:abstractNumId w:val="2"/>
  </w:num>
  <w:num w:numId="3" w16cid:durableId="58461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3&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wd22d5xq2r9are2a0sptvt12tadepr29v5x&quot;&gt;EndNote Library&lt;record-ids&gt;&lt;item&gt;1&lt;/item&gt;&lt;item&gt;13&lt;/item&gt;&lt;item&gt;14&lt;/item&gt;&lt;item&gt;15&lt;/item&gt;&lt;item&gt;19&lt;/item&gt;&lt;item&gt;20&lt;/item&gt;&lt;item&gt;27&lt;/item&gt;&lt;item&gt;33&lt;/item&gt;&lt;item&gt;56&lt;/item&gt;&lt;item&gt;58&lt;/item&gt;&lt;item&gt;59&lt;/item&gt;&lt;item&gt;64&lt;/item&gt;&lt;item&gt;66&lt;/item&gt;&lt;item&gt;119&lt;/item&gt;&lt;item&gt;163&lt;/item&gt;&lt;item&gt;296&lt;/item&gt;&lt;item&gt;316&lt;/item&gt;&lt;item&gt;333&lt;/item&gt;&lt;item&gt;334&lt;/item&gt;&lt;item&gt;336&lt;/item&gt;&lt;item&gt;348&lt;/item&gt;&lt;item&gt;349&lt;/item&gt;&lt;item&gt;350&lt;/item&gt;&lt;item&gt;384&lt;/item&gt;&lt;item&gt;388&lt;/item&gt;&lt;item&gt;395&lt;/item&gt;&lt;item&gt;397&lt;/item&gt;&lt;/record-ids&gt;&lt;/item&gt;&lt;/Libraries&gt;"/>
  </w:docVars>
  <w:rsids>
    <w:rsidRoot w:val="00B13C57"/>
    <w:rsid w:val="0000057E"/>
    <w:rsid w:val="00000AC8"/>
    <w:rsid w:val="00000EE7"/>
    <w:rsid w:val="0000122A"/>
    <w:rsid w:val="000015AE"/>
    <w:rsid w:val="0000227D"/>
    <w:rsid w:val="00003201"/>
    <w:rsid w:val="000037EA"/>
    <w:rsid w:val="00003E80"/>
    <w:rsid w:val="00005124"/>
    <w:rsid w:val="00005587"/>
    <w:rsid w:val="00005AFA"/>
    <w:rsid w:val="00006123"/>
    <w:rsid w:val="00006205"/>
    <w:rsid w:val="0000621A"/>
    <w:rsid w:val="000071F6"/>
    <w:rsid w:val="00011214"/>
    <w:rsid w:val="00012422"/>
    <w:rsid w:val="00012CA3"/>
    <w:rsid w:val="00012D93"/>
    <w:rsid w:val="00013B1D"/>
    <w:rsid w:val="00013F65"/>
    <w:rsid w:val="00014962"/>
    <w:rsid w:val="00015D39"/>
    <w:rsid w:val="0001605C"/>
    <w:rsid w:val="000160F0"/>
    <w:rsid w:val="00016FDF"/>
    <w:rsid w:val="000209E6"/>
    <w:rsid w:val="00020AC2"/>
    <w:rsid w:val="00020F56"/>
    <w:rsid w:val="00021A9E"/>
    <w:rsid w:val="00022073"/>
    <w:rsid w:val="000227C9"/>
    <w:rsid w:val="00022E2F"/>
    <w:rsid w:val="00023AA8"/>
    <w:rsid w:val="00023C83"/>
    <w:rsid w:val="00024ECD"/>
    <w:rsid w:val="00025833"/>
    <w:rsid w:val="00026F88"/>
    <w:rsid w:val="00027991"/>
    <w:rsid w:val="000300A8"/>
    <w:rsid w:val="00031502"/>
    <w:rsid w:val="00031C59"/>
    <w:rsid w:val="000323F2"/>
    <w:rsid w:val="000324B4"/>
    <w:rsid w:val="00032D82"/>
    <w:rsid w:val="00033F0F"/>
    <w:rsid w:val="0003441F"/>
    <w:rsid w:val="0003443C"/>
    <w:rsid w:val="00034B13"/>
    <w:rsid w:val="000400C4"/>
    <w:rsid w:val="000400DA"/>
    <w:rsid w:val="00041064"/>
    <w:rsid w:val="00041A67"/>
    <w:rsid w:val="00041C4E"/>
    <w:rsid w:val="0004300F"/>
    <w:rsid w:val="000434E2"/>
    <w:rsid w:val="0004370A"/>
    <w:rsid w:val="00043776"/>
    <w:rsid w:val="00043FBF"/>
    <w:rsid w:val="000448DA"/>
    <w:rsid w:val="00045CCE"/>
    <w:rsid w:val="000469D1"/>
    <w:rsid w:val="00047DF1"/>
    <w:rsid w:val="00053012"/>
    <w:rsid w:val="0005304D"/>
    <w:rsid w:val="00053461"/>
    <w:rsid w:val="0005348C"/>
    <w:rsid w:val="00053E4B"/>
    <w:rsid w:val="000548B4"/>
    <w:rsid w:val="00055632"/>
    <w:rsid w:val="00055B3A"/>
    <w:rsid w:val="000578F1"/>
    <w:rsid w:val="00060F2D"/>
    <w:rsid w:val="00061054"/>
    <w:rsid w:val="00061121"/>
    <w:rsid w:val="00062661"/>
    <w:rsid w:val="0006290B"/>
    <w:rsid w:val="00064533"/>
    <w:rsid w:val="00064A57"/>
    <w:rsid w:val="0006589D"/>
    <w:rsid w:val="00066B3D"/>
    <w:rsid w:val="00070308"/>
    <w:rsid w:val="00070A62"/>
    <w:rsid w:val="00071877"/>
    <w:rsid w:val="00071A14"/>
    <w:rsid w:val="00071E91"/>
    <w:rsid w:val="00071FF1"/>
    <w:rsid w:val="00072AFF"/>
    <w:rsid w:val="00073857"/>
    <w:rsid w:val="00074215"/>
    <w:rsid w:val="00074800"/>
    <w:rsid w:val="000752E9"/>
    <w:rsid w:val="000761F4"/>
    <w:rsid w:val="00076241"/>
    <w:rsid w:val="00076A67"/>
    <w:rsid w:val="00076F97"/>
    <w:rsid w:val="000820DE"/>
    <w:rsid w:val="0008317C"/>
    <w:rsid w:val="000832A9"/>
    <w:rsid w:val="0008350F"/>
    <w:rsid w:val="000841DF"/>
    <w:rsid w:val="00084739"/>
    <w:rsid w:val="00084D7A"/>
    <w:rsid w:val="00085003"/>
    <w:rsid w:val="00085225"/>
    <w:rsid w:val="00085A73"/>
    <w:rsid w:val="00086B85"/>
    <w:rsid w:val="00086E2B"/>
    <w:rsid w:val="00087321"/>
    <w:rsid w:val="000877CE"/>
    <w:rsid w:val="00087B92"/>
    <w:rsid w:val="00090A45"/>
    <w:rsid w:val="00090D9A"/>
    <w:rsid w:val="00092AD9"/>
    <w:rsid w:val="00092C76"/>
    <w:rsid w:val="0009301A"/>
    <w:rsid w:val="000941F2"/>
    <w:rsid w:val="00095D01"/>
    <w:rsid w:val="00096022"/>
    <w:rsid w:val="000970C6"/>
    <w:rsid w:val="0009746F"/>
    <w:rsid w:val="000976B3"/>
    <w:rsid w:val="00097A08"/>
    <w:rsid w:val="000A0F1D"/>
    <w:rsid w:val="000A2CD2"/>
    <w:rsid w:val="000A4488"/>
    <w:rsid w:val="000A4FB4"/>
    <w:rsid w:val="000A513C"/>
    <w:rsid w:val="000A529C"/>
    <w:rsid w:val="000A5F09"/>
    <w:rsid w:val="000A6067"/>
    <w:rsid w:val="000A72FC"/>
    <w:rsid w:val="000A7476"/>
    <w:rsid w:val="000A7633"/>
    <w:rsid w:val="000A7A56"/>
    <w:rsid w:val="000B1569"/>
    <w:rsid w:val="000B29B6"/>
    <w:rsid w:val="000B42FD"/>
    <w:rsid w:val="000B53C6"/>
    <w:rsid w:val="000B5757"/>
    <w:rsid w:val="000B661E"/>
    <w:rsid w:val="000B71EA"/>
    <w:rsid w:val="000B7693"/>
    <w:rsid w:val="000B7F3F"/>
    <w:rsid w:val="000C1960"/>
    <w:rsid w:val="000C1ADF"/>
    <w:rsid w:val="000C2E04"/>
    <w:rsid w:val="000C329B"/>
    <w:rsid w:val="000C3D10"/>
    <w:rsid w:val="000C6D27"/>
    <w:rsid w:val="000C7856"/>
    <w:rsid w:val="000C796D"/>
    <w:rsid w:val="000D01BA"/>
    <w:rsid w:val="000D036C"/>
    <w:rsid w:val="000D13D6"/>
    <w:rsid w:val="000D1CE6"/>
    <w:rsid w:val="000D1DED"/>
    <w:rsid w:val="000D2258"/>
    <w:rsid w:val="000D2760"/>
    <w:rsid w:val="000D3258"/>
    <w:rsid w:val="000D35E6"/>
    <w:rsid w:val="000D3B2F"/>
    <w:rsid w:val="000D54A8"/>
    <w:rsid w:val="000E163D"/>
    <w:rsid w:val="000E179C"/>
    <w:rsid w:val="000E2A57"/>
    <w:rsid w:val="000E34EC"/>
    <w:rsid w:val="000E369D"/>
    <w:rsid w:val="000E48B7"/>
    <w:rsid w:val="000E4D10"/>
    <w:rsid w:val="000E5A21"/>
    <w:rsid w:val="000E6176"/>
    <w:rsid w:val="000E62B7"/>
    <w:rsid w:val="000E656E"/>
    <w:rsid w:val="000F052D"/>
    <w:rsid w:val="000F0C4E"/>
    <w:rsid w:val="000F0D95"/>
    <w:rsid w:val="000F2CA9"/>
    <w:rsid w:val="000F40FD"/>
    <w:rsid w:val="000F4BB8"/>
    <w:rsid w:val="000F4C2C"/>
    <w:rsid w:val="000F59FF"/>
    <w:rsid w:val="000F5E97"/>
    <w:rsid w:val="000F656D"/>
    <w:rsid w:val="000F7629"/>
    <w:rsid w:val="000F7836"/>
    <w:rsid w:val="000F78AA"/>
    <w:rsid w:val="000F7BC9"/>
    <w:rsid w:val="00101BE3"/>
    <w:rsid w:val="00102B1C"/>
    <w:rsid w:val="0010303F"/>
    <w:rsid w:val="0010311C"/>
    <w:rsid w:val="00103306"/>
    <w:rsid w:val="0010404B"/>
    <w:rsid w:val="00104CC4"/>
    <w:rsid w:val="00105D03"/>
    <w:rsid w:val="00105D9B"/>
    <w:rsid w:val="00105DD8"/>
    <w:rsid w:val="00107B80"/>
    <w:rsid w:val="00107CF4"/>
    <w:rsid w:val="00110069"/>
    <w:rsid w:val="00110206"/>
    <w:rsid w:val="00112BE5"/>
    <w:rsid w:val="00114FAF"/>
    <w:rsid w:val="0011699A"/>
    <w:rsid w:val="00116A87"/>
    <w:rsid w:val="00116DC0"/>
    <w:rsid w:val="001173D4"/>
    <w:rsid w:val="00117643"/>
    <w:rsid w:val="001223B8"/>
    <w:rsid w:val="00122E5B"/>
    <w:rsid w:val="0012387D"/>
    <w:rsid w:val="00123ABD"/>
    <w:rsid w:val="00124376"/>
    <w:rsid w:val="00124E7F"/>
    <w:rsid w:val="00130100"/>
    <w:rsid w:val="001308D4"/>
    <w:rsid w:val="00130E66"/>
    <w:rsid w:val="00131E80"/>
    <w:rsid w:val="00132D9B"/>
    <w:rsid w:val="00133513"/>
    <w:rsid w:val="00133F5F"/>
    <w:rsid w:val="00133FC3"/>
    <w:rsid w:val="0013524A"/>
    <w:rsid w:val="001361BB"/>
    <w:rsid w:val="00136E3E"/>
    <w:rsid w:val="00137BB3"/>
    <w:rsid w:val="001401DF"/>
    <w:rsid w:val="00140273"/>
    <w:rsid w:val="00140995"/>
    <w:rsid w:val="00141552"/>
    <w:rsid w:val="00141E22"/>
    <w:rsid w:val="00141F68"/>
    <w:rsid w:val="00142E2A"/>
    <w:rsid w:val="0014374C"/>
    <w:rsid w:val="001439C7"/>
    <w:rsid w:val="00145007"/>
    <w:rsid w:val="00152179"/>
    <w:rsid w:val="001536FB"/>
    <w:rsid w:val="0015425E"/>
    <w:rsid w:val="00154B6B"/>
    <w:rsid w:val="00155A19"/>
    <w:rsid w:val="00156FDD"/>
    <w:rsid w:val="00157805"/>
    <w:rsid w:val="0016090D"/>
    <w:rsid w:val="00161C6F"/>
    <w:rsid w:val="0016320D"/>
    <w:rsid w:val="0016348F"/>
    <w:rsid w:val="001642E1"/>
    <w:rsid w:val="0016463F"/>
    <w:rsid w:val="00164FD2"/>
    <w:rsid w:val="00166058"/>
    <w:rsid w:val="0016647B"/>
    <w:rsid w:val="00167B0E"/>
    <w:rsid w:val="00167D3F"/>
    <w:rsid w:val="00170253"/>
    <w:rsid w:val="00170EF5"/>
    <w:rsid w:val="00170F69"/>
    <w:rsid w:val="00170F74"/>
    <w:rsid w:val="00171049"/>
    <w:rsid w:val="00172A48"/>
    <w:rsid w:val="00173B1E"/>
    <w:rsid w:val="00175171"/>
    <w:rsid w:val="0017522A"/>
    <w:rsid w:val="001764DA"/>
    <w:rsid w:val="001766BE"/>
    <w:rsid w:val="00176EBC"/>
    <w:rsid w:val="00177DCE"/>
    <w:rsid w:val="001811F0"/>
    <w:rsid w:val="00181209"/>
    <w:rsid w:val="00182745"/>
    <w:rsid w:val="00182C3F"/>
    <w:rsid w:val="00182D78"/>
    <w:rsid w:val="00183744"/>
    <w:rsid w:val="00183BFE"/>
    <w:rsid w:val="00184824"/>
    <w:rsid w:val="00184FE5"/>
    <w:rsid w:val="001856F5"/>
    <w:rsid w:val="00190AE8"/>
    <w:rsid w:val="001959B3"/>
    <w:rsid w:val="00195DC6"/>
    <w:rsid w:val="001965FA"/>
    <w:rsid w:val="00196659"/>
    <w:rsid w:val="00196D70"/>
    <w:rsid w:val="001A0EBA"/>
    <w:rsid w:val="001A249A"/>
    <w:rsid w:val="001A264B"/>
    <w:rsid w:val="001A2FB6"/>
    <w:rsid w:val="001A5E0C"/>
    <w:rsid w:val="001A6B7E"/>
    <w:rsid w:val="001A6F0E"/>
    <w:rsid w:val="001A7418"/>
    <w:rsid w:val="001A76DD"/>
    <w:rsid w:val="001A7E30"/>
    <w:rsid w:val="001B0B9B"/>
    <w:rsid w:val="001B0E01"/>
    <w:rsid w:val="001B0E42"/>
    <w:rsid w:val="001B0EA1"/>
    <w:rsid w:val="001B1F3C"/>
    <w:rsid w:val="001B272A"/>
    <w:rsid w:val="001B2CBF"/>
    <w:rsid w:val="001B314F"/>
    <w:rsid w:val="001B3A4C"/>
    <w:rsid w:val="001B3B53"/>
    <w:rsid w:val="001B4102"/>
    <w:rsid w:val="001B6B72"/>
    <w:rsid w:val="001C3007"/>
    <w:rsid w:val="001C3A5F"/>
    <w:rsid w:val="001C3EC8"/>
    <w:rsid w:val="001C40F8"/>
    <w:rsid w:val="001C46DC"/>
    <w:rsid w:val="001C48D0"/>
    <w:rsid w:val="001C4C05"/>
    <w:rsid w:val="001C500C"/>
    <w:rsid w:val="001C55A0"/>
    <w:rsid w:val="001C5734"/>
    <w:rsid w:val="001C5C96"/>
    <w:rsid w:val="001C5D1E"/>
    <w:rsid w:val="001C62F1"/>
    <w:rsid w:val="001C646D"/>
    <w:rsid w:val="001C7CC7"/>
    <w:rsid w:val="001C7F49"/>
    <w:rsid w:val="001D05AF"/>
    <w:rsid w:val="001D1BC4"/>
    <w:rsid w:val="001D29B9"/>
    <w:rsid w:val="001D357F"/>
    <w:rsid w:val="001D35A5"/>
    <w:rsid w:val="001D614B"/>
    <w:rsid w:val="001E13D4"/>
    <w:rsid w:val="001E1656"/>
    <w:rsid w:val="001E27A5"/>
    <w:rsid w:val="001E326D"/>
    <w:rsid w:val="001E3574"/>
    <w:rsid w:val="001E5C8F"/>
    <w:rsid w:val="001E63CD"/>
    <w:rsid w:val="001E678B"/>
    <w:rsid w:val="001F20C9"/>
    <w:rsid w:val="001F285A"/>
    <w:rsid w:val="001F2B41"/>
    <w:rsid w:val="001F51CF"/>
    <w:rsid w:val="001F5474"/>
    <w:rsid w:val="001F67C9"/>
    <w:rsid w:val="001F7475"/>
    <w:rsid w:val="001F75A6"/>
    <w:rsid w:val="001F75F9"/>
    <w:rsid w:val="002002D8"/>
    <w:rsid w:val="002022DA"/>
    <w:rsid w:val="002029D2"/>
    <w:rsid w:val="00202B5A"/>
    <w:rsid w:val="00202D0F"/>
    <w:rsid w:val="002030BF"/>
    <w:rsid w:val="002038A3"/>
    <w:rsid w:val="00204A75"/>
    <w:rsid w:val="0020628B"/>
    <w:rsid w:val="00210398"/>
    <w:rsid w:val="00212838"/>
    <w:rsid w:val="002134D9"/>
    <w:rsid w:val="00213AF8"/>
    <w:rsid w:val="00214D23"/>
    <w:rsid w:val="002169DE"/>
    <w:rsid w:val="0021735A"/>
    <w:rsid w:val="002213DC"/>
    <w:rsid w:val="00224338"/>
    <w:rsid w:val="00224B3A"/>
    <w:rsid w:val="00225795"/>
    <w:rsid w:val="00225DD2"/>
    <w:rsid w:val="002260B3"/>
    <w:rsid w:val="00226674"/>
    <w:rsid w:val="00226A92"/>
    <w:rsid w:val="002272E1"/>
    <w:rsid w:val="0022759B"/>
    <w:rsid w:val="00230446"/>
    <w:rsid w:val="0023086F"/>
    <w:rsid w:val="00233304"/>
    <w:rsid w:val="00236DE1"/>
    <w:rsid w:val="00237062"/>
    <w:rsid w:val="00237BFA"/>
    <w:rsid w:val="002401F1"/>
    <w:rsid w:val="0024060C"/>
    <w:rsid w:val="00240726"/>
    <w:rsid w:val="0024095A"/>
    <w:rsid w:val="00241500"/>
    <w:rsid w:val="00241AAF"/>
    <w:rsid w:val="00241DDB"/>
    <w:rsid w:val="00244195"/>
    <w:rsid w:val="00244B25"/>
    <w:rsid w:val="00246CED"/>
    <w:rsid w:val="00247354"/>
    <w:rsid w:val="00247450"/>
    <w:rsid w:val="0024782C"/>
    <w:rsid w:val="00252066"/>
    <w:rsid w:val="0025210F"/>
    <w:rsid w:val="00252A8E"/>
    <w:rsid w:val="00252BE8"/>
    <w:rsid w:val="00253A89"/>
    <w:rsid w:val="00253EB5"/>
    <w:rsid w:val="00254CFC"/>
    <w:rsid w:val="002550C5"/>
    <w:rsid w:val="00255202"/>
    <w:rsid w:val="002561A5"/>
    <w:rsid w:val="002567C1"/>
    <w:rsid w:val="00257AF1"/>
    <w:rsid w:val="00257D89"/>
    <w:rsid w:val="00260A75"/>
    <w:rsid w:val="00261A56"/>
    <w:rsid w:val="00262090"/>
    <w:rsid w:val="00262B92"/>
    <w:rsid w:val="002639B7"/>
    <w:rsid w:val="00263D1F"/>
    <w:rsid w:val="00264BDF"/>
    <w:rsid w:val="00265762"/>
    <w:rsid w:val="002662C1"/>
    <w:rsid w:val="002665F4"/>
    <w:rsid w:val="00266F8C"/>
    <w:rsid w:val="002670B3"/>
    <w:rsid w:val="00267EEC"/>
    <w:rsid w:val="002723E3"/>
    <w:rsid w:val="0027259F"/>
    <w:rsid w:val="00272C18"/>
    <w:rsid w:val="002736D5"/>
    <w:rsid w:val="00274174"/>
    <w:rsid w:val="002742B0"/>
    <w:rsid w:val="00275B3B"/>
    <w:rsid w:val="002762D2"/>
    <w:rsid w:val="002765BD"/>
    <w:rsid w:val="0027786F"/>
    <w:rsid w:val="002800B6"/>
    <w:rsid w:val="00281E7A"/>
    <w:rsid w:val="002824CB"/>
    <w:rsid w:val="002859A9"/>
    <w:rsid w:val="00285B19"/>
    <w:rsid w:val="00286246"/>
    <w:rsid w:val="002864B1"/>
    <w:rsid w:val="00286C8B"/>
    <w:rsid w:val="00290233"/>
    <w:rsid w:val="002903F8"/>
    <w:rsid w:val="002918A4"/>
    <w:rsid w:val="002940BA"/>
    <w:rsid w:val="00294F17"/>
    <w:rsid w:val="00295DC8"/>
    <w:rsid w:val="002964D0"/>
    <w:rsid w:val="002A030F"/>
    <w:rsid w:val="002A0E20"/>
    <w:rsid w:val="002A158E"/>
    <w:rsid w:val="002A17A4"/>
    <w:rsid w:val="002A19D0"/>
    <w:rsid w:val="002A1CBF"/>
    <w:rsid w:val="002A2833"/>
    <w:rsid w:val="002A38E1"/>
    <w:rsid w:val="002A4704"/>
    <w:rsid w:val="002A6F4A"/>
    <w:rsid w:val="002A771C"/>
    <w:rsid w:val="002B05E4"/>
    <w:rsid w:val="002B1DD3"/>
    <w:rsid w:val="002B2C56"/>
    <w:rsid w:val="002B3ABB"/>
    <w:rsid w:val="002B4718"/>
    <w:rsid w:val="002B548F"/>
    <w:rsid w:val="002B5497"/>
    <w:rsid w:val="002B5746"/>
    <w:rsid w:val="002B683E"/>
    <w:rsid w:val="002B7D03"/>
    <w:rsid w:val="002C0218"/>
    <w:rsid w:val="002C1050"/>
    <w:rsid w:val="002C2353"/>
    <w:rsid w:val="002C2518"/>
    <w:rsid w:val="002C2551"/>
    <w:rsid w:val="002C2D10"/>
    <w:rsid w:val="002C330D"/>
    <w:rsid w:val="002C37A2"/>
    <w:rsid w:val="002C4B86"/>
    <w:rsid w:val="002C4CC9"/>
    <w:rsid w:val="002C4DD6"/>
    <w:rsid w:val="002C64C7"/>
    <w:rsid w:val="002C6589"/>
    <w:rsid w:val="002C65E6"/>
    <w:rsid w:val="002C6C40"/>
    <w:rsid w:val="002C78D8"/>
    <w:rsid w:val="002C7D4C"/>
    <w:rsid w:val="002D005B"/>
    <w:rsid w:val="002D2A9D"/>
    <w:rsid w:val="002D394F"/>
    <w:rsid w:val="002D49C9"/>
    <w:rsid w:val="002D52E0"/>
    <w:rsid w:val="002D53CB"/>
    <w:rsid w:val="002D5E3E"/>
    <w:rsid w:val="002D6F1B"/>
    <w:rsid w:val="002E0B0A"/>
    <w:rsid w:val="002E1129"/>
    <w:rsid w:val="002E2140"/>
    <w:rsid w:val="002E229A"/>
    <w:rsid w:val="002E36A0"/>
    <w:rsid w:val="002E69B3"/>
    <w:rsid w:val="002E71F9"/>
    <w:rsid w:val="002E73A4"/>
    <w:rsid w:val="002E7475"/>
    <w:rsid w:val="002E7680"/>
    <w:rsid w:val="002E77AD"/>
    <w:rsid w:val="002E7EEA"/>
    <w:rsid w:val="002F0C1D"/>
    <w:rsid w:val="002F0CF3"/>
    <w:rsid w:val="002F1134"/>
    <w:rsid w:val="002F1413"/>
    <w:rsid w:val="002F1DDD"/>
    <w:rsid w:val="002F23C4"/>
    <w:rsid w:val="002F2AA9"/>
    <w:rsid w:val="002F2F68"/>
    <w:rsid w:val="002F3E83"/>
    <w:rsid w:val="002F4DEC"/>
    <w:rsid w:val="002F51A1"/>
    <w:rsid w:val="002F577D"/>
    <w:rsid w:val="002F60FD"/>
    <w:rsid w:val="002F75CC"/>
    <w:rsid w:val="00300856"/>
    <w:rsid w:val="00300B64"/>
    <w:rsid w:val="003021D7"/>
    <w:rsid w:val="003028E3"/>
    <w:rsid w:val="00303710"/>
    <w:rsid w:val="00303772"/>
    <w:rsid w:val="0030396E"/>
    <w:rsid w:val="00303AA2"/>
    <w:rsid w:val="00303AF1"/>
    <w:rsid w:val="003047FB"/>
    <w:rsid w:val="0030481B"/>
    <w:rsid w:val="0030483C"/>
    <w:rsid w:val="00304DCD"/>
    <w:rsid w:val="00306356"/>
    <w:rsid w:val="00306587"/>
    <w:rsid w:val="00306E5B"/>
    <w:rsid w:val="00307295"/>
    <w:rsid w:val="00307F6B"/>
    <w:rsid w:val="003112E6"/>
    <w:rsid w:val="003121ED"/>
    <w:rsid w:val="003149D5"/>
    <w:rsid w:val="00315276"/>
    <w:rsid w:val="0031633F"/>
    <w:rsid w:val="0031674F"/>
    <w:rsid w:val="0031698F"/>
    <w:rsid w:val="003174EA"/>
    <w:rsid w:val="00317F62"/>
    <w:rsid w:val="00321A96"/>
    <w:rsid w:val="00321C29"/>
    <w:rsid w:val="00322EF1"/>
    <w:rsid w:val="00323B04"/>
    <w:rsid w:val="00324ED7"/>
    <w:rsid w:val="00325284"/>
    <w:rsid w:val="00325C1B"/>
    <w:rsid w:val="0032665E"/>
    <w:rsid w:val="00326AD7"/>
    <w:rsid w:val="00326DC1"/>
    <w:rsid w:val="003273EF"/>
    <w:rsid w:val="00327CC2"/>
    <w:rsid w:val="0033031F"/>
    <w:rsid w:val="00330CCA"/>
    <w:rsid w:val="0033105A"/>
    <w:rsid w:val="00331103"/>
    <w:rsid w:val="00331C6D"/>
    <w:rsid w:val="00332911"/>
    <w:rsid w:val="00334343"/>
    <w:rsid w:val="00334A99"/>
    <w:rsid w:val="00334E70"/>
    <w:rsid w:val="00335460"/>
    <w:rsid w:val="00337998"/>
    <w:rsid w:val="0034085B"/>
    <w:rsid w:val="00340C96"/>
    <w:rsid w:val="00340E9A"/>
    <w:rsid w:val="003411EC"/>
    <w:rsid w:val="00341CA2"/>
    <w:rsid w:val="0034377B"/>
    <w:rsid w:val="00344517"/>
    <w:rsid w:val="00344B14"/>
    <w:rsid w:val="00344E98"/>
    <w:rsid w:val="00344FBA"/>
    <w:rsid w:val="00346512"/>
    <w:rsid w:val="00347775"/>
    <w:rsid w:val="00347B2B"/>
    <w:rsid w:val="003501D4"/>
    <w:rsid w:val="003502D8"/>
    <w:rsid w:val="00352119"/>
    <w:rsid w:val="0035223A"/>
    <w:rsid w:val="00352C52"/>
    <w:rsid w:val="003544D2"/>
    <w:rsid w:val="00355D0F"/>
    <w:rsid w:val="00356B93"/>
    <w:rsid w:val="00360666"/>
    <w:rsid w:val="003619C1"/>
    <w:rsid w:val="00361CD5"/>
    <w:rsid w:val="0036237C"/>
    <w:rsid w:val="00362443"/>
    <w:rsid w:val="00362A78"/>
    <w:rsid w:val="00362D40"/>
    <w:rsid w:val="0036342E"/>
    <w:rsid w:val="00363B8D"/>
    <w:rsid w:val="0036493F"/>
    <w:rsid w:val="00364CF7"/>
    <w:rsid w:val="00365BAA"/>
    <w:rsid w:val="00366483"/>
    <w:rsid w:val="0037020A"/>
    <w:rsid w:val="00370F4F"/>
    <w:rsid w:val="003711D6"/>
    <w:rsid w:val="0037158F"/>
    <w:rsid w:val="00372BA0"/>
    <w:rsid w:val="0037301B"/>
    <w:rsid w:val="00373892"/>
    <w:rsid w:val="003755A4"/>
    <w:rsid w:val="003763CC"/>
    <w:rsid w:val="0037651A"/>
    <w:rsid w:val="00376C71"/>
    <w:rsid w:val="003771FB"/>
    <w:rsid w:val="003772C6"/>
    <w:rsid w:val="0038025C"/>
    <w:rsid w:val="003805CF"/>
    <w:rsid w:val="00382479"/>
    <w:rsid w:val="00382548"/>
    <w:rsid w:val="00382EE2"/>
    <w:rsid w:val="00383859"/>
    <w:rsid w:val="003840AC"/>
    <w:rsid w:val="00384255"/>
    <w:rsid w:val="003844D5"/>
    <w:rsid w:val="00384A39"/>
    <w:rsid w:val="00385258"/>
    <w:rsid w:val="00386D2E"/>
    <w:rsid w:val="00387226"/>
    <w:rsid w:val="00391173"/>
    <w:rsid w:val="00391C1A"/>
    <w:rsid w:val="0039393B"/>
    <w:rsid w:val="003940CD"/>
    <w:rsid w:val="003955F3"/>
    <w:rsid w:val="00397029"/>
    <w:rsid w:val="00397ED8"/>
    <w:rsid w:val="003A155B"/>
    <w:rsid w:val="003A156E"/>
    <w:rsid w:val="003A2508"/>
    <w:rsid w:val="003A28DE"/>
    <w:rsid w:val="003A35A1"/>
    <w:rsid w:val="003A36C4"/>
    <w:rsid w:val="003A496D"/>
    <w:rsid w:val="003A4F83"/>
    <w:rsid w:val="003A628F"/>
    <w:rsid w:val="003A62F5"/>
    <w:rsid w:val="003A6718"/>
    <w:rsid w:val="003B0081"/>
    <w:rsid w:val="003B0457"/>
    <w:rsid w:val="003B0F35"/>
    <w:rsid w:val="003B106D"/>
    <w:rsid w:val="003B2647"/>
    <w:rsid w:val="003B27C7"/>
    <w:rsid w:val="003B2FBA"/>
    <w:rsid w:val="003B349B"/>
    <w:rsid w:val="003B3528"/>
    <w:rsid w:val="003B39E3"/>
    <w:rsid w:val="003B4116"/>
    <w:rsid w:val="003B4CD3"/>
    <w:rsid w:val="003B7D0E"/>
    <w:rsid w:val="003C19AC"/>
    <w:rsid w:val="003C3115"/>
    <w:rsid w:val="003C5322"/>
    <w:rsid w:val="003C73A2"/>
    <w:rsid w:val="003D0593"/>
    <w:rsid w:val="003D07B5"/>
    <w:rsid w:val="003D1916"/>
    <w:rsid w:val="003D1A9D"/>
    <w:rsid w:val="003D2F35"/>
    <w:rsid w:val="003D4D79"/>
    <w:rsid w:val="003D7258"/>
    <w:rsid w:val="003D7967"/>
    <w:rsid w:val="003E04ED"/>
    <w:rsid w:val="003E0A4A"/>
    <w:rsid w:val="003E3407"/>
    <w:rsid w:val="003E386E"/>
    <w:rsid w:val="003E3C8C"/>
    <w:rsid w:val="003E4F63"/>
    <w:rsid w:val="003F0CD4"/>
    <w:rsid w:val="003F0CDC"/>
    <w:rsid w:val="003F1AAF"/>
    <w:rsid w:val="003F2FB6"/>
    <w:rsid w:val="003F33BB"/>
    <w:rsid w:val="003F3A30"/>
    <w:rsid w:val="003F493B"/>
    <w:rsid w:val="003F5C59"/>
    <w:rsid w:val="003F7138"/>
    <w:rsid w:val="003F732C"/>
    <w:rsid w:val="003F75AD"/>
    <w:rsid w:val="004000C0"/>
    <w:rsid w:val="00400EAF"/>
    <w:rsid w:val="0040225D"/>
    <w:rsid w:val="00403276"/>
    <w:rsid w:val="00403388"/>
    <w:rsid w:val="00403CE6"/>
    <w:rsid w:val="00403E6C"/>
    <w:rsid w:val="00404378"/>
    <w:rsid w:val="004046AD"/>
    <w:rsid w:val="00405BD7"/>
    <w:rsid w:val="00406034"/>
    <w:rsid w:val="00407B52"/>
    <w:rsid w:val="004101AF"/>
    <w:rsid w:val="0041053F"/>
    <w:rsid w:val="00411ED8"/>
    <w:rsid w:val="004131C3"/>
    <w:rsid w:val="00413DD8"/>
    <w:rsid w:val="00415668"/>
    <w:rsid w:val="00415C55"/>
    <w:rsid w:val="00416DF5"/>
    <w:rsid w:val="0041764C"/>
    <w:rsid w:val="00417A84"/>
    <w:rsid w:val="00417D15"/>
    <w:rsid w:val="00420A61"/>
    <w:rsid w:val="00420F86"/>
    <w:rsid w:val="00421906"/>
    <w:rsid w:val="00422109"/>
    <w:rsid w:val="00423268"/>
    <w:rsid w:val="004234A0"/>
    <w:rsid w:val="0042363B"/>
    <w:rsid w:val="00423FE4"/>
    <w:rsid w:val="00425254"/>
    <w:rsid w:val="0042695F"/>
    <w:rsid w:val="00426C7F"/>
    <w:rsid w:val="00430317"/>
    <w:rsid w:val="0043095B"/>
    <w:rsid w:val="00432D84"/>
    <w:rsid w:val="00434C3D"/>
    <w:rsid w:val="00435912"/>
    <w:rsid w:val="00437484"/>
    <w:rsid w:val="00437EFB"/>
    <w:rsid w:val="0044010F"/>
    <w:rsid w:val="00440715"/>
    <w:rsid w:val="004419CF"/>
    <w:rsid w:val="00442F27"/>
    <w:rsid w:val="0044313E"/>
    <w:rsid w:val="004440F7"/>
    <w:rsid w:val="00444909"/>
    <w:rsid w:val="00444B25"/>
    <w:rsid w:val="004453A2"/>
    <w:rsid w:val="00445515"/>
    <w:rsid w:val="00446597"/>
    <w:rsid w:val="00447AEB"/>
    <w:rsid w:val="00450293"/>
    <w:rsid w:val="00451451"/>
    <w:rsid w:val="00452618"/>
    <w:rsid w:val="0045352C"/>
    <w:rsid w:val="0045458B"/>
    <w:rsid w:val="00455388"/>
    <w:rsid w:val="00455AE4"/>
    <w:rsid w:val="00455F25"/>
    <w:rsid w:val="004566EB"/>
    <w:rsid w:val="004602D1"/>
    <w:rsid w:val="00460B6C"/>
    <w:rsid w:val="00460BC9"/>
    <w:rsid w:val="00461692"/>
    <w:rsid w:val="00461B77"/>
    <w:rsid w:val="00461D61"/>
    <w:rsid w:val="00462241"/>
    <w:rsid w:val="0046245E"/>
    <w:rsid w:val="00462598"/>
    <w:rsid w:val="00462904"/>
    <w:rsid w:val="00462FEA"/>
    <w:rsid w:val="00463AB8"/>
    <w:rsid w:val="00465F60"/>
    <w:rsid w:val="0046668F"/>
    <w:rsid w:val="00466963"/>
    <w:rsid w:val="00466C3D"/>
    <w:rsid w:val="00467406"/>
    <w:rsid w:val="00467D12"/>
    <w:rsid w:val="00470DBD"/>
    <w:rsid w:val="00470F0B"/>
    <w:rsid w:val="0047323B"/>
    <w:rsid w:val="00474615"/>
    <w:rsid w:val="0047474A"/>
    <w:rsid w:val="00474A34"/>
    <w:rsid w:val="004755E6"/>
    <w:rsid w:val="00476CD7"/>
    <w:rsid w:val="00477AE5"/>
    <w:rsid w:val="00477EDA"/>
    <w:rsid w:val="00480F71"/>
    <w:rsid w:val="00481318"/>
    <w:rsid w:val="004819F3"/>
    <w:rsid w:val="00481AA1"/>
    <w:rsid w:val="00481C43"/>
    <w:rsid w:val="00481D11"/>
    <w:rsid w:val="004822ED"/>
    <w:rsid w:val="00484F4D"/>
    <w:rsid w:val="004866FD"/>
    <w:rsid w:val="00486C92"/>
    <w:rsid w:val="00486D55"/>
    <w:rsid w:val="00487F65"/>
    <w:rsid w:val="0049099E"/>
    <w:rsid w:val="00491BE8"/>
    <w:rsid w:val="00491CC4"/>
    <w:rsid w:val="00492276"/>
    <w:rsid w:val="00493843"/>
    <w:rsid w:val="00494BAD"/>
    <w:rsid w:val="004957D3"/>
    <w:rsid w:val="004961C8"/>
    <w:rsid w:val="004A0890"/>
    <w:rsid w:val="004A09BB"/>
    <w:rsid w:val="004A0ECD"/>
    <w:rsid w:val="004A1163"/>
    <w:rsid w:val="004A1B28"/>
    <w:rsid w:val="004A2C6E"/>
    <w:rsid w:val="004A32E1"/>
    <w:rsid w:val="004A33E2"/>
    <w:rsid w:val="004A33EF"/>
    <w:rsid w:val="004A3BBA"/>
    <w:rsid w:val="004A3C0A"/>
    <w:rsid w:val="004A3C42"/>
    <w:rsid w:val="004A412A"/>
    <w:rsid w:val="004A4C8A"/>
    <w:rsid w:val="004A4FE0"/>
    <w:rsid w:val="004A61D5"/>
    <w:rsid w:val="004B0750"/>
    <w:rsid w:val="004B1649"/>
    <w:rsid w:val="004B20D6"/>
    <w:rsid w:val="004B219F"/>
    <w:rsid w:val="004B29A4"/>
    <w:rsid w:val="004B2A3A"/>
    <w:rsid w:val="004B3210"/>
    <w:rsid w:val="004B3475"/>
    <w:rsid w:val="004B4EAC"/>
    <w:rsid w:val="004B55A8"/>
    <w:rsid w:val="004B5A6F"/>
    <w:rsid w:val="004B5C6C"/>
    <w:rsid w:val="004B62D1"/>
    <w:rsid w:val="004B6BFA"/>
    <w:rsid w:val="004B7A02"/>
    <w:rsid w:val="004C0F9C"/>
    <w:rsid w:val="004C107A"/>
    <w:rsid w:val="004C10DA"/>
    <w:rsid w:val="004C13F1"/>
    <w:rsid w:val="004C1B32"/>
    <w:rsid w:val="004C1C86"/>
    <w:rsid w:val="004C26E5"/>
    <w:rsid w:val="004C2960"/>
    <w:rsid w:val="004C4F21"/>
    <w:rsid w:val="004C5613"/>
    <w:rsid w:val="004C6591"/>
    <w:rsid w:val="004C68D4"/>
    <w:rsid w:val="004D1381"/>
    <w:rsid w:val="004D1487"/>
    <w:rsid w:val="004D2437"/>
    <w:rsid w:val="004D2A05"/>
    <w:rsid w:val="004D2F07"/>
    <w:rsid w:val="004D3D43"/>
    <w:rsid w:val="004D4897"/>
    <w:rsid w:val="004D48F1"/>
    <w:rsid w:val="004D508A"/>
    <w:rsid w:val="004D60E4"/>
    <w:rsid w:val="004D612A"/>
    <w:rsid w:val="004D6AB1"/>
    <w:rsid w:val="004D7695"/>
    <w:rsid w:val="004E05A1"/>
    <w:rsid w:val="004E0EF7"/>
    <w:rsid w:val="004E1366"/>
    <w:rsid w:val="004E39ED"/>
    <w:rsid w:val="004E3C8E"/>
    <w:rsid w:val="004E4065"/>
    <w:rsid w:val="004E4CCA"/>
    <w:rsid w:val="004E4D18"/>
    <w:rsid w:val="004E4F16"/>
    <w:rsid w:val="004E58D5"/>
    <w:rsid w:val="004E6733"/>
    <w:rsid w:val="004E6832"/>
    <w:rsid w:val="004E6BFD"/>
    <w:rsid w:val="004E738E"/>
    <w:rsid w:val="004E7FD2"/>
    <w:rsid w:val="004F0A5E"/>
    <w:rsid w:val="004F1158"/>
    <w:rsid w:val="004F1E59"/>
    <w:rsid w:val="004F27CC"/>
    <w:rsid w:val="004F2A67"/>
    <w:rsid w:val="004F35FD"/>
    <w:rsid w:val="004F3D1B"/>
    <w:rsid w:val="004F3EEB"/>
    <w:rsid w:val="004F423B"/>
    <w:rsid w:val="004F501A"/>
    <w:rsid w:val="004F504B"/>
    <w:rsid w:val="004F5453"/>
    <w:rsid w:val="004F5A1A"/>
    <w:rsid w:val="00502632"/>
    <w:rsid w:val="00502B5C"/>
    <w:rsid w:val="00504B8B"/>
    <w:rsid w:val="00504F5F"/>
    <w:rsid w:val="00505936"/>
    <w:rsid w:val="00505C14"/>
    <w:rsid w:val="0050669B"/>
    <w:rsid w:val="0050796B"/>
    <w:rsid w:val="00507B59"/>
    <w:rsid w:val="00511887"/>
    <w:rsid w:val="0051292F"/>
    <w:rsid w:val="00514153"/>
    <w:rsid w:val="005154FE"/>
    <w:rsid w:val="005159C4"/>
    <w:rsid w:val="0051606C"/>
    <w:rsid w:val="0051716E"/>
    <w:rsid w:val="005179E8"/>
    <w:rsid w:val="00517B11"/>
    <w:rsid w:val="005205AA"/>
    <w:rsid w:val="00522189"/>
    <w:rsid w:val="0052246F"/>
    <w:rsid w:val="00523EC5"/>
    <w:rsid w:val="00524C22"/>
    <w:rsid w:val="00524EAB"/>
    <w:rsid w:val="00524FF7"/>
    <w:rsid w:val="005252D4"/>
    <w:rsid w:val="00526ABF"/>
    <w:rsid w:val="0053009A"/>
    <w:rsid w:val="0053024C"/>
    <w:rsid w:val="00530966"/>
    <w:rsid w:val="00530F5A"/>
    <w:rsid w:val="005316FC"/>
    <w:rsid w:val="00531791"/>
    <w:rsid w:val="005318E7"/>
    <w:rsid w:val="005319E3"/>
    <w:rsid w:val="00532429"/>
    <w:rsid w:val="00533B40"/>
    <w:rsid w:val="00533F10"/>
    <w:rsid w:val="005343E3"/>
    <w:rsid w:val="00535641"/>
    <w:rsid w:val="005359EE"/>
    <w:rsid w:val="00535AC7"/>
    <w:rsid w:val="00535E12"/>
    <w:rsid w:val="00536C8A"/>
    <w:rsid w:val="00537681"/>
    <w:rsid w:val="00537F7C"/>
    <w:rsid w:val="005404B2"/>
    <w:rsid w:val="0054064E"/>
    <w:rsid w:val="00540DAF"/>
    <w:rsid w:val="00540DE8"/>
    <w:rsid w:val="005410EA"/>
    <w:rsid w:val="00542B81"/>
    <w:rsid w:val="00544031"/>
    <w:rsid w:val="005443E4"/>
    <w:rsid w:val="0054445A"/>
    <w:rsid w:val="00544EF7"/>
    <w:rsid w:val="00546272"/>
    <w:rsid w:val="00550405"/>
    <w:rsid w:val="00550B82"/>
    <w:rsid w:val="00550E77"/>
    <w:rsid w:val="00551BDA"/>
    <w:rsid w:val="00554F9F"/>
    <w:rsid w:val="005555A1"/>
    <w:rsid w:val="005562BE"/>
    <w:rsid w:val="00556C79"/>
    <w:rsid w:val="00556E27"/>
    <w:rsid w:val="00557B7B"/>
    <w:rsid w:val="00560F92"/>
    <w:rsid w:val="00561EAA"/>
    <w:rsid w:val="00561FA1"/>
    <w:rsid w:val="00562381"/>
    <w:rsid w:val="00562DD8"/>
    <w:rsid w:val="00563F41"/>
    <w:rsid w:val="00564BA8"/>
    <w:rsid w:val="00565410"/>
    <w:rsid w:val="0056551A"/>
    <w:rsid w:val="00565D60"/>
    <w:rsid w:val="005662BE"/>
    <w:rsid w:val="00567CDF"/>
    <w:rsid w:val="00567E52"/>
    <w:rsid w:val="00570AF3"/>
    <w:rsid w:val="005710F8"/>
    <w:rsid w:val="0057160D"/>
    <w:rsid w:val="0057197C"/>
    <w:rsid w:val="00573703"/>
    <w:rsid w:val="00573830"/>
    <w:rsid w:val="005738A5"/>
    <w:rsid w:val="00573E9E"/>
    <w:rsid w:val="0057529F"/>
    <w:rsid w:val="00575DEC"/>
    <w:rsid w:val="005762B4"/>
    <w:rsid w:val="0058192E"/>
    <w:rsid w:val="00582FE7"/>
    <w:rsid w:val="00584467"/>
    <w:rsid w:val="00584D24"/>
    <w:rsid w:val="00584FF0"/>
    <w:rsid w:val="005856B9"/>
    <w:rsid w:val="005856D7"/>
    <w:rsid w:val="00585720"/>
    <w:rsid w:val="00586CDD"/>
    <w:rsid w:val="005906D0"/>
    <w:rsid w:val="005919AF"/>
    <w:rsid w:val="005922DE"/>
    <w:rsid w:val="00592E52"/>
    <w:rsid w:val="00592FA0"/>
    <w:rsid w:val="005936ED"/>
    <w:rsid w:val="00594319"/>
    <w:rsid w:val="00594497"/>
    <w:rsid w:val="0059652F"/>
    <w:rsid w:val="005966E8"/>
    <w:rsid w:val="00596C68"/>
    <w:rsid w:val="00597113"/>
    <w:rsid w:val="00597EF1"/>
    <w:rsid w:val="005A0657"/>
    <w:rsid w:val="005A0C7F"/>
    <w:rsid w:val="005A1197"/>
    <w:rsid w:val="005A1230"/>
    <w:rsid w:val="005A19FD"/>
    <w:rsid w:val="005A363B"/>
    <w:rsid w:val="005A3C7A"/>
    <w:rsid w:val="005A426E"/>
    <w:rsid w:val="005A4615"/>
    <w:rsid w:val="005A56BB"/>
    <w:rsid w:val="005A613F"/>
    <w:rsid w:val="005A687B"/>
    <w:rsid w:val="005A7DC9"/>
    <w:rsid w:val="005A7E84"/>
    <w:rsid w:val="005B08EC"/>
    <w:rsid w:val="005B2180"/>
    <w:rsid w:val="005B226A"/>
    <w:rsid w:val="005B2D75"/>
    <w:rsid w:val="005B2DFF"/>
    <w:rsid w:val="005B4E1A"/>
    <w:rsid w:val="005B72DB"/>
    <w:rsid w:val="005C01C7"/>
    <w:rsid w:val="005C27B5"/>
    <w:rsid w:val="005C3897"/>
    <w:rsid w:val="005C3BCB"/>
    <w:rsid w:val="005C49CF"/>
    <w:rsid w:val="005C4CE2"/>
    <w:rsid w:val="005C522B"/>
    <w:rsid w:val="005C5349"/>
    <w:rsid w:val="005C57B7"/>
    <w:rsid w:val="005C590A"/>
    <w:rsid w:val="005C5BDD"/>
    <w:rsid w:val="005C5C1E"/>
    <w:rsid w:val="005C6E8C"/>
    <w:rsid w:val="005C72D8"/>
    <w:rsid w:val="005C7461"/>
    <w:rsid w:val="005C74E7"/>
    <w:rsid w:val="005C7CC7"/>
    <w:rsid w:val="005D005B"/>
    <w:rsid w:val="005D032F"/>
    <w:rsid w:val="005D064D"/>
    <w:rsid w:val="005D0D44"/>
    <w:rsid w:val="005D13DC"/>
    <w:rsid w:val="005D142B"/>
    <w:rsid w:val="005D17D5"/>
    <w:rsid w:val="005D1EE2"/>
    <w:rsid w:val="005D2754"/>
    <w:rsid w:val="005D2CB5"/>
    <w:rsid w:val="005D3293"/>
    <w:rsid w:val="005D3730"/>
    <w:rsid w:val="005D3B3A"/>
    <w:rsid w:val="005D4DDD"/>
    <w:rsid w:val="005D5A57"/>
    <w:rsid w:val="005D66A9"/>
    <w:rsid w:val="005D6827"/>
    <w:rsid w:val="005D7F62"/>
    <w:rsid w:val="005E0671"/>
    <w:rsid w:val="005E1150"/>
    <w:rsid w:val="005E1CAD"/>
    <w:rsid w:val="005E24D6"/>
    <w:rsid w:val="005E2AE0"/>
    <w:rsid w:val="005E30AC"/>
    <w:rsid w:val="005E38EC"/>
    <w:rsid w:val="005E3911"/>
    <w:rsid w:val="005E3A33"/>
    <w:rsid w:val="005E400B"/>
    <w:rsid w:val="005E46AE"/>
    <w:rsid w:val="005E52D0"/>
    <w:rsid w:val="005E5550"/>
    <w:rsid w:val="005F0C49"/>
    <w:rsid w:val="005F1636"/>
    <w:rsid w:val="005F184B"/>
    <w:rsid w:val="005F2437"/>
    <w:rsid w:val="005F2553"/>
    <w:rsid w:val="005F391E"/>
    <w:rsid w:val="005F3A49"/>
    <w:rsid w:val="005F406D"/>
    <w:rsid w:val="005F48C4"/>
    <w:rsid w:val="005F4CF7"/>
    <w:rsid w:val="005F636E"/>
    <w:rsid w:val="005F6948"/>
    <w:rsid w:val="00600481"/>
    <w:rsid w:val="006007C5"/>
    <w:rsid w:val="00600EEC"/>
    <w:rsid w:val="006020D3"/>
    <w:rsid w:val="0060222B"/>
    <w:rsid w:val="00602D0A"/>
    <w:rsid w:val="006039A0"/>
    <w:rsid w:val="00603CE8"/>
    <w:rsid w:val="00604610"/>
    <w:rsid w:val="00604F4A"/>
    <w:rsid w:val="0060578B"/>
    <w:rsid w:val="00606165"/>
    <w:rsid w:val="0060720C"/>
    <w:rsid w:val="006079E9"/>
    <w:rsid w:val="0061018A"/>
    <w:rsid w:val="006104D4"/>
    <w:rsid w:val="00612B42"/>
    <w:rsid w:val="00612BFD"/>
    <w:rsid w:val="00612E43"/>
    <w:rsid w:val="006139A0"/>
    <w:rsid w:val="00613AD8"/>
    <w:rsid w:val="00614112"/>
    <w:rsid w:val="0061538D"/>
    <w:rsid w:val="006153D3"/>
    <w:rsid w:val="00615E98"/>
    <w:rsid w:val="00616910"/>
    <w:rsid w:val="0062006A"/>
    <w:rsid w:val="006207B4"/>
    <w:rsid w:val="00621450"/>
    <w:rsid w:val="00621AD9"/>
    <w:rsid w:val="00622034"/>
    <w:rsid w:val="006220E6"/>
    <w:rsid w:val="0062231B"/>
    <w:rsid w:val="0062348D"/>
    <w:rsid w:val="006237B4"/>
    <w:rsid w:val="00623867"/>
    <w:rsid w:val="006243D5"/>
    <w:rsid w:val="006248F4"/>
    <w:rsid w:val="00624E7F"/>
    <w:rsid w:val="00625DD2"/>
    <w:rsid w:val="0062789A"/>
    <w:rsid w:val="006301B7"/>
    <w:rsid w:val="00630885"/>
    <w:rsid w:val="00630CB9"/>
    <w:rsid w:val="006311E2"/>
    <w:rsid w:val="00632124"/>
    <w:rsid w:val="006347D8"/>
    <w:rsid w:val="00634BCC"/>
    <w:rsid w:val="0063555E"/>
    <w:rsid w:val="00635CC9"/>
    <w:rsid w:val="00636557"/>
    <w:rsid w:val="00636DBF"/>
    <w:rsid w:val="0064078B"/>
    <w:rsid w:val="00640D27"/>
    <w:rsid w:val="0064128D"/>
    <w:rsid w:val="0064145A"/>
    <w:rsid w:val="00642399"/>
    <w:rsid w:val="00642517"/>
    <w:rsid w:val="00643305"/>
    <w:rsid w:val="00643C2E"/>
    <w:rsid w:val="00644946"/>
    <w:rsid w:val="0064497E"/>
    <w:rsid w:val="006456A9"/>
    <w:rsid w:val="006456E5"/>
    <w:rsid w:val="006456EC"/>
    <w:rsid w:val="00646208"/>
    <w:rsid w:val="00646300"/>
    <w:rsid w:val="0064699B"/>
    <w:rsid w:val="00647439"/>
    <w:rsid w:val="00650D07"/>
    <w:rsid w:val="0065131B"/>
    <w:rsid w:val="00651483"/>
    <w:rsid w:val="0065216C"/>
    <w:rsid w:val="0065313E"/>
    <w:rsid w:val="00653A31"/>
    <w:rsid w:val="00653CA5"/>
    <w:rsid w:val="006550C1"/>
    <w:rsid w:val="00655345"/>
    <w:rsid w:val="006558E8"/>
    <w:rsid w:val="00656B0C"/>
    <w:rsid w:val="00657CDD"/>
    <w:rsid w:val="00657F41"/>
    <w:rsid w:val="00661A21"/>
    <w:rsid w:val="00661EA4"/>
    <w:rsid w:val="00662506"/>
    <w:rsid w:val="00662E3B"/>
    <w:rsid w:val="00662F20"/>
    <w:rsid w:val="00663D8A"/>
    <w:rsid w:val="00663EEF"/>
    <w:rsid w:val="006665F6"/>
    <w:rsid w:val="00666C53"/>
    <w:rsid w:val="00667000"/>
    <w:rsid w:val="00667B40"/>
    <w:rsid w:val="00670289"/>
    <w:rsid w:val="00670772"/>
    <w:rsid w:val="00672077"/>
    <w:rsid w:val="00673C03"/>
    <w:rsid w:val="00673E04"/>
    <w:rsid w:val="006742E4"/>
    <w:rsid w:val="00674B79"/>
    <w:rsid w:val="0067515A"/>
    <w:rsid w:val="0067543B"/>
    <w:rsid w:val="00676533"/>
    <w:rsid w:val="00676732"/>
    <w:rsid w:val="00677532"/>
    <w:rsid w:val="00681315"/>
    <w:rsid w:val="00681F0A"/>
    <w:rsid w:val="006822AF"/>
    <w:rsid w:val="006831B0"/>
    <w:rsid w:val="00683F56"/>
    <w:rsid w:val="00684913"/>
    <w:rsid w:val="00685425"/>
    <w:rsid w:val="00686592"/>
    <w:rsid w:val="00686F4C"/>
    <w:rsid w:val="00687732"/>
    <w:rsid w:val="006878FC"/>
    <w:rsid w:val="00687A29"/>
    <w:rsid w:val="0069040D"/>
    <w:rsid w:val="00691405"/>
    <w:rsid w:val="006916DE"/>
    <w:rsid w:val="00691A26"/>
    <w:rsid w:val="0069237F"/>
    <w:rsid w:val="00692FBD"/>
    <w:rsid w:val="006930A8"/>
    <w:rsid w:val="0069354C"/>
    <w:rsid w:val="006935FD"/>
    <w:rsid w:val="00693D42"/>
    <w:rsid w:val="00695BF7"/>
    <w:rsid w:val="00696376"/>
    <w:rsid w:val="006A06A3"/>
    <w:rsid w:val="006A0FEB"/>
    <w:rsid w:val="006A22A0"/>
    <w:rsid w:val="006A2A8D"/>
    <w:rsid w:val="006A3200"/>
    <w:rsid w:val="006A324C"/>
    <w:rsid w:val="006A4417"/>
    <w:rsid w:val="006A458C"/>
    <w:rsid w:val="006A4F32"/>
    <w:rsid w:val="006A5A35"/>
    <w:rsid w:val="006A5D11"/>
    <w:rsid w:val="006A5FD6"/>
    <w:rsid w:val="006A63B5"/>
    <w:rsid w:val="006A65B8"/>
    <w:rsid w:val="006A7338"/>
    <w:rsid w:val="006A7800"/>
    <w:rsid w:val="006B08D2"/>
    <w:rsid w:val="006B299B"/>
    <w:rsid w:val="006B2F5F"/>
    <w:rsid w:val="006B34B1"/>
    <w:rsid w:val="006B4A25"/>
    <w:rsid w:val="006B5551"/>
    <w:rsid w:val="006B63AC"/>
    <w:rsid w:val="006B78A9"/>
    <w:rsid w:val="006C00FE"/>
    <w:rsid w:val="006C0434"/>
    <w:rsid w:val="006C04CA"/>
    <w:rsid w:val="006C10B9"/>
    <w:rsid w:val="006C1683"/>
    <w:rsid w:val="006C1EAD"/>
    <w:rsid w:val="006C25AA"/>
    <w:rsid w:val="006C5161"/>
    <w:rsid w:val="006C51F9"/>
    <w:rsid w:val="006C587D"/>
    <w:rsid w:val="006C6AA5"/>
    <w:rsid w:val="006D1FDC"/>
    <w:rsid w:val="006D2039"/>
    <w:rsid w:val="006D3AAE"/>
    <w:rsid w:val="006D3D4C"/>
    <w:rsid w:val="006D4603"/>
    <w:rsid w:val="006D5124"/>
    <w:rsid w:val="006D56C4"/>
    <w:rsid w:val="006D6621"/>
    <w:rsid w:val="006E0686"/>
    <w:rsid w:val="006E1427"/>
    <w:rsid w:val="006E19E5"/>
    <w:rsid w:val="006E2134"/>
    <w:rsid w:val="006E2FFC"/>
    <w:rsid w:val="006E3FB1"/>
    <w:rsid w:val="006E5388"/>
    <w:rsid w:val="006E5E2A"/>
    <w:rsid w:val="006E6242"/>
    <w:rsid w:val="006E66FB"/>
    <w:rsid w:val="006F0B3D"/>
    <w:rsid w:val="006F1E78"/>
    <w:rsid w:val="006F1E9B"/>
    <w:rsid w:val="006F2B57"/>
    <w:rsid w:val="006F2C27"/>
    <w:rsid w:val="006F3430"/>
    <w:rsid w:val="006F348D"/>
    <w:rsid w:val="006F36AC"/>
    <w:rsid w:val="006F6474"/>
    <w:rsid w:val="0070052A"/>
    <w:rsid w:val="0070072D"/>
    <w:rsid w:val="00700931"/>
    <w:rsid w:val="00700B47"/>
    <w:rsid w:val="00701CD5"/>
    <w:rsid w:val="007028BF"/>
    <w:rsid w:val="00703558"/>
    <w:rsid w:val="00705597"/>
    <w:rsid w:val="00705E66"/>
    <w:rsid w:val="00706C8B"/>
    <w:rsid w:val="007071F8"/>
    <w:rsid w:val="00710C16"/>
    <w:rsid w:val="00710DC8"/>
    <w:rsid w:val="00710EF0"/>
    <w:rsid w:val="0071145C"/>
    <w:rsid w:val="00711A74"/>
    <w:rsid w:val="00712D39"/>
    <w:rsid w:val="0071311E"/>
    <w:rsid w:val="00713331"/>
    <w:rsid w:val="007150F4"/>
    <w:rsid w:val="00715FC3"/>
    <w:rsid w:val="0071653E"/>
    <w:rsid w:val="007165CF"/>
    <w:rsid w:val="0071692A"/>
    <w:rsid w:val="00716D47"/>
    <w:rsid w:val="00720396"/>
    <w:rsid w:val="00721C91"/>
    <w:rsid w:val="00721CE0"/>
    <w:rsid w:val="007220D2"/>
    <w:rsid w:val="007237E2"/>
    <w:rsid w:val="00724ED7"/>
    <w:rsid w:val="007262EF"/>
    <w:rsid w:val="00726AD1"/>
    <w:rsid w:val="00727632"/>
    <w:rsid w:val="007316C9"/>
    <w:rsid w:val="00731BA9"/>
    <w:rsid w:val="0073205C"/>
    <w:rsid w:val="00732177"/>
    <w:rsid w:val="00733024"/>
    <w:rsid w:val="00733897"/>
    <w:rsid w:val="00734CA4"/>
    <w:rsid w:val="00735724"/>
    <w:rsid w:val="0073641E"/>
    <w:rsid w:val="007370F0"/>
    <w:rsid w:val="007375B5"/>
    <w:rsid w:val="00737C28"/>
    <w:rsid w:val="0074065B"/>
    <w:rsid w:val="00740E4F"/>
    <w:rsid w:val="007413C7"/>
    <w:rsid w:val="00741566"/>
    <w:rsid w:val="00741932"/>
    <w:rsid w:val="0074324C"/>
    <w:rsid w:val="00743C36"/>
    <w:rsid w:val="00744B24"/>
    <w:rsid w:val="00744C03"/>
    <w:rsid w:val="00744EC9"/>
    <w:rsid w:val="00747A74"/>
    <w:rsid w:val="00747B0B"/>
    <w:rsid w:val="00750679"/>
    <w:rsid w:val="00754033"/>
    <w:rsid w:val="0075497C"/>
    <w:rsid w:val="00754C24"/>
    <w:rsid w:val="007551F4"/>
    <w:rsid w:val="007553F0"/>
    <w:rsid w:val="0075618F"/>
    <w:rsid w:val="007569A3"/>
    <w:rsid w:val="00760032"/>
    <w:rsid w:val="007606C0"/>
    <w:rsid w:val="00761E83"/>
    <w:rsid w:val="00762C6E"/>
    <w:rsid w:val="00764718"/>
    <w:rsid w:val="00764DB4"/>
    <w:rsid w:val="0076582F"/>
    <w:rsid w:val="00766AB2"/>
    <w:rsid w:val="00766F17"/>
    <w:rsid w:val="007711EA"/>
    <w:rsid w:val="00771AF5"/>
    <w:rsid w:val="00774706"/>
    <w:rsid w:val="00774AEE"/>
    <w:rsid w:val="007759CD"/>
    <w:rsid w:val="007765CB"/>
    <w:rsid w:val="00776881"/>
    <w:rsid w:val="00777755"/>
    <w:rsid w:val="00777F67"/>
    <w:rsid w:val="00780C99"/>
    <w:rsid w:val="00782836"/>
    <w:rsid w:val="007845A2"/>
    <w:rsid w:val="00784A75"/>
    <w:rsid w:val="00785B93"/>
    <w:rsid w:val="00785BC9"/>
    <w:rsid w:val="00786779"/>
    <w:rsid w:val="00787D7C"/>
    <w:rsid w:val="00790494"/>
    <w:rsid w:val="00791A02"/>
    <w:rsid w:val="00791D54"/>
    <w:rsid w:val="00792420"/>
    <w:rsid w:val="007930DD"/>
    <w:rsid w:val="007937F5"/>
    <w:rsid w:val="007944F7"/>
    <w:rsid w:val="00794F41"/>
    <w:rsid w:val="007956E1"/>
    <w:rsid w:val="00795EFE"/>
    <w:rsid w:val="00796441"/>
    <w:rsid w:val="00797834"/>
    <w:rsid w:val="00797CFA"/>
    <w:rsid w:val="007A0817"/>
    <w:rsid w:val="007A0D82"/>
    <w:rsid w:val="007A1582"/>
    <w:rsid w:val="007A1835"/>
    <w:rsid w:val="007A1CD8"/>
    <w:rsid w:val="007A1D4F"/>
    <w:rsid w:val="007A20BA"/>
    <w:rsid w:val="007A2D54"/>
    <w:rsid w:val="007A2E63"/>
    <w:rsid w:val="007A4002"/>
    <w:rsid w:val="007A50A4"/>
    <w:rsid w:val="007A5DBB"/>
    <w:rsid w:val="007A5EB9"/>
    <w:rsid w:val="007A6DA7"/>
    <w:rsid w:val="007A7BB4"/>
    <w:rsid w:val="007B0B9F"/>
    <w:rsid w:val="007B0BBC"/>
    <w:rsid w:val="007B1C05"/>
    <w:rsid w:val="007B1CEA"/>
    <w:rsid w:val="007B2643"/>
    <w:rsid w:val="007B426D"/>
    <w:rsid w:val="007B6812"/>
    <w:rsid w:val="007B7104"/>
    <w:rsid w:val="007C0310"/>
    <w:rsid w:val="007C148B"/>
    <w:rsid w:val="007C18A3"/>
    <w:rsid w:val="007C2D53"/>
    <w:rsid w:val="007C3FE5"/>
    <w:rsid w:val="007C4CEF"/>
    <w:rsid w:val="007C56DD"/>
    <w:rsid w:val="007C6472"/>
    <w:rsid w:val="007C6650"/>
    <w:rsid w:val="007C7EF7"/>
    <w:rsid w:val="007D0641"/>
    <w:rsid w:val="007D09C8"/>
    <w:rsid w:val="007D0E65"/>
    <w:rsid w:val="007D11C8"/>
    <w:rsid w:val="007D2071"/>
    <w:rsid w:val="007D261D"/>
    <w:rsid w:val="007D28B4"/>
    <w:rsid w:val="007D3413"/>
    <w:rsid w:val="007D4908"/>
    <w:rsid w:val="007D60D4"/>
    <w:rsid w:val="007D64F4"/>
    <w:rsid w:val="007D6E14"/>
    <w:rsid w:val="007D71E0"/>
    <w:rsid w:val="007E0D69"/>
    <w:rsid w:val="007E1EF4"/>
    <w:rsid w:val="007E2CC6"/>
    <w:rsid w:val="007E4E0B"/>
    <w:rsid w:val="007E584B"/>
    <w:rsid w:val="007E5C2A"/>
    <w:rsid w:val="007E5D29"/>
    <w:rsid w:val="007E67C8"/>
    <w:rsid w:val="007E6A14"/>
    <w:rsid w:val="007E6A62"/>
    <w:rsid w:val="007E6B54"/>
    <w:rsid w:val="007E6E80"/>
    <w:rsid w:val="007E72DF"/>
    <w:rsid w:val="007E7B27"/>
    <w:rsid w:val="007F26A8"/>
    <w:rsid w:val="007F30F0"/>
    <w:rsid w:val="007F3C95"/>
    <w:rsid w:val="007F40B8"/>
    <w:rsid w:val="007F420A"/>
    <w:rsid w:val="007F42E0"/>
    <w:rsid w:val="007F4E27"/>
    <w:rsid w:val="007F6ACC"/>
    <w:rsid w:val="007F6B71"/>
    <w:rsid w:val="007F6BAA"/>
    <w:rsid w:val="007F6F1D"/>
    <w:rsid w:val="007F722F"/>
    <w:rsid w:val="007F7699"/>
    <w:rsid w:val="007F7B46"/>
    <w:rsid w:val="0080163B"/>
    <w:rsid w:val="00802C66"/>
    <w:rsid w:val="00803EFD"/>
    <w:rsid w:val="00805663"/>
    <w:rsid w:val="00805A89"/>
    <w:rsid w:val="00806D42"/>
    <w:rsid w:val="00807E67"/>
    <w:rsid w:val="00810737"/>
    <w:rsid w:val="00810D8B"/>
    <w:rsid w:val="00810DB7"/>
    <w:rsid w:val="00811216"/>
    <w:rsid w:val="00811515"/>
    <w:rsid w:val="00811E28"/>
    <w:rsid w:val="00811F2D"/>
    <w:rsid w:val="0081326D"/>
    <w:rsid w:val="0081417E"/>
    <w:rsid w:val="008148C9"/>
    <w:rsid w:val="00814B73"/>
    <w:rsid w:val="008159D8"/>
    <w:rsid w:val="0081684B"/>
    <w:rsid w:val="00820075"/>
    <w:rsid w:val="008200C2"/>
    <w:rsid w:val="00820DB7"/>
    <w:rsid w:val="008214DA"/>
    <w:rsid w:val="00821776"/>
    <w:rsid w:val="00821E3B"/>
    <w:rsid w:val="008220BE"/>
    <w:rsid w:val="008228E0"/>
    <w:rsid w:val="00823EA6"/>
    <w:rsid w:val="00824256"/>
    <w:rsid w:val="008261B0"/>
    <w:rsid w:val="008261FA"/>
    <w:rsid w:val="0082686E"/>
    <w:rsid w:val="00832AC0"/>
    <w:rsid w:val="00832C2C"/>
    <w:rsid w:val="00832FF8"/>
    <w:rsid w:val="00834D4E"/>
    <w:rsid w:val="00835CCB"/>
    <w:rsid w:val="00836D5B"/>
    <w:rsid w:val="00836FFD"/>
    <w:rsid w:val="0083702A"/>
    <w:rsid w:val="008374F5"/>
    <w:rsid w:val="00840772"/>
    <w:rsid w:val="00840972"/>
    <w:rsid w:val="00840C72"/>
    <w:rsid w:val="00840D43"/>
    <w:rsid w:val="00841201"/>
    <w:rsid w:val="00842755"/>
    <w:rsid w:val="00842F58"/>
    <w:rsid w:val="00843975"/>
    <w:rsid w:val="00844F65"/>
    <w:rsid w:val="008458B4"/>
    <w:rsid w:val="00845B9F"/>
    <w:rsid w:val="008467D8"/>
    <w:rsid w:val="00846B4C"/>
    <w:rsid w:val="008475E5"/>
    <w:rsid w:val="00851007"/>
    <w:rsid w:val="00854C06"/>
    <w:rsid w:val="00854D00"/>
    <w:rsid w:val="008557E7"/>
    <w:rsid w:val="00856924"/>
    <w:rsid w:val="00856AC7"/>
    <w:rsid w:val="00856D25"/>
    <w:rsid w:val="00856DC8"/>
    <w:rsid w:val="008575E4"/>
    <w:rsid w:val="00860B3D"/>
    <w:rsid w:val="00860D30"/>
    <w:rsid w:val="008616A3"/>
    <w:rsid w:val="00861C03"/>
    <w:rsid w:val="00862CE9"/>
    <w:rsid w:val="0086341B"/>
    <w:rsid w:val="0086351E"/>
    <w:rsid w:val="00863A65"/>
    <w:rsid w:val="008644CB"/>
    <w:rsid w:val="00864EF9"/>
    <w:rsid w:val="00864FF0"/>
    <w:rsid w:val="008652E5"/>
    <w:rsid w:val="00865D38"/>
    <w:rsid w:val="008675CD"/>
    <w:rsid w:val="008676F4"/>
    <w:rsid w:val="00870CDD"/>
    <w:rsid w:val="00870DDA"/>
    <w:rsid w:val="00871FC6"/>
    <w:rsid w:val="0087235D"/>
    <w:rsid w:val="00873A8B"/>
    <w:rsid w:val="00873E9B"/>
    <w:rsid w:val="0087423D"/>
    <w:rsid w:val="00874669"/>
    <w:rsid w:val="00875D73"/>
    <w:rsid w:val="00876D25"/>
    <w:rsid w:val="00876E7D"/>
    <w:rsid w:val="0087761D"/>
    <w:rsid w:val="00877C5D"/>
    <w:rsid w:val="00877CF4"/>
    <w:rsid w:val="00877E36"/>
    <w:rsid w:val="00880A55"/>
    <w:rsid w:val="00880CFB"/>
    <w:rsid w:val="00880DDE"/>
    <w:rsid w:val="00881C91"/>
    <w:rsid w:val="00884915"/>
    <w:rsid w:val="00884B77"/>
    <w:rsid w:val="00884EB0"/>
    <w:rsid w:val="00886A66"/>
    <w:rsid w:val="00886C87"/>
    <w:rsid w:val="00886E0E"/>
    <w:rsid w:val="00890FF0"/>
    <w:rsid w:val="00892DC2"/>
    <w:rsid w:val="00893B7C"/>
    <w:rsid w:val="0089462E"/>
    <w:rsid w:val="00895355"/>
    <w:rsid w:val="00895404"/>
    <w:rsid w:val="0089622D"/>
    <w:rsid w:val="00897B43"/>
    <w:rsid w:val="00897D81"/>
    <w:rsid w:val="008A10E5"/>
    <w:rsid w:val="008A16EF"/>
    <w:rsid w:val="008A1F11"/>
    <w:rsid w:val="008A1F37"/>
    <w:rsid w:val="008A1F7D"/>
    <w:rsid w:val="008A330F"/>
    <w:rsid w:val="008A3D02"/>
    <w:rsid w:val="008A44FC"/>
    <w:rsid w:val="008A5683"/>
    <w:rsid w:val="008A59A6"/>
    <w:rsid w:val="008A67C2"/>
    <w:rsid w:val="008A6BDB"/>
    <w:rsid w:val="008A77BC"/>
    <w:rsid w:val="008B0436"/>
    <w:rsid w:val="008B1975"/>
    <w:rsid w:val="008B214B"/>
    <w:rsid w:val="008B5DEE"/>
    <w:rsid w:val="008B64E1"/>
    <w:rsid w:val="008B7210"/>
    <w:rsid w:val="008C088B"/>
    <w:rsid w:val="008C0BD6"/>
    <w:rsid w:val="008C0E55"/>
    <w:rsid w:val="008C1332"/>
    <w:rsid w:val="008C1B14"/>
    <w:rsid w:val="008C235A"/>
    <w:rsid w:val="008C296F"/>
    <w:rsid w:val="008C4C60"/>
    <w:rsid w:val="008C59EE"/>
    <w:rsid w:val="008C5B79"/>
    <w:rsid w:val="008C712F"/>
    <w:rsid w:val="008D00ED"/>
    <w:rsid w:val="008D0251"/>
    <w:rsid w:val="008D1332"/>
    <w:rsid w:val="008D1CE6"/>
    <w:rsid w:val="008D37EF"/>
    <w:rsid w:val="008D3BE9"/>
    <w:rsid w:val="008D45EC"/>
    <w:rsid w:val="008D4879"/>
    <w:rsid w:val="008D52C0"/>
    <w:rsid w:val="008D69F2"/>
    <w:rsid w:val="008D799B"/>
    <w:rsid w:val="008E01CE"/>
    <w:rsid w:val="008E1A46"/>
    <w:rsid w:val="008E299D"/>
    <w:rsid w:val="008E2F65"/>
    <w:rsid w:val="008E427E"/>
    <w:rsid w:val="008E47BC"/>
    <w:rsid w:val="008E50E4"/>
    <w:rsid w:val="008E6C07"/>
    <w:rsid w:val="008E6FF1"/>
    <w:rsid w:val="008E79F2"/>
    <w:rsid w:val="008E7B24"/>
    <w:rsid w:val="008E7BE0"/>
    <w:rsid w:val="008F065D"/>
    <w:rsid w:val="008F0D2E"/>
    <w:rsid w:val="008F13BD"/>
    <w:rsid w:val="008F2945"/>
    <w:rsid w:val="008F3102"/>
    <w:rsid w:val="008F4D00"/>
    <w:rsid w:val="008F7697"/>
    <w:rsid w:val="009005C4"/>
    <w:rsid w:val="009011CA"/>
    <w:rsid w:val="00902781"/>
    <w:rsid w:val="0090341B"/>
    <w:rsid w:val="009056FD"/>
    <w:rsid w:val="0090610C"/>
    <w:rsid w:val="00906B31"/>
    <w:rsid w:val="00911797"/>
    <w:rsid w:val="00911BF4"/>
    <w:rsid w:val="00912DB3"/>
    <w:rsid w:val="00912F20"/>
    <w:rsid w:val="0091374F"/>
    <w:rsid w:val="009155E2"/>
    <w:rsid w:val="0091579A"/>
    <w:rsid w:val="009166B9"/>
    <w:rsid w:val="009169E4"/>
    <w:rsid w:val="009174A5"/>
    <w:rsid w:val="009179D6"/>
    <w:rsid w:val="00920936"/>
    <w:rsid w:val="009209C0"/>
    <w:rsid w:val="009211C1"/>
    <w:rsid w:val="00922486"/>
    <w:rsid w:val="0092500A"/>
    <w:rsid w:val="00925A05"/>
    <w:rsid w:val="00925CB0"/>
    <w:rsid w:val="009300BA"/>
    <w:rsid w:val="009302E9"/>
    <w:rsid w:val="00930792"/>
    <w:rsid w:val="00931110"/>
    <w:rsid w:val="00932645"/>
    <w:rsid w:val="00932EEA"/>
    <w:rsid w:val="009330F1"/>
    <w:rsid w:val="00933107"/>
    <w:rsid w:val="0093317D"/>
    <w:rsid w:val="009334F7"/>
    <w:rsid w:val="00933A03"/>
    <w:rsid w:val="00935E43"/>
    <w:rsid w:val="00936933"/>
    <w:rsid w:val="009369B7"/>
    <w:rsid w:val="00937C54"/>
    <w:rsid w:val="009403C5"/>
    <w:rsid w:val="009405CB"/>
    <w:rsid w:val="009408EC"/>
    <w:rsid w:val="00941553"/>
    <w:rsid w:val="0094278B"/>
    <w:rsid w:val="00943A5C"/>
    <w:rsid w:val="009440CC"/>
    <w:rsid w:val="0094416C"/>
    <w:rsid w:val="0094433F"/>
    <w:rsid w:val="009444DC"/>
    <w:rsid w:val="009444FA"/>
    <w:rsid w:val="00945185"/>
    <w:rsid w:val="0094543F"/>
    <w:rsid w:val="0094554D"/>
    <w:rsid w:val="00945ECF"/>
    <w:rsid w:val="009460B1"/>
    <w:rsid w:val="00946900"/>
    <w:rsid w:val="00946B65"/>
    <w:rsid w:val="00951249"/>
    <w:rsid w:val="00951542"/>
    <w:rsid w:val="00951922"/>
    <w:rsid w:val="009525D9"/>
    <w:rsid w:val="00952A75"/>
    <w:rsid w:val="00953625"/>
    <w:rsid w:val="00953D51"/>
    <w:rsid w:val="00953E64"/>
    <w:rsid w:val="00954B91"/>
    <w:rsid w:val="00955478"/>
    <w:rsid w:val="00955D55"/>
    <w:rsid w:val="009564BC"/>
    <w:rsid w:val="0095693C"/>
    <w:rsid w:val="00957A7B"/>
    <w:rsid w:val="00960137"/>
    <w:rsid w:val="009611DA"/>
    <w:rsid w:val="00961327"/>
    <w:rsid w:val="00961BBC"/>
    <w:rsid w:val="00962464"/>
    <w:rsid w:val="009626FF"/>
    <w:rsid w:val="009628D4"/>
    <w:rsid w:val="00962D91"/>
    <w:rsid w:val="00963DD1"/>
    <w:rsid w:val="00963F00"/>
    <w:rsid w:val="00963F25"/>
    <w:rsid w:val="00970C21"/>
    <w:rsid w:val="00971E6C"/>
    <w:rsid w:val="009731AD"/>
    <w:rsid w:val="00973677"/>
    <w:rsid w:val="009737E4"/>
    <w:rsid w:val="00973CA2"/>
    <w:rsid w:val="0097579B"/>
    <w:rsid w:val="0097594D"/>
    <w:rsid w:val="0097706D"/>
    <w:rsid w:val="00977F29"/>
    <w:rsid w:val="009806AB"/>
    <w:rsid w:val="00980A58"/>
    <w:rsid w:val="009813AF"/>
    <w:rsid w:val="00981F05"/>
    <w:rsid w:val="0098393D"/>
    <w:rsid w:val="00983C18"/>
    <w:rsid w:val="00983CBB"/>
    <w:rsid w:val="00983FC5"/>
    <w:rsid w:val="0098518C"/>
    <w:rsid w:val="00985827"/>
    <w:rsid w:val="00985E4B"/>
    <w:rsid w:val="00987B94"/>
    <w:rsid w:val="00987C92"/>
    <w:rsid w:val="00991CE3"/>
    <w:rsid w:val="0099253A"/>
    <w:rsid w:val="00992C43"/>
    <w:rsid w:val="00995340"/>
    <w:rsid w:val="0099622A"/>
    <w:rsid w:val="00997E5A"/>
    <w:rsid w:val="009A0768"/>
    <w:rsid w:val="009A12E3"/>
    <w:rsid w:val="009A2E60"/>
    <w:rsid w:val="009A349B"/>
    <w:rsid w:val="009A3CD4"/>
    <w:rsid w:val="009A401F"/>
    <w:rsid w:val="009A447F"/>
    <w:rsid w:val="009A4743"/>
    <w:rsid w:val="009A4873"/>
    <w:rsid w:val="009A48D5"/>
    <w:rsid w:val="009A637D"/>
    <w:rsid w:val="009A748E"/>
    <w:rsid w:val="009A7533"/>
    <w:rsid w:val="009B0F7B"/>
    <w:rsid w:val="009B2F0F"/>
    <w:rsid w:val="009B34FE"/>
    <w:rsid w:val="009B3758"/>
    <w:rsid w:val="009B3D5E"/>
    <w:rsid w:val="009B4D2E"/>
    <w:rsid w:val="009B5231"/>
    <w:rsid w:val="009B528F"/>
    <w:rsid w:val="009B5517"/>
    <w:rsid w:val="009B55A7"/>
    <w:rsid w:val="009B5FCC"/>
    <w:rsid w:val="009B60FD"/>
    <w:rsid w:val="009B6B2C"/>
    <w:rsid w:val="009B6EF6"/>
    <w:rsid w:val="009C06E4"/>
    <w:rsid w:val="009C0F27"/>
    <w:rsid w:val="009C103B"/>
    <w:rsid w:val="009C1214"/>
    <w:rsid w:val="009C1491"/>
    <w:rsid w:val="009C1774"/>
    <w:rsid w:val="009C1B5E"/>
    <w:rsid w:val="009C215E"/>
    <w:rsid w:val="009C31E4"/>
    <w:rsid w:val="009C4472"/>
    <w:rsid w:val="009C5F9A"/>
    <w:rsid w:val="009C7069"/>
    <w:rsid w:val="009C7B61"/>
    <w:rsid w:val="009D0DFA"/>
    <w:rsid w:val="009D0F40"/>
    <w:rsid w:val="009D145C"/>
    <w:rsid w:val="009D1B52"/>
    <w:rsid w:val="009D21DD"/>
    <w:rsid w:val="009D3FD6"/>
    <w:rsid w:val="009D446A"/>
    <w:rsid w:val="009D47C2"/>
    <w:rsid w:val="009D4857"/>
    <w:rsid w:val="009D4B05"/>
    <w:rsid w:val="009D56B1"/>
    <w:rsid w:val="009D7181"/>
    <w:rsid w:val="009D7852"/>
    <w:rsid w:val="009D7BEF"/>
    <w:rsid w:val="009E0609"/>
    <w:rsid w:val="009E0A42"/>
    <w:rsid w:val="009E4568"/>
    <w:rsid w:val="009E47FE"/>
    <w:rsid w:val="009E548A"/>
    <w:rsid w:val="009E7313"/>
    <w:rsid w:val="009F0087"/>
    <w:rsid w:val="009F1177"/>
    <w:rsid w:val="009F4081"/>
    <w:rsid w:val="009F4D14"/>
    <w:rsid w:val="009F5D50"/>
    <w:rsid w:val="009F5F7C"/>
    <w:rsid w:val="009F61F4"/>
    <w:rsid w:val="009F6F1C"/>
    <w:rsid w:val="009F7125"/>
    <w:rsid w:val="009F7A21"/>
    <w:rsid w:val="009F7CB1"/>
    <w:rsid w:val="009F7CE7"/>
    <w:rsid w:val="00A02A91"/>
    <w:rsid w:val="00A035BE"/>
    <w:rsid w:val="00A03B7E"/>
    <w:rsid w:val="00A05417"/>
    <w:rsid w:val="00A05B41"/>
    <w:rsid w:val="00A05F77"/>
    <w:rsid w:val="00A06B27"/>
    <w:rsid w:val="00A07B0A"/>
    <w:rsid w:val="00A10D86"/>
    <w:rsid w:val="00A10FD7"/>
    <w:rsid w:val="00A11E3D"/>
    <w:rsid w:val="00A12187"/>
    <w:rsid w:val="00A15018"/>
    <w:rsid w:val="00A150B1"/>
    <w:rsid w:val="00A1574A"/>
    <w:rsid w:val="00A15A2E"/>
    <w:rsid w:val="00A17E2B"/>
    <w:rsid w:val="00A20811"/>
    <w:rsid w:val="00A2083E"/>
    <w:rsid w:val="00A20FD3"/>
    <w:rsid w:val="00A210E9"/>
    <w:rsid w:val="00A22344"/>
    <w:rsid w:val="00A236CC"/>
    <w:rsid w:val="00A26490"/>
    <w:rsid w:val="00A2654B"/>
    <w:rsid w:val="00A266EB"/>
    <w:rsid w:val="00A27105"/>
    <w:rsid w:val="00A3138D"/>
    <w:rsid w:val="00A31762"/>
    <w:rsid w:val="00A31C38"/>
    <w:rsid w:val="00A32302"/>
    <w:rsid w:val="00A338BB"/>
    <w:rsid w:val="00A365AD"/>
    <w:rsid w:val="00A36BA6"/>
    <w:rsid w:val="00A37754"/>
    <w:rsid w:val="00A40596"/>
    <w:rsid w:val="00A40EE9"/>
    <w:rsid w:val="00A41951"/>
    <w:rsid w:val="00A448A7"/>
    <w:rsid w:val="00A45CD3"/>
    <w:rsid w:val="00A471C2"/>
    <w:rsid w:val="00A478E7"/>
    <w:rsid w:val="00A479C1"/>
    <w:rsid w:val="00A5108E"/>
    <w:rsid w:val="00A51B46"/>
    <w:rsid w:val="00A51B66"/>
    <w:rsid w:val="00A54682"/>
    <w:rsid w:val="00A548C2"/>
    <w:rsid w:val="00A56582"/>
    <w:rsid w:val="00A56CD2"/>
    <w:rsid w:val="00A575DA"/>
    <w:rsid w:val="00A602D5"/>
    <w:rsid w:val="00A61CD0"/>
    <w:rsid w:val="00A645C1"/>
    <w:rsid w:val="00A64681"/>
    <w:rsid w:val="00A649C9"/>
    <w:rsid w:val="00A6576C"/>
    <w:rsid w:val="00A66A54"/>
    <w:rsid w:val="00A67CA5"/>
    <w:rsid w:val="00A67F42"/>
    <w:rsid w:val="00A707D2"/>
    <w:rsid w:val="00A70C38"/>
    <w:rsid w:val="00A718BD"/>
    <w:rsid w:val="00A73BD4"/>
    <w:rsid w:val="00A74048"/>
    <w:rsid w:val="00A74332"/>
    <w:rsid w:val="00A74688"/>
    <w:rsid w:val="00A750AF"/>
    <w:rsid w:val="00A7515C"/>
    <w:rsid w:val="00A754C1"/>
    <w:rsid w:val="00A764EA"/>
    <w:rsid w:val="00A76538"/>
    <w:rsid w:val="00A80F16"/>
    <w:rsid w:val="00A817F1"/>
    <w:rsid w:val="00A818E5"/>
    <w:rsid w:val="00A847DC"/>
    <w:rsid w:val="00A85BB3"/>
    <w:rsid w:val="00A86AC9"/>
    <w:rsid w:val="00A871D0"/>
    <w:rsid w:val="00A87323"/>
    <w:rsid w:val="00A8735D"/>
    <w:rsid w:val="00A87508"/>
    <w:rsid w:val="00A87F8F"/>
    <w:rsid w:val="00A903BB"/>
    <w:rsid w:val="00A91003"/>
    <w:rsid w:val="00A92F14"/>
    <w:rsid w:val="00A93418"/>
    <w:rsid w:val="00A937EF"/>
    <w:rsid w:val="00A93DC8"/>
    <w:rsid w:val="00A94DF5"/>
    <w:rsid w:val="00A97253"/>
    <w:rsid w:val="00AA00A7"/>
    <w:rsid w:val="00AA06E4"/>
    <w:rsid w:val="00AA2DB2"/>
    <w:rsid w:val="00AA367C"/>
    <w:rsid w:val="00AA4B94"/>
    <w:rsid w:val="00AA538D"/>
    <w:rsid w:val="00AA5968"/>
    <w:rsid w:val="00AA67AD"/>
    <w:rsid w:val="00AA6CB0"/>
    <w:rsid w:val="00AB0296"/>
    <w:rsid w:val="00AB0500"/>
    <w:rsid w:val="00AB0D05"/>
    <w:rsid w:val="00AB1871"/>
    <w:rsid w:val="00AB21C9"/>
    <w:rsid w:val="00AB3CAA"/>
    <w:rsid w:val="00AB49BD"/>
    <w:rsid w:val="00AB5A34"/>
    <w:rsid w:val="00AB5D57"/>
    <w:rsid w:val="00AC0258"/>
    <w:rsid w:val="00AC0695"/>
    <w:rsid w:val="00AC086A"/>
    <w:rsid w:val="00AC1C9A"/>
    <w:rsid w:val="00AC27CA"/>
    <w:rsid w:val="00AC2E32"/>
    <w:rsid w:val="00AC39E4"/>
    <w:rsid w:val="00AC3B07"/>
    <w:rsid w:val="00AC4419"/>
    <w:rsid w:val="00AC4901"/>
    <w:rsid w:val="00AC5F57"/>
    <w:rsid w:val="00AC6CAD"/>
    <w:rsid w:val="00AC7040"/>
    <w:rsid w:val="00AC78B6"/>
    <w:rsid w:val="00AC7988"/>
    <w:rsid w:val="00AD3830"/>
    <w:rsid w:val="00AD3859"/>
    <w:rsid w:val="00AD398A"/>
    <w:rsid w:val="00AD3F9D"/>
    <w:rsid w:val="00AD4280"/>
    <w:rsid w:val="00AD503E"/>
    <w:rsid w:val="00AD569C"/>
    <w:rsid w:val="00AD58F3"/>
    <w:rsid w:val="00AD67D6"/>
    <w:rsid w:val="00AD6EAD"/>
    <w:rsid w:val="00AD6ECF"/>
    <w:rsid w:val="00AD7B02"/>
    <w:rsid w:val="00AE14BF"/>
    <w:rsid w:val="00AE1E92"/>
    <w:rsid w:val="00AE2EA8"/>
    <w:rsid w:val="00AE337B"/>
    <w:rsid w:val="00AE35CF"/>
    <w:rsid w:val="00AE3ED1"/>
    <w:rsid w:val="00AE41E8"/>
    <w:rsid w:val="00AE469D"/>
    <w:rsid w:val="00AE56CC"/>
    <w:rsid w:val="00AE64A4"/>
    <w:rsid w:val="00AF0A75"/>
    <w:rsid w:val="00AF0E0E"/>
    <w:rsid w:val="00AF1D52"/>
    <w:rsid w:val="00AF25B9"/>
    <w:rsid w:val="00AF2AB5"/>
    <w:rsid w:val="00AF3367"/>
    <w:rsid w:val="00AF3601"/>
    <w:rsid w:val="00AF471A"/>
    <w:rsid w:val="00AF50D0"/>
    <w:rsid w:val="00AF57ED"/>
    <w:rsid w:val="00AF599F"/>
    <w:rsid w:val="00AF5F67"/>
    <w:rsid w:val="00AF5FCA"/>
    <w:rsid w:val="00AF6041"/>
    <w:rsid w:val="00AF6D38"/>
    <w:rsid w:val="00B00488"/>
    <w:rsid w:val="00B00ED5"/>
    <w:rsid w:val="00B01A23"/>
    <w:rsid w:val="00B02132"/>
    <w:rsid w:val="00B0239C"/>
    <w:rsid w:val="00B02957"/>
    <w:rsid w:val="00B0373F"/>
    <w:rsid w:val="00B039AB"/>
    <w:rsid w:val="00B03BA8"/>
    <w:rsid w:val="00B04474"/>
    <w:rsid w:val="00B04847"/>
    <w:rsid w:val="00B04BC8"/>
    <w:rsid w:val="00B04C84"/>
    <w:rsid w:val="00B04CCF"/>
    <w:rsid w:val="00B04FFE"/>
    <w:rsid w:val="00B06E87"/>
    <w:rsid w:val="00B075D4"/>
    <w:rsid w:val="00B07844"/>
    <w:rsid w:val="00B07D07"/>
    <w:rsid w:val="00B108F9"/>
    <w:rsid w:val="00B118BB"/>
    <w:rsid w:val="00B11A1F"/>
    <w:rsid w:val="00B124B1"/>
    <w:rsid w:val="00B125EF"/>
    <w:rsid w:val="00B12700"/>
    <w:rsid w:val="00B13C57"/>
    <w:rsid w:val="00B14BDC"/>
    <w:rsid w:val="00B1673E"/>
    <w:rsid w:val="00B16DDD"/>
    <w:rsid w:val="00B171C3"/>
    <w:rsid w:val="00B172EC"/>
    <w:rsid w:val="00B17FD3"/>
    <w:rsid w:val="00B21168"/>
    <w:rsid w:val="00B213CA"/>
    <w:rsid w:val="00B2239E"/>
    <w:rsid w:val="00B22626"/>
    <w:rsid w:val="00B241FC"/>
    <w:rsid w:val="00B258FF"/>
    <w:rsid w:val="00B25D9E"/>
    <w:rsid w:val="00B260E7"/>
    <w:rsid w:val="00B26457"/>
    <w:rsid w:val="00B265A6"/>
    <w:rsid w:val="00B26677"/>
    <w:rsid w:val="00B26902"/>
    <w:rsid w:val="00B26D13"/>
    <w:rsid w:val="00B26E08"/>
    <w:rsid w:val="00B2729C"/>
    <w:rsid w:val="00B2731C"/>
    <w:rsid w:val="00B27448"/>
    <w:rsid w:val="00B27BC3"/>
    <w:rsid w:val="00B27E82"/>
    <w:rsid w:val="00B301E9"/>
    <w:rsid w:val="00B30294"/>
    <w:rsid w:val="00B30B71"/>
    <w:rsid w:val="00B30CA7"/>
    <w:rsid w:val="00B31068"/>
    <w:rsid w:val="00B31988"/>
    <w:rsid w:val="00B31E8A"/>
    <w:rsid w:val="00B3329D"/>
    <w:rsid w:val="00B332F1"/>
    <w:rsid w:val="00B3379E"/>
    <w:rsid w:val="00B365C4"/>
    <w:rsid w:val="00B36A3D"/>
    <w:rsid w:val="00B36B2F"/>
    <w:rsid w:val="00B415E9"/>
    <w:rsid w:val="00B42B00"/>
    <w:rsid w:val="00B431D5"/>
    <w:rsid w:val="00B4337A"/>
    <w:rsid w:val="00B436FC"/>
    <w:rsid w:val="00B447A6"/>
    <w:rsid w:val="00B44801"/>
    <w:rsid w:val="00B44A91"/>
    <w:rsid w:val="00B45461"/>
    <w:rsid w:val="00B456CF"/>
    <w:rsid w:val="00B459EB"/>
    <w:rsid w:val="00B47070"/>
    <w:rsid w:val="00B474EE"/>
    <w:rsid w:val="00B500C7"/>
    <w:rsid w:val="00B50838"/>
    <w:rsid w:val="00B5096B"/>
    <w:rsid w:val="00B5173C"/>
    <w:rsid w:val="00B5191D"/>
    <w:rsid w:val="00B52C3B"/>
    <w:rsid w:val="00B52C45"/>
    <w:rsid w:val="00B5358A"/>
    <w:rsid w:val="00B53601"/>
    <w:rsid w:val="00B54439"/>
    <w:rsid w:val="00B54800"/>
    <w:rsid w:val="00B55E05"/>
    <w:rsid w:val="00B55F13"/>
    <w:rsid w:val="00B56856"/>
    <w:rsid w:val="00B577AA"/>
    <w:rsid w:val="00B57816"/>
    <w:rsid w:val="00B579FE"/>
    <w:rsid w:val="00B57CA6"/>
    <w:rsid w:val="00B600ED"/>
    <w:rsid w:val="00B60168"/>
    <w:rsid w:val="00B616E6"/>
    <w:rsid w:val="00B631A0"/>
    <w:rsid w:val="00B643CE"/>
    <w:rsid w:val="00B65246"/>
    <w:rsid w:val="00B66741"/>
    <w:rsid w:val="00B66A0F"/>
    <w:rsid w:val="00B6717A"/>
    <w:rsid w:val="00B672F3"/>
    <w:rsid w:val="00B67727"/>
    <w:rsid w:val="00B679CC"/>
    <w:rsid w:val="00B67C86"/>
    <w:rsid w:val="00B70BF8"/>
    <w:rsid w:val="00B7111E"/>
    <w:rsid w:val="00B71E54"/>
    <w:rsid w:val="00B7281A"/>
    <w:rsid w:val="00B72DF4"/>
    <w:rsid w:val="00B73101"/>
    <w:rsid w:val="00B7342C"/>
    <w:rsid w:val="00B740F7"/>
    <w:rsid w:val="00B7476C"/>
    <w:rsid w:val="00B74D30"/>
    <w:rsid w:val="00B74D5E"/>
    <w:rsid w:val="00B7512B"/>
    <w:rsid w:val="00B76333"/>
    <w:rsid w:val="00B768B0"/>
    <w:rsid w:val="00B7729C"/>
    <w:rsid w:val="00B77C32"/>
    <w:rsid w:val="00B77F75"/>
    <w:rsid w:val="00B80585"/>
    <w:rsid w:val="00B80F7D"/>
    <w:rsid w:val="00B839B5"/>
    <w:rsid w:val="00B8488F"/>
    <w:rsid w:val="00B85D78"/>
    <w:rsid w:val="00B867E7"/>
    <w:rsid w:val="00B87D75"/>
    <w:rsid w:val="00B91BB3"/>
    <w:rsid w:val="00B931C7"/>
    <w:rsid w:val="00B93821"/>
    <w:rsid w:val="00B94221"/>
    <w:rsid w:val="00B94FB6"/>
    <w:rsid w:val="00B95C49"/>
    <w:rsid w:val="00B97809"/>
    <w:rsid w:val="00BA00B6"/>
    <w:rsid w:val="00BA0D54"/>
    <w:rsid w:val="00BA0ECF"/>
    <w:rsid w:val="00BA1641"/>
    <w:rsid w:val="00BA2F46"/>
    <w:rsid w:val="00BA4441"/>
    <w:rsid w:val="00BA5EAD"/>
    <w:rsid w:val="00BA684B"/>
    <w:rsid w:val="00BA7B27"/>
    <w:rsid w:val="00BB0100"/>
    <w:rsid w:val="00BB0CC8"/>
    <w:rsid w:val="00BB0DCD"/>
    <w:rsid w:val="00BB176D"/>
    <w:rsid w:val="00BB1F00"/>
    <w:rsid w:val="00BB257A"/>
    <w:rsid w:val="00BB261F"/>
    <w:rsid w:val="00BB29A9"/>
    <w:rsid w:val="00BB3B74"/>
    <w:rsid w:val="00BB3BA4"/>
    <w:rsid w:val="00BB5089"/>
    <w:rsid w:val="00BB55A2"/>
    <w:rsid w:val="00BB57CA"/>
    <w:rsid w:val="00BB5964"/>
    <w:rsid w:val="00BB5D5F"/>
    <w:rsid w:val="00BB648F"/>
    <w:rsid w:val="00BB6FB7"/>
    <w:rsid w:val="00BB7993"/>
    <w:rsid w:val="00BB7EAB"/>
    <w:rsid w:val="00BC0466"/>
    <w:rsid w:val="00BC1698"/>
    <w:rsid w:val="00BC3271"/>
    <w:rsid w:val="00BC3EF4"/>
    <w:rsid w:val="00BC4830"/>
    <w:rsid w:val="00BC573F"/>
    <w:rsid w:val="00BD07BF"/>
    <w:rsid w:val="00BD1955"/>
    <w:rsid w:val="00BD2244"/>
    <w:rsid w:val="00BD2815"/>
    <w:rsid w:val="00BD2CF1"/>
    <w:rsid w:val="00BD403E"/>
    <w:rsid w:val="00BD4AC0"/>
    <w:rsid w:val="00BD4EAE"/>
    <w:rsid w:val="00BD53CE"/>
    <w:rsid w:val="00BD5AFF"/>
    <w:rsid w:val="00BD634C"/>
    <w:rsid w:val="00BD6BB5"/>
    <w:rsid w:val="00BE0748"/>
    <w:rsid w:val="00BE096B"/>
    <w:rsid w:val="00BE0DD2"/>
    <w:rsid w:val="00BE0FB7"/>
    <w:rsid w:val="00BE3098"/>
    <w:rsid w:val="00BE3579"/>
    <w:rsid w:val="00BE7A74"/>
    <w:rsid w:val="00BE7B3F"/>
    <w:rsid w:val="00BF04FF"/>
    <w:rsid w:val="00BF145B"/>
    <w:rsid w:val="00BF18EB"/>
    <w:rsid w:val="00BF2565"/>
    <w:rsid w:val="00BF2A15"/>
    <w:rsid w:val="00BF6192"/>
    <w:rsid w:val="00BF66BB"/>
    <w:rsid w:val="00BF6AF1"/>
    <w:rsid w:val="00BF7580"/>
    <w:rsid w:val="00BF75A8"/>
    <w:rsid w:val="00C0007C"/>
    <w:rsid w:val="00C010F9"/>
    <w:rsid w:val="00C016A0"/>
    <w:rsid w:val="00C01EB4"/>
    <w:rsid w:val="00C020EB"/>
    <w:rsid w:val="00C02E6B"/>
    <w:rsid w:val="00C02E88"/>
    <w:rsid w:val="00C03144"/>
    <w:rsid w:val="00C03B4F"/>
    <w:rsid w:val="00C04B4C"/>
    <w:rsid w:val="00C052A6"/>
    <w:rsid w:val="00C0602D"/>
    <w:rsid w:val="00C06340"/>
    <w:rsid w:val="00C07154"/>
    <w:rsid w:val="00C07849"/>
    <w:rsid w:val="00C10A21"/>
    <w:rsid w:val="00C10B3E"/>
    <w:rsid w:val="00C116AD"/>
    <w:rsid w:val="00C11992"/>
    <w:rsid w:val="00C12B82"/>
    <w:rsid w:val="00C12CAF"/>
    <w:rsid w:val="00C12EEB"/>
    <w:rsid w:val="00C13560"/>
    <w:rsid w:val="00C13776"/>
    <w:rsid w:val="00C14163"/>
    <w:rsid w:val="00C14F69"/>
    <w:rsid w:val="00C15F65"/>
    <w:rsid w:val="00C1606D"/>
    <w:rsid w:val="00C2194E"/>
    <w:rsid w:val="00C21C83"/>
    <w:rsid w:val="00C21EA0"/>
    <w:rsid w:val="00C221B9"/>
    <w:rsid w:val="00C228A1"/>
    <w:rsid w:val="00C22D09"/>
    <w:rsid w:val="00C233DE"/>
    <w:rsid w:val="00C24C05"/>
    <w:rsid w:val="00C25050"/>
    <w:rsid w:val="00C25605"/>
    <w:rsid w:val="00C32C64"/>
    <w:rsid w:val="00C32D6E"/>
    <w:rsid w:val="00C33230"/>
    <w:rsid w:val="00C34502"/>
    <w:rsid w:val="00C35CB6"/>
    <w:rsid w:val="00C35ECD"/>
    <w:rsid w:val="00C3737C"/>
    <w:rsid w:val="00C3769D"/>
    <w:rsid w:val="00C37F35"/>
    <w:rsid w:val="00C4082F"/>
    <w:rsid w:val="00C424C4"/>
    <w:rsid w:val="00C43C0C"/>
    <w:rsid w:val="00C43F1B"/>
    <w:rsid w:val="00C46319"/>
    <w:rsid w:val="00C46F19"/>
    <w:rsid w:val="00C46FC4"/>
    <w:rsid w:val="00C47254"/>
    <w:rsid w:val="00C47C8B"/>
    <w:rsid w:val="00C502EF"/>
    <w:rsid w:val="00C504F8"/>
    <w:rsid w:val="00C5108A"/>
    <w:rsid w:val="00C516B4"/>
    <w:rsid w:val="00C516D8"/>
    <w:rsid w:val="00C52490"/>
    <w:rsid w:val="00C52C08"/>
    <w:rsid w:val="00C5499C"/>
    <w:rsid w:val="00C556F4"/>
    <w:rsid w:val="00C5605B"/>
    <w:rsid w:val="00C578E7"/>
    <w:rsid w:val="00C57D4B"/>
    <w:rsid w:val="00C57F46"/>
    <w:rsid w:val="00C6464A"/>
    <w:rsid w:val="00C6478F"/>
    <w:rsid w:val="00C657B6"/>
    <w:rsid w:val="00C6599F"/>
    <w:rsid w:val="00C70AD7"/>
    <w:rsid w:val="00C725A9"/>
    <w:rsid w:val="00C7576C"/>
    <w:rsid w:val="00C8190C"/>
    <w:rsid w:val="00C827FC"/>
    <w:rsid w:val="00C8300F"/>
    <w:rsid w:val="00C85395"/>
    <w:rsid w:val="00C85893"/>
    <w:rsid w:val="00C85E54"/>
    <w:rsid w:val="00C86023"/>
    <w:rsid w:val="00C86029"/>
    <w:rsid w:val="00C8621F"/>
    <w:rsid w:val="00C86E43"/>
    <w:rsid w:val="00C90BA9"/>
    <w:rsid w:val="00C911D6"/>
    <w:rsid w:val="00C9270C"/>
    <w:rsid w:val="00C93BF0"/>
    <w:rsid w:val="00C93E6D"/>
    <w:rsid w:val="00C94F17"/>
    <w:rsid w:val="00C97AB3"/>
    <w:rsid w:val="00C97BC1"/>
    <w:rsid w:val="00CA0163"/>
    <w:rsid w:val="00CA0345"/>
    <w:rsid w:val="00CA0702"/>
    <w:rsid w:val="00CA0815"/>
    <w:rsid w:val="00CA0AEA"/>
    <w:rsid w:val="00CA1BFC"/>
    <w:rsid w:val="00CA234E"/>
    <w:rsid w:val="00CA3D06"/>
    <w:rsid w:val="00CA4360"/>
    <w:rsid w:val="00CA528E"/>
    <w:rsid w:val="00CA60FB"/>
    <w:rsid w:val="00CA657C"/>
    <w:rsid w:val="00CA6DED"/>
    <w:rsid w:val="00CA6E42"/>
    <w:rsid w:val="00CA7C4A"/>
    <w:rsid w:val="00CA7ECB"/>
    <w:rsid w:val="00CB0FD8"/>
    <w:rsid w:val="00CB344A"/>
    <w:rsid w:val="00CB3977"/>
    <w:rsid w:val="00CB5154"/>
    <w:rsid w:val="00CB74DF"/>
    <w:rsid w:val="00CB7EDD"/>
    <w:rsid w:val="00CC07F2"/>
    <w:rsid w:val="00CC0DE2"/>
    <w:rsid w:val="00CC1101"/>
    <w:rsid w:val="00CC1A86"/>
    <w:rsid w:val="00CC1F73"/>
    <w:rsid w:val="00CC1FE7"/>
    <w:rsid w:val="00CC2D43"/>
    <w:rsid w:val="00CC322C"/>
    <w:rsid w:val="00CC4B00"/>
    <w:rsid w:val="00CC50AC"/>
    <w:rsid w:val="00CC5A4D"/>
    <w:rsid w:val="00CC603C"/>
    <w:rsid w:val="00CC631E"/>
    <w:rsid w:val="00CC64F6"/>
    <w:rsid w:val="00CC68ED"/>
    <w:rsid w:val="00CC6AE6"/>
    <w:rsid w:val="00CC75CA"/>
    <w:rsid w:val="00CC76D0"/>
    <w:rsid w:val="00CC77DC"/>
    <w:rsid w:val="00CD1986"/>
    <w:rsid w:val="00CD31B3"/>
    <w:rsid w:val="00CD31C9"/>
    <w:rsid w:val="00CD3DC0"/>
    <w:rsid w:val="00CD429B"/>
    <w:rsid w:val="00CD450C"/>
    <w:rsid w:val="00CD49D9"/>
    <w:rsid w:val="00CD55C1"/>
    <w:rsid w:val="00CD7C9E"/>
    <w:rsid w:val="00CE0CE5"/>
    <w:rsid w:val="00CE1322"/>
    <w:rsid w:val="00CE1753"/>
    <w:rsid w:val="00CE2AE4"/>
    <w:rsid w:val="00CE2B59"/>
    <w:rsid w:val="00CE2BBE"/>
    <w:rsid w:val="00CE3BC1"/>
    <w:rsid w:val="00CE4E76"/>
    <w:rsid w:val="00CE65A8"/>
    <w:rsid w:val="00CE6A6A"/>
    <w:rsid w:val="00CE7DC3"/>
    <w:rsid w:val="00CF1137"/>
    <w:rsid w:val="00CF14D0"/>
    <w:rsid w:val="00CF24AA"/>
    <w:rsid w:val="00CF2E7C"/>
    <w:rsid w:val="00CF3051"/>
    <w:rsid w:val="00CF428B"/>
    <w:rsid w:val="00CF4844"/>
    <w:rsid w:val="00CF4A31"/>
    <w:rsid w:val="00CF5158"/>
    <w:rsid w:val="00CF56F7"/>
    <w:rsid w:val="00CF585F"/>
    <w:rsid w:val="00CF5E92"/>
    <w:rsid w:val="00CF628B"/>
    <w:rsid w:val="00CF7E13"/>
    <w:rsid w:val="00D0054C"/>
    <w:rsid w:val="00D00FD3"/>
    <w:rsid w:val="00D02489"/>
    <w:rsid w:val="00D02637"/>
    <w:rsid w:val="00D0381D"/>
    <w:rsid w:val="00D03A62"/>
    <w:rsid w:val="00D04BBD"/>
    <w:rsid w:val="00D0653D"/>
    <w:rsid w:val="00D06660"/>
    <w:rsid w:val="00D0691D"/>
    <w:rsid w:val="00D06F75"/>
    <w:rsid w:val="00D0702E"/>
    <w:rsid w:val="00D0799E"/>
    <w:rsid w:val="00D1047B"/>
    <w:rsid w:val="00D10B41"/>
    <w:rsid w:val="00D1120A"/>
    <w:rsid w:val="00D11B7B"/>
    <w:rsid w:val="00D123B5"/>
    <w:rsid w:val="00D128C7"/>
    <w:rsid w:val="00D1377E"/>
    <w:rsid w:val="00D14483"/>
    <w:rsid w:val="00D1528A"/>
    <w:rsid w:val="00D16AF9"/>
    <w:rsid w:val="00D21188"/>
    <w:rsid w:val="00D21464"/>
    <w:rsid w:val="00D2186D"/>
    <w:rsid w:val="00D21954"/>
    <w:rsid w:val="00D21CA4"/>
    <w:rsid w:val="00D22BD5"/>
    <w:rsid w:val="00D2468B"/>
    <w:rsid w:val="00D25D4C"/>
    <w:rsid w:val="00D264E0"/>
    <w:rsid w:val="00D27DD5"/>
    <w:rsid w:val="00D31346"/>
    <w:rsid w:val="00D32599"/>
    <w:rsid w:val="00D32E5F"/>
    <w:rsid w:val="00D338F2"/>
    <w:rsid w:val="00D33C1F"/>
    <w:rsid w:val="00D33F5E"/>
    <w:rsid w:val="00D34001"/>
    <w:rsid w:val="00D35E54"/>
    <w:rsid w:val="00D40193"/>
    <w:rsid w:val="00D40DC7"/>
    <w:rsid w:val="00D41032"/>
    <w:rsid w:val="00D41748"/>
    <w:rsid w:val="00D41AAF"/>
    <w:rsid w:val="00D42712"/>
    <w:rsid w:val="00D43A75"/>
    <w:rsid w:val="00D43C4C"/>
    <w:rsid w:val="00D44723"/>
    <w:rsid w:val="00D45B0A"/>
    <w:rsid w:val="00D462C9"/>
    <w:rsid w:val="00D5114E"/>
    <w:rsid w:val="00D516BF"/>
    <w:rsid w:val="00D51942"/>
    <w:rsid w:val="00D52AAF"/>
    <w:rsid w:val="00D53D3D"/>
    <w:rsid w:val="00D56532"/>
    <w:rsid w:val="00D56B1C"/>
    <w:rsid w:val="00D575A1"/>
    <w:rsid w:val="00D6016A"/>
    <w:rsid w:val="00D618DB"/>
    <w:rsid w:val="00D61E85"/>
    <w:rsid w:val="00D62932"/>
    <w:rsid w:val="00D6377C"/>
    <w:rsid w:val="00D637A6"/>
    <w:rsid w:val="00D63B4E"/>
    <w:rsid w:val="00D6587D"/>
    <w:rsid w:val="00D65DE7"/>
    <w:rsid w:val="00D67F3B"/>
    <w:rsid w:val="00D70573"/>
    <w:rsid w:val="00D708A1"/>
    <w:rsid w:val="00D71398"/>
    <w:rsid w:val="00D71520"/>
    <w:rsid w:val="00D73309"/>
    <w:rsid w:val="00D73CFE"/>
    <w:rsid w:val="00D7602A"/>
    <w:rsid w:val="00D76099"/>
    <w:rsid w:val="00D771A4"/>
    <w:rsid w:val="00D7725D"/>
    <w:rsid w:val="00D772FF"/>
    <w:rsid w:val="00D77607"/>
    <w:rsid w:val="00D80065"/>
    <w:rsid w:val="00D806EB"/>
    <w:rsid w:val="00D81120"/>
    <w:rsid w:val="00D823A6"/>
    <w:rsid w:val="00D827A1"/>
    <w:rsid w:val="00D837B2"/>
    <w:rsid w:val="00D837CC"/>
    <w:rsid w:val="00D838B2"/>
    <w:rsid w:val="00D853E1"/>
    <w:rsid w:val="00D85D0F"/>
    <w:rsid w:val="00D86BE6"/>
    <w:rsid w:val="00D86D61"/>
    <w:rsid w:val="00D87186"/>
    <w:rsid w:val="00D87C99"/>
    <w:rsid w:val="00D9003A"/>
    <w:rsid w:val="00D91CBC"/>
    <w:rsid w:val="00D92B6B"/>
    <w:rsid w:val="00D92CEC"/>
    <w:rsid w:val="00D92FCA"/>
    <w:rsid w:val="00D94317"/>
    <w:rsid w:val="00D94DA2"/>
    <w:rsid w:val="00D96BA1"/>
    <w:rsid w:val="00DA091F"/>
    <w:rsid w:val="00DA2E94"/>
    <w:rsid w:val="00DA4D17"/>
    <w:rsid w:val="00DA52C4"/>
    <w:rsid w:val="00DA576E"/>
    <w:rsid w:val="00DA7D4F"/>
    <w:rsid w:val="00DB0BB7"/>
    <w:rsid w:val="00DB1DD1"/>
    <w:rsid w:val="00DB1FB2"/>
    <w:rsid w:val="00DB27FA"/>
    <w:rsid w:val="00DB399B"/>
    <w:rsid w:val="00DB3C90"/>
    <w:rsid w:val="00DB3DB9"/>
    <w:rsid w:val="00DB4128"/>
    <w:rsid w:val="00DB658C"/>
    <w:rsid w:val="00DC1402"/>
    <w:rsid w:val="00DC1AEC"/>
    <w:rsid w:val="00DC1F16"/>
    <w:rsid w:val="00DC2B92"/>
    <w:rsid w:val="00DC5AD6"/>
    <w:rsid w:val="00DC5BA0"/>
    <w:rsid w:val="00DC5D10"/>
    <w:rsid w:val="00DC60D8"/>
    <w:rsid w:val="00DC64F4"/>
    <w:rsid w:val="00DC65BD"/>
    <w:rsid w:val="00DD04C4"/>
    <w:rsid w:val="00DD0D8D"/>
    <w:rsid w:val="00DD0DCB"/>
    <w:rsid w:val="00DD15C1"/>
    <w:rsid w:val="00DD163C"/>
    <w:rsid w:val="00DD1E6D"/>
    <w:rsid w:val="00DD22E9"/>
    <w:rsid w:val="00DD31CA"/>
    <w:rsid w:val="00DD37D8"/>
    <w:rsid w:val="00DD3DBC"/>
    <w:rsid w:val="00DD509A"/>
    <w:rsid w:val="00DD52CE"/>
    <w:rsid w:val="00DD571A"/>
    <w:rsid w:val="00DD5D18"/>
    <w:rsid w:val="00DE0103"/>
    <w:rsid w:val="00DE04F6"/>
    <w:rsid w:val="00DE0F5D"/>
    <w:rsid w:val="00DE12C7"/>
    <w:rsid w:val="00DE2855"/>
    <w:rsid w:val="00DE2BB0"/>
    <w:rsid w:val="00DE4615"/>
    <w:rsid w:val="00DE574B"/>
    <w:rsid w:val="00DE5895"/>
    <w:rsid w:val="00DE59E9"/>
    <w:rsid w:val="00DE6219"/>
    <w:rsid w:val="00DE73AC"/>
    <w:rsid w:val="00DE7D52"/>
    <w:rsid w:val="00DF041A"/>
    <w:rsid w:val="00DF0A5A"/>
    <w:rsid w:val="00DF1E21"/>
    <w:rsid w:val="00DF2686"/>
    <w:rsid w:val="00DF290B"/>
    <w:rsid w:val="00DF3077"/>
    <w:rsid w:val="00DF45B3"/>
    <w:rsid w:val="00DF5B62"/>
    <w:rsid w:val="00DF5CE5"/>
    <w:rsid w:val="00DF6C87"/>
    <w:rsid w:val="00DF7DEB"/>
    <w:rsid w:val="00E000C4"/>
    <w:rsid w:val="00E03CC5"/>
    <w:rsid w:val="00E04DD8"/>
    <w:rsid w:val="00E051EB"/>
    <w:rsid w:val="00E06304"/>
    <w:rsid w:val="00E06555"/>
    <w:rsid w:val="00E074C2"/>
    <w:rsid w:val="00E0781B"/>
    <w:rsid w:val="00E12127"/>
    <w:rsid w:val="00E12141"/>
    <w:rsid w:val="00E12CD9"/>
    <w:rsid w:val="00E13217"/>
    <w:rsid w:val="00E133F3"/>
    <w:rsid w:val="00E14C76"/>
    <w:rsid w:val="00E14C82"/>
    <w:rsid w:val="00E15F8B"/>
    <w:rsid w:val="00E171DE"/>
    <w:rsid w:val="00E2021E"/>
    <w:rsid w:val="00E20320"/>
    <w:rsid w:val="00E20F25"/>
    <w:rsid w:val="00E21DBA"/>
    <w:rsid w:val="00E23F3A"/>
    <w:rsid w:val="00E24D47"/>
    <w:rsid w:val="00E26224"/>
    <w:rsid w:val="00E26B48"/>
    <w:rsid w:val="00E26F33"/>
    <w:rsid w:val="00E26F9F"/>
    <w:rsid w:val="00E3007D"/>
    <w:rsid w:val="00E317EA"/>
    <w:rsid w:val="00E31993"/>
    <w:rsid w:val="00E31AFD"/>
    <w:rsid w:val="00E3269E"/>
    <w:rsid w:val="00E340D6"/>
    <w:rsid w:val="00E35316"/>
    <w:rsid w:val="00E35516"/>
    <w:rsid w:val="00E35C76"/>
    <w:rsid w:val="00E3689B"/>
    <w:rsid w:val="00E40510"/>
    <w:rsid w:val="00E406ED"/>
    <w:rsid w:val="00E42E73"/>
    <w:rsid w:val="00E445AE"/>
    <w:rsid w:val="00E4595E"/>
    <w:rsid w:val="00E45B8E"/>
    <w:rsid w:val="00E4636A"/>
    <w:rsid w:val="00E503F4"/>
    <w:rsid w:val="00E5385B"/>
    <w:rsid w:val="00E54CBA"/>
    <w:rsid w:val="00E5580A"/>
    <w:rsid w:val="00E5799C"/>
    <w:rsid w:val="00E57FC5"/>
    <w:rsid w:val="00E60A0D"/>
    <w:rsid w:val="00E61255"/>
    <w:rsid w:val="00E6157A"/>
    <w:rsid w:val="00E61666"/>
    <w:rsid w:val="00E61737"/>
    <w:rsid w:val="00E627F1"/>
    <w:rsid w:val="00E62890"/>
    <w:rsid w:val="00E62E88"/>
    <w:rsid w:val="00E630CA"/>
    <w:rsid w:val="00E63146"/>
    <w:rsid w:val="00E6323D"/>
    <w:rsid w:val="00E63942"/>
    <w:rsid w:val="00E656C8"/>
    <w:rsid w:val="00E656F4"/>
    <w:rsid w:val="00E662CD"/>
    <w:rsid w:val="00E66CBD"/>
    <w:rsid w:val="00E71C4F"/>
    <w:rsid w:val="00E71D74"/>
    <w:rsid w:val="00E72E47"/>
    <w:rsid w:val="00E7301B"/>
    <w:rsid w:val="00E73A5A"/>
    <w:rsid w:val="00E73C7F"/>
    <w:rsid w:val="00E73D37"/>
    <w:rsid w:val="00E74999"/>
    <w:rsid w:val="00E7587E"/>
    <w:rsid w:val="00E76A6C"/>
    <w:rsid w:val="00E773BD"/>
    <w:rsid w:val="00E77892"/>
    <w:rsid w:val="00E77A4B"/>
    <w:rsid w:val="00E77E47"/>
    <w:rsid w:val="00E81F72"/>
    <w:rsid w:val="00E81FC5"/>
    <w:rsid w:val="00E84120"/>
    <w:rsid w:val="00E8605A"/>
    <w:rsid w:val="00E86652"/>
    <w:rsid w:val="00E86C77"/>
    <w:rsid w:val="00E874AC"/>
    <w:rsid w:val="00E87F31"/>
    <w:rsid w:val="00E90B43"/>
    <w:rsid w:val="00E9155C"/>
    <w:rsid w:val="00E923C3"/>
    <w:rsid w:val="00E92690"/>
    <w:rsid w:val="00E92D1D"/>
    <w:rsid w:val="00E936D7"/>
    <w:rsid w:val="00E95184"/>
    <w:rsid w:val="00E96132"/>
    <w:rsid w:val="00E96E08"/>
    <w:rsid w:val="00E97FCA"/>
    <w:rsid w:val="00EA0626"/>
    <w:rsid w:val="00EA07A8"/>
    <w:rsid w:val="00EA160E"/>
    <w:rsid w:val="00EA1A3A"/>
    <w:rsid w:val="00EA43D3"/>
    <w:rsid w:val="00EA4480"/>
    <w:rsid w:val="00EA47B4"/>
    <w:rsid w:val="00EA5089"/>
    <w:rsid w:val="00EA56B9"/>
    <w:rsid w:val="00EA66B2"/>
    <w:rsid w:val="00EA6806"/>
    <w:rsid w:val="00EA71B8"/>
    <w:rsid w:val="00EB07F8"/>
    <w:rsid w:val="00EB1952"/>
    <w:rsid w:val="00EB1B98"/>
    <w:rsid w:val="00EB36E6"/>
    <w:rsid w:val="00EB4589"/>
    <w:rsid w:val="00EB4D2F"/>
    <w:rsid w:val="00EB5D23"/>
    <w:rsid w:val="00EB5E0A"/>
    <w:rsid w:val="00EB76C1"/>
    <w:rsid w:val="00EC054D"/>
    <w:rsid w:val="00EC0CBE"/>
    <w:rsid w:val="00EC107A"/>
    <w:rsid w:val="00EC12A7"/>
    <w:rsid w:val="00EC1431"/>
    <w:rsid w:val="00EC16C0"/>
    <w:rsid w:val="00EC1921"/>
    <w:rsid w:val="00EC20C3"/>
    <w:rsid w:val="00EC28D1"/>
    <w:rsid w:val="00EC415F"/>
    <w:rsid w:val="00EC4C0E"/>
    <w:rsid w:val="00EC587A"/>
    <w:rsid w:val="00EC781C"/>
    <w:rsid w:val="00ED1EE6"/>
    <w:rsid w:val="00ED2199"/>
    <w:rsid w:val="00ED2912"/>
    <w:rsid w:val="00ED3005"/>
    <w:rsid w:val="00ED439E"/>
    <w:rsid w:val="00EE01E8"/>
    <w:rsid w:val="00EE0F4B"/>
    <w:rsid w:val="00EE1861"/>
    <w:rsid w:val="00EE1987"/>
    <w:rsid w:val="00EE3A16"/>
    <w:rsid w:val="00EE4785"/>
    <w:rsid w:val="00EE4F6B"/>
    <w:rsid w:val="00EE522D"/>
    <w:rsid w:val="00EE5412"/>
    <w:rsid w:val="00EE549E"/>
    <w:rsid w:val="00EE5889"/>
    <w:rsid w:val="00EE5B3C"/>
    <w:rsid w:val="00EE6CA0"/>
    <w:rsid w:val="00EE6CE4"/>
    <w:rsid w:val="00EE6E20"/>
    <w:rsid w:val="00EE78EF"/>
    <w:rsid w:val="00EE7D5A"/>
    <w:rsid w:val="00EF1783"/>
    <w:rsid w:val="00EF278E"/>
    <w:rsid w:val="00EF2F28"/>
    <w:rsid w:val="00EF37DF"/>
    <w:rsid w:val="00EF40E2"/>
    <w:rsid w:val="00EF5F05"/>
    <w:rsid w:val="00EF6FA3"/>
    <w:rsid w:val="00EF78C3"/>
    <w:rsid w:val="00EF7D92"/>
    <w:rsid w:val="00F0028C"/>
    <w:rsid w:val="00F00804"/>
    <w:rsid w:val="00F0085D"/>
    <w:rsid w:val="00F00A61"/>
    <w:rsid w:val="00F00BC4"/>
    <w:rsid w:val="00F016A5"/>
    <w:rsid w:val="00F017CB"/>
    <w:rsid w:val="00F02394"/>
    <w:rsid w:val="00F03D16"/>
    <w:rsid w:val="00F03EBE"/>
    <w:rsid w:val="00F043CF"/>
    <w:rsid w:val="00F0495C"/>
    <w:rsid w:val="00F04AD6"/>
    <w:rsid w:val="00F04CF4"/>
    <w:rsid w:val="00F06710"/>
    <w:rsid w:val="00F0685E"/>
    <w:rsid w:val="00F06938"/>
    <w:rsid w:val="00F06A39"/>
    <w:rsid w:val="00F06DD0"/>
    <w:rsid w:val="00F06F68"/>
    <w:rsid w:val="00F07379"/>
    <w:rsid w:val="00F074A5"/>
    <w:rsid w:val="00F07E53"/>
    <w:rsid w:val="00F10103"/>
    <w:rsid w:val="00F10243"/>
    <w:rsid w:val="00F10377"/>
    <w:rsid w:val="00F11070"/>
    <w:rsid w:val="00F14BA8"/>
    <w:rsid w:val="00F17AEE"/>
    <w:rsid w:val="00F17C9C"/>
    <w:rsid w:val="00F203D1"/>
    <w:rsid w:val="00F208BA"/>
    <w:rsid w:val="00F217CD"/>
    <w:rsid w:val="00F21E6B"/>
    <w:rsid w:val="00F220B3"/>
    <w:rsid w:val="00F2212F"/>
    <w:rsid w:val="00F222C5"/>
    <w:rsid w:val="00F230B6"/>
    <w:rsid w:val="00F23B37"/>
    <w:rsid w:val="00F25784"/>
    <w:rsid w:val="00F258FE"/>
    <w:rsid w:val="00F25E84"/>
    <w:rsid w:val="00F27B1A"/>
    <w:rsid w:val="00F30558"/>
    <w:rsid w:val="00F31886"/>
    <w:rsid w:val="00F31A08"/>
    <w:rsid w:val="00F32751"/>
    <w:rsid w:val="00F33DC8"/>
    <w:rsid w:val="00F35EA9"/>
    <w:rsid w:val="00F3778F"/>
    <w:rsid w:val="00F37A87"/>
    <w:rsid w:val="00F40022"/>
    <w:rsid w:val="00F403EA"/>
    <w:rsid w:val="00F412D9"/>
    <w:rsid w:val="00F412F9"/>
    <w:rsid w:val="00F41332"/>
    <w:rsid w:val="00F4220D"/>
    <w:rsid w:val="00F42DFA"/>
    <w:rsid w:val="00F435FF"/>
    <w:rsid w:val="00F441E6"/>
    <w:rsid w:val="00F44D57"/>
    <w:rsid w:val="00F45A41"/>
    <w:rsid w:val="00F45D65"/>
    <w:rsid w:val="00F46285"/>
    <w:rsid w:val="00F46599"/>
    <w:rsid w:val="00F47521"/>
    <w:rsid w:val="00F5058D"/>
    <w:rsid w:val="00F50B30"/>
    <w:rsid w:val="00F51B23"/>
    <w:rsid w:val="00F52AA7"/>
    <w:rsid w:val="00F52E51"/>
    <w:rsid w:val="00F5331C"/>
    <w:rsid w:val="00F534C9"/>
    <w:rsid w:val="00F53C39"/>
    <w:rsid w:val="00F5400D"/>
    <w:rsid w:val="00F549F4"/>
    <w:rsid w:val="00F56AF5"/>
    <w:rsid w:val="00F56FF6"/>
    <w:rsid w:val="00F60F92"/>
    <w:rsid w:val="00F61BA2"/>
    <w:rsid w:val="00F625A3"/>
    <w:rsid w:val="00F627C7"/>
    <w:rsid w:val="00F637B4"/>
    <w:rsid w:val="00F63A6E"/>
    <w:rsid w:val="00F64079"/>
    <w:rsid w:val="00F6482B"/>
    <w:rsid w:val="00F6570D"/>
    <w:rsid w:val="00F662A9"/>
    <w:rsid w:val="00F678B0"/>
    <w:rsid w:val="00F70277"/>
    <w:rsid w:val="00F7033A"/>
    <w:rsid w:val="00F7052D"/>
    <w:rsid w:val="00F70554"/>
    <w:rsid w:val="00F7183A"/>
    <w:rsid w:val="00F725D0"/>
    <w:rsid w:val="00F729AC"/>
    <w:rsid w:val="00F7479A"/>
    <w:rsid w:val="00F7583F"/>
    <w:rsid w:val="00F75E40"/>
    <w:rsid w:val="00F764B6"/>
    <w:rsid w:val="00F77F60"/>
    <w:rsid w:val="00F8036F"/>
    <w:rsid w:val="00F80F0D"/>
    <w:rsid w:val="00F813A7"/>
    <w:rsid w:val="00F81CFE"/>
    <w:rsid w:val="00F82CBC"/>
    <w:rsid w:val="00F83302"/>
    <w:rsid w:val="00F836D2"/>
    <w:rsid w:val="00F83ABC"/>
    <w:rsid w:val="00F844ED"/>
    <w:rsid w:val="00F875FC"/>
    <w:rsid w:val="00F90348"/>
    <w:rsid w:val="00F9060E"/>
    <w:rsid w:val="00F90DF8"/>
    <w:rsid w:val="00F91C52"/>
    <w:rsid w:val="00F954EF"/>
    <w:rsid w:val="00F957DF"/>
    <w:rsid w:val="00F97021"/>
    <w:rsid w:val="00F97B8C"/>
    <w:rsid w:val="00F97DE5"/>
    <w:rsid w:val="00FA164B"/>
    <w:rsid w:val="00FA1BCE"/>
    <w:rsid w:val="00FA26BA"/>
    <w:rsid w:val="00FA2EDD"/>
    <w:rsid w:val="00FA47F5"/>
    <w:rsid w:val="00FA50CB"/>
    <w:rsid w:val="00FA5394"/>
    <w:rsid w:val="00FA5464"/>
    <w:rsid w:val="00FA6303"/>
    <w:rsid w:val="00FA66B1"/>
    <w:rsid w:val="00FA7552"/>
    <w:rsid w:val="00FB21B1"/>
    <w:rsid w:val="00FB251C"/>
    <w:rsid w:val="00FB2815"/>
    <w:rsid w:val="00FB355E"/>
    <w:rsid w:val="00FB3B94"/>
    <w:rsid w:val="00FB44AB"/>
    <w:rsid w:val="00FB5C0D"/>
    <w:rsid w:val="00FB6759"/>
    <w:rsid w:val="00FB6F88"/>
    <w:rsid w:val="00FB7281"/>
    <w:rsid w:val="00FB7E52"/>
    <w:rsid w:val="00FC0CD8"/>
    <w:rsid w:val="00FC12D5"/>
    <w:rsid w:val="00FC174C"/>
    <w:rsid w:val="00FC2802"/>
    <w:rsid w:val="00FC45AA"/>
    <w:rsid w:val="00FC5A67"/>
    <w:rsid w:val="00FC72CD"/>
    <w:rsid w:val="00FC7463"/>
    <w:rsid w:val="00FD0DC4"/>
    <w:rsid w:val="00FD2CD7"/>
    <w:rsid w:val="00FD2CF2"/>
    <w:rsid w:val="00FD3126"/>
    <w:rsid w:val="00FD3599"/>
    <w:rsid w:val="00FD3D8B"/>
    <w:rsid w:val="00FD49F9"/>
    <w:rsid w:val="00FD4E8C"/>
    <w:rsid w:val="00FD5CAE"/>
    <w:rsid w:val="00FD676F"/>
    <w:rsid w:val="00FD69A5"/>
    <w:rsid w:val="00FD7193"/>
    <w:rsid w:val="00FD7558"/>
    <w:rsid w:val="00FD759D"/>
    <w:rsid w:val="00FD79E4"/>
    <w:rsid w:val="00FD7BD7"/>
    <w:rsid w:val="00FE00E6"/>
    <w:rsid w:val="00FE0F29"/>
    <w:rsid w:val="00FE155E"/>
    <w:rsid w:val="00FE31B7"/>
    <w:rsid w:val="00FE3950"/>
    <w:rsid w:val="00FE7400"/>
    <w:rsid w:val="00FE7933"/>
    <w:rsid w:val="00FF0415"/>
    <w:rsid w:val="00FF0A25"/>
    <w:rsid w:val="00FF0A58"/>
    <w:rsid w:val="00FF174B"/>
    <w:rsid w:val="00FF2AAA"/>
    <w:rsid w:val="00FF2FA7"/>
    <w:rsid w:val="00FF3BDC"/>
    <w:rsid w:val="00FF4333"/>
    <w:rsid w:val="00FF43D2"/>
    <w:rsid w:val="00FF486E"/>
    <w:rsid w:val="00FF4BEE"/>
    <w:rsid w:val="00FF5218"/>
    <w:rsid w:val="00FF7F90"/>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table" w:styleId="Tabellrutnt">
    <w:name w:val="Table Grid"/>
    <w:basedOn w:val="Normaltabell"/>
    <w:rsid w:val="00300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semiHidden/>
    <w:rsid w:val="00BE3579"/>
    <w:rPr>
      <w:color w:val="666666"/>
    </w:rPr>
  </w:style>
  <w:style w:type="paragraph" w:styleId="Liststycke">
    <w:name w:val="List Paragraph"/>
    <w:basedOn w:val="Normal"/>
    <w:rsid w:val="00B12700"/>
    <w:pPr>
      <w:ind w:left="720"/>
      <w:contextualSpacing/>
    </w:pPr>
  </w:style>
  <w:style w:type="character" w:styleId="Kommentarsreferens">
    <w:name w:val="annotation reference"/>
    <w:basedOn w:val="Standardstycketeckensnitt"/>
    <w:semiHidden/>
    <w:unhideWhenUsed/>
    <w:rsid w:val="0000227D"/>
    <w:rPr>
      <w:sz w:val="16"/>
      <w:szCs w:val="16"/>
    </w:rPr>
  </w:style>
  <w:style w:type="paragraph" w:styleId="Kommentarer">
    <w:name w:val="annotation text"/>
    <w:basedOn w:val="Normal"/>
    <w:link w:val="KommentarerChar"/>
    <w:semiHidden/>
    <w:unhideWhenUsed/>
    <w:rsid w:val="0000227D"/>
    <w:pPr>
      <w:spacing w:line="240" w:lineRule="auto"/>
    </w:pPr>
    <w:rPr>
      <w:sz w:val="20"/>
      <w:szCs w:val="20"/>
    </w:rPr>
  </w:style>
  <w:style w:type="character" w:customStyle="1" w:styleId="KommentarerChar">
    <w:name w:val="Kommentarer Char"/>
    <w:basedOn w:val="Standardstycketeckensnitt"/>
    <w:link w:val="Kommentarer"/>
    <w:semiHidden/>
    <w:rsid w:val="0000227D"/>
    <w:rPr>
      <w:lang w:val="en-GB" w:eastAsia="en-US"/>
    </w:rPr>
  </w:style>
  <w:style w:type="paragraph" w:styleId="Kommentarsmne">
    <w:name w:val="annotation subject"/>
    <w:basedOn w:val="Kommentarer"/>
    <w:next w:val="Kommentarer"/>
    <w:link w:val="KommentarsmneChar"/>
    <w:semiHidden/>
    <w:unhideWhenUsed/>
    <w:rsid w:val="0000227D"/>
    <w:rPr>
      <w:b/>
      <w:bCs/>
    </w:rPr>
  </w:style>
  <w:style w:type="character" w:customStyle="1" w:styleId="KommentarsmneChar">
    <w:name w:val="Kommentarsämne Char"/>
    <w:basedOn w:val="KommentarerChar"/>
    <w:link w:val="Kommentarsmne"/>
    <w:semiHidden/>
    <w:rsid w:val="0000227D"/>
    <w:rPr>
      <w:b/>
      <w:bCs/>
      <w:lang w:val="en-GB" w:eastAsia="en-US"/>
    </w:rPr>
  </w:style>
  <w:style w:type="paragraph" w:styleId="Revision">
    <w:name w:val="Revision"/>
    <w:hidden/>
    <w:semiHidden/>
    <w:rsid w:val="000037EA"/>
    <w:rPr>
      <w:sz w:val="26"/>
      <w:szCs w:val="28"/>
      <w:lang w:val="en-GB" w:eastAsia="en-US"/>
    </w:rPr>
  </w:style>
  <w:style w:type="paragraph" w:customStyle="1" w:styleId="EndNoteBibliographyTitle">
    <w:name w:val="EndNote Bibliography Title"/>
    <w:basedOn w:val="Normal"/>
    <w:link w:val="EndNoteBibliographyTitleChar"/>
    <w:rsid w:val="00F31886"/>
    <w:pPr>
      <w:jc w:val="center"/>
    </w:pPr>
    <w:rPr>
      <w:lang w:val="en-US"/>
    </w:rPr>
  </w:style>
  <w:style w:type="character" w:customStyle="1" w:styleId="EndNoteBibliographyTitleChar">
    <w:name w:val="EndNote Bibliography Title Char"/>
    <w:basedOn w:val="Standardstycketeckensnitt"/>
    <w:link w:val="EndNoteBibliographyTitle"/>
    <w:rsid w:val="00F31886"/>
    <w:rPr>
      <w:sz w:val="26"/>
      <w:szCs w:val="28"/>
      <w:lang w:val="en-US" w:eastAsia="en-US"/>
    </w:rPr>
  </w:style>
  <w:style w:type="paragraph" w:customStyle="1" w:styleId="EndNoteBibliography">
    <w:name w:val="EndNote Bibliography"/>
    <w:basedOn w:val="Normal"/>
    <w:link w:val="EndNoteBibliographyChar"/>
    <w:rsid w:val="00F31886"/>
    <w:pPr>
      <w:spacing w:line="240" w:lineRule="atLeast"/>
      <w:jc w:val="left"/>
    </w:pPr>
    <w:rPr>
      <w:lang w:val="en-US"/>
    </w:rPr>
  </w:style>
  <w:style w:type="character" w:customStyle="1" w:styleId="EndNoteBibliographyChar">
    <w:name w:val="EndNote Bibliography Char"/>
    <w:basedOn w:val="Standardstycketeckensnitt"/>
    <w:link w:val="EndNoteBibliography"/>
    <w:rsid w:val="00F31886"/>
    <w:rPr>
      <w:sz w:val="26"/>
      <w:szCs w:val="28"/>
      <w:lang w:val="en-US" w:eastAsia="en-US"/>
    </w:rPr>
  </w:style>
  <w:style w:type="character" w:styleId="Hyperlnk">
    <w:name w:val="Hyperlink"/>
    <w:basedOn w:val="Standardstycketeckensnitt"/>
    <w:unhideWhenUsed/>
    <w:rsid w:val="00F31886"/>
    <w:rPr>
      <w:color w:val="0000FF" w:themeColor="hyperlink"/>
      <w:u w:val="single"/>
    </w:rPr>
  </w:style>
  <w:style w:type="character" w:styleId="Olstomnmnande">
    <w:name w:val="Unresolved Mention"/>
    <w:basedOn w:val="Standardstycketeckensnitt"/>
    <w:uiPriority w:val="99"/>
    <w:semiHidden/>
    <w:unhideWhenUsed/>
    <w:rsid w:val="00F31886"/>
    <w:rPr>
      <w:color w:val="605E5C"/>
      <w:shd w:val="clear" w:color="auto" w:fill="E1DFDD"/>
    </w:rPr>
  </w:style>
  <w:style w:type="table" w:styleId="Oformateradtabell4">
    <w:name w:val="Plain Table 4"/>
    <w:basedOn w:val="Normaltabell"/>
    <w:rsid w:val="009B0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rsid w:val="009B0F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1">
    <w:name w:val="Plain Table 1"/>
    <w:basedOn w:val="Normaltabell"/>
    <w:rsid w:val="00BA2F4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dhuvud">
    <w:name w:val="header"/>
    <w:basedOn w:val="Normal"/>
    <w:link w:val="SidhuvudChar"/>
    <w:unhideWhenUsed/>
    <w:rsid w:val="00FC72CD"/>
    <w:pPr>
      <w:tabs>
        <w:tab w:val="center" w:pos="4536"/>
        <w:tab w:val="right" w:pos="9072"/>
      </w:tabs>
      <w:spacing w:line="240" w:lineRule="auto"/>
    </w:pPr>
  </w:style>
  <w:style w:type="character" w:customStyle="1" w:styleId="SidhuvudChar">
    <w:name w:val="Sidhuvud Char"/>
    <w:basedOn w:val="Standardstycketeckensnitt"/>
    <w:link w:val="Sidhuvud"/>
    <w:rsid w:val="00FC72CD"/>
    <w:rPr>
      <w:sz w:val="26"/>
      <w:szCs w:val="28"/>
      <w:lang w:val="en-GB" w:eastAsia="en-US"/>
    </w:rPr>
  </w:style>
  <w:style w:type="paragraph" w:styleId="Normalwebb">
    <w:name w:val="Normal (Web)"/>
    <w:basedOn w:val="Normal"/>
    <w:uiPriority w:val="99"/>
    <w:semiHidden/>
    <w:unhideWhenUsed/>
    <w:rsid w:val="001E1656"/>
    <w:pPr>
      <w:autoSpaceDE/>
      <w:autoSpaceDN/>
      <w:spacing w:before="100" w:beforeAutospacing="1" w:after="100" w:afterAutospacing="1" w:line="240" w:lineRule="auto"/>
      <w:ind w:firstLine="0"/>
      <w:jc w:val="left"/>
    </w:pPr>
    <w:rPr>
      <w:sz w:val="24"/>
      <w:szCs w:val="24"/>
      <w:lang w:val="sv-SE" w:eastAsia="sv-SE"/>
    </w:rPr>
  </w:style>
  <w:style w:type="paragraph" w:styleId="Punktlista2">
    <w:name w:val="List Bullet 2"/>
    <w:basedOn w:val="Normal"/>
    <w:rsid w:val="00403E6C"/>
    <w:pPr>
      <w:numPr>
        <w:numId w:val="3"/>
      </w:numPr>
      <w:contextualSpacing/>
    </w:pPr>
  </w:style>
  <w:style w:type="table" w:styleId="Oformateradtabell3">
    <w:name w:val="Plain Table 3"/>
    <w:basedOn w:val="Normaltabell"/>
    <w:rsid w:val="005A687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rdtextmedindrag2">
    <w:name w:val="Body Text Indent 2"/>
    <w:basedOn w:val="Normal"/>
    <w:link w:val="Brdtextmedindrag2Char"/>
    <w:rsid w:val="00133FC3"/>
    <w:pPr>
      <w:spacing w:after="120" w:line="480" w:lineRule="auto"/>
      <w:ind w:left="283"/>
    </w:pPr>
  </w:style>
  <w:style w:type="character" w:customStyle="1" w:styleId="Brdtextmedindrag2Char">
    <w:name w:val="Brödtext med indrag 2 Char"/>
    <w:basedOn w:val="Standardstycketeckensnitt"/>
    <w:link w:val="Brdtextmedindrag2"/>
    <w:rsid w:val="00133FC3"/>
    <w:rPr>
      <w:sz w:val="26"/>
      <w:szCs w:val="28"/>
      <w:lang w:val="en-GB" w:eastAsia="en-US"/>
    </w:rPr>
  </w:style>
  <w:style w:type="paragraph" w:styleId="Brdtext2">
    <w:name w:val="Body Text 2"/>
    <w:basedOn w:val="Normal"/>
    <w:link w:val="Brdtext2Char"/>
    <w:rsid w:val="00133FC3"/>
    <w:pPr>
      <w:spacing w:after="120" w:line="480" w:lineRule="auto"/>
    </w:pPr>
  </w:style>
  <w:style w:type="character" w:customStyle="1" w:styleId="Brdtext2Char">
    <w:name w:val="Brödtext 2 Char"/>
    <w:basedOn w:val="Standardstycketeckensnitt"/>
    <w:link w:val="Brdtext2"/>
    <w:rsid w:val="00133FC3"/>
    <w:rPr>
      <w:sz w:val="26"/>
      <w:szCs w:val="28"/>
      <w:lang w:val="en-GB" w:eastAsia="en-US"/>
    </w:rPr>
  </w:style>
  <w:style w:type="paragraph" w:styleId="Anteckningsrubrik">
    <w:name w:val="Note Heading"/>
    <w:basedOn w:val="Normal"/>
    <w:next w:val="Normal"/>
    <w:link w:val="AnteckningsrubrikChar"/>
    <w:rsid w:val="00FF43D2"/>
    <w:pPr>
      <w:spacing w:line="240" w:lineRule="auto"/>
    </w:pPr>
  </w:style>
  <w:style w:type="character" w:customStyle="1" w:styleId="AnteckningsrubrikChar">
    <w:name w:val="Anteckningsrubrik Char"/>
    <w:basedOn w:val="Standardstycketeckensnitt"/>
    <w:link w:val="Anteckningsrubrik"/>
    <w:rsid w:val="00FF43D2"/>
    <w:rPr>
      <w:sz w:val="26"/>
      <w:szCs w:val="28"/>
      <w:lang w:val="en-GB" w:eastAsia="en-US"/>
    </w:rPr>
  </w:style>
  <w:style w:type="character" w:customStyle="1" w:styleId="apple-converted-space">
    <w:name w:val="apple-converted-space"/>
    <w:basedOn w:val="Standardstycketeckensnitt"/>
    <w:rsid w:val="0049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8433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doi.org/10.1007/s13138-016-0105-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16/j.jmathb.2017.12.003" TargetMode="External"/><Relationship Id="rId17" Type="http://schemas.openxmlformats.org/officeDocument/2006/relationships/hyperlink" Target="https://doi.org/10.1007/s13138-016-0104-6" TargetMode="External"/><Relationship Id="rId2" Type="http://schemas.openxmlformats.org/officeDocument/2006/relationships/styles" Target="styles.xml"/><Relationship Id="rId16" Type="http://schemas.openxmlformats.org/officeDocument/2006/relationships/hyperlink" Target="https://www.uka.se/integrationer/hogskolan-i-siffror/statistik?statq=https://statistik-api.uka.se/api/totals/3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365-2648.2007.04569.x" TargetMode="External"/><Relationship Id="rId5" Type="http://schemas.openxmlformats.org/officeDocument/2006/relationships/footnotes" Target="footnotes.xml"/><Relationship Id="rId15" Type="http://schemas.openxmlformats.org/officeDocument/2006/relationships/hyperlink" Target="https://doi.org/10.1080/07468342.2022.2039553" TargetMode="External"/><Relationship Id="rId10" Type="http://schemas.openxmlformats.org/officeDocument/2006/relationships/hyperlink" Target="https://doi.org/https://doi.org/10.1007/978-3-030-15789-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7/0022487108324554" TargetMode="External"/><Relationship Id="rId14" Type="http://schemas.openxmlformats.org/officeDocument/2006/relationships/hyperlink" Target="https://doi.org/10.1007/s11858-024-01584-w"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4506</Words>
  <Characters>23885</Characters>
  <Application>Microsoft Office Word</Application>
  <DocSecurity>0</DocSecurity>
  <Lines>199</Lines>
  <Paragraphs>56</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28335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2025-12-08T10:30:00Z</dcterms:created>
  <dcterms:modified xsi:type="dcterms:W3CDTF">2025-12-08T10:30:00Z</dcterms:modified>
  <cp:category/>
</cp:coreProperties>
</file>