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9E2A" w14:textId="77777777" w:rsidR="00084739" w:rsidRPr="00084739" w:rsidRDefault="00084739" w:rsidP="00084739">
      <w:pPr>
        <w:pStyle w:val="Brdtext"/>
      </w:pPr>
    </w:p>
    <w:p w14:paraId="35E824A9" w14:textId="7B9C71B2" w:rsidR="009E7EF0" w:rsidRDefault="009E7EF0" w:rsidP="00CE6A6A">
      <w:pPr>
        <w:pStyle w:val="Rubrik8"/>
        <w:rPr>
          <w:b w:val="0"/>
          <w:bCs w:val="0"/>
          <w:iCs w:val="0"/>
          <w:sz w:val="44"/>
          <w:szCs w:val="32"/>
        </w:rPr>
      </w:pPr>
      <w:r w:rsidRPr="009E7EF0">
        <w:rPr>
          <w:b w:val="0"/>
          <w:bCs w:val="0"/>
          <w:iCs w:val="0"/>
          <w:sz w:val="44"/>
          <w:szCs w:val="32"/>
        </w:rPr>
        <w:t xml:space="preserve">The </w:t>
      </w:r>
      <w:r w:rsidR="008F1BBA">
        <w:rPr>
          <w:b w:val="0"/>
          <w:bCs w:val="0"/>
          <w:iCs w:val="0"/>
          <w:sz w:val="44"/>
          <w:szCs w:val="32"/>
        </w:rPr>
        <w:t>m</w:t>
      </w:r>
      <w:r w:rsidRPr="009E7EF0">
        <w:rPr>
          <w:b w:val="0"/>
          <w:bCs w:val="0"/>
          <w:iCs w:val="0"/>
          <w:sz w:val="44"/>
          <w:szCs w:val="32"/>
        </w:rPr>
        <w:t xml:space="preserve">athematics is </w:t>
      </w:r>
      <w:proofErr w:type="spellStart"/>
      <w:proofErr w:type="gramStart"/>
      <w:r w:rsidRPr="009E7EF0">
        <w:rPr>
          <w:b w:val="0"/>
          <w:bCs w:val="0"/>
          <w:iCs w:val="0"/>
          <w:sz w:val="44"/>
          <w:szCs w:val="32"/>
        </w:rPr>
        <w:t>M</w:t>
      </w:r>
      <w:r>
        <w:rPr>
          <w:b w:val="0"/>
          <w:bCs w:val="0"/>
          <w:iCs w:val="0"/>
          <w:sz w:val="44"/>
          <w:szCs w:val="32"/>
        </w:rPr>
        <w:t>I</w:t>
      </w:r>
      <w:r w:rsidRPr="009E7EF0">
        <w:rPr>
          <w:b w:val="0"/>
          <w:bCs w:val="0"/>
          <w:iCs w:val="0"/>
          <w:sz w:val="44"/>
          <w:szCs w:val="32"/>
        </w:rPr>
        <w:t>n</w:t>
      </w:r>
      <w:r>
        <w:rPr>
          <w:b w:val="0"/>
          <w:bCs w:val="0"/>
          <w:iCs w:val="0"/>
          <w:sz w:val="44"/>
          <w:szCs w:val="32"/>
        </w:rPr>
        <w:t>E</w:t>
      </w:r>
      <w:proofErr w:type="spellEnd"/>
      <w:proofErr w:type="gramEnd"/>
      <w:r w:rsidR="00747D72">
        <w:rPr>
          <w:b w:val="0"/>
          <w:bCs w:val="0"/>
          <w:iCs w:val="0"/>
          <w:sz w:val="44"/>
          <w:szCs w:val="32"/>
        </w:rPr>
        <w:t xml:space="preserve"> </w:t>
      </w:r>
      <w:r w:rsidR="008F1BBA">
        <w:rPr>
          <w:b w:val="0"/>
          <w:bCs w:val="0"/>
          <w:iCs w:val="0"/>
          <w:sz w:val="44"/>
          <w:szCs w:val="32"/>
        </w:rPr>
        <w:t>w</w:t>
      </w:r>
      <w:r w:rsidR="00747D72">
        <w:rPr>
          <w:b w:val="0"/>
          <w:bCs w:val="0"/>
          <w:iCs w:val="0"/>
          <w:sz w:val="44"/>
          <w:szCs w:val="32"/>
        </w:rPr>
        <w:t>orkshop</w:t>
      </w:r>
      <w:r w:rsidRPr="009E7EF0">
        <w:rPr>
          <w:b w:val="0"/>
          <w:bCs w:val="0"/>
          <w:iCs w:val="0"/>
          <w:sz w:val="44"/>
          <w:szCs w:val="32"/>
        </w:rPr>
        <w:t xml:space="preserve">: </w:t>
      </w:r>
      <w:r w:rsidR="008F1BBA">
        <w:rPr>
          <w:b w:val="0"/>
          <w:bCs w:val="0"/>
          <w:iCs w:val="0"/>
          <w:sz w:val="44"/>
          <w:szCs w:val="32"/>
        </w:rPr>
        <w:t>developing a</w:t>
      </w:r>
      <w:r w:rsidR="008F1BBA" w:rsidRPr="009E7EF0">
        <w:rPr>
          <w:b w:val="0"/>
          <w:bCs w:val="0"/>
          <w:iCs w:val="0"/>
          <w:sz w:val="44"/>
          <w:szCs w:val="32"/>
        </w:rPr>
        <w:t xml:space="preserve"> </w:t>
      </w:r>
      <w:r w:rsidR="008F1BBA">
        <w:rPr>
          <w:b w:val="0"/>
          <w:bCs w:val="0"/>
          <w:iCs w:val="0"/>
          <w:sz w:val="44"/>
          <w:szCs w:val="32"/>
        </w:rPr>
        <w:t>teaching</w:t>
      </w:r>
      <w:r w:rsidR="008F1BBA" w:rsidRPr="009E7EF0">
        <w:rPr>
          <w:b w:val="0"/>
          <w:bCs w:val="0"/>
          <w:iCs w:val="0"/>
          <w:sz w:val="44"/>
          <w:szCs w:val="32"/>
        </w:rPr>
        <w:t xml:space="preserve"> model for inclusion and equ</w:t>
      </w:r>
      <w:r w:rsidRPr="009E7EF0">
        <w:rPr>
          <w:b w:val="0"/>
          <w:bCs w:val="0"/>
          <w:iCs w:val="0"/>
          <w:sz w:val="44"/>
          <w:szCs w:val="32"/>
        </w:rPr>
        <w:t>ity</w:t>
      </w:r>
    </w:p>
    <w:p w14:paraId="080E0699" w14:textId="53B73138" w:rsidR="00CE6A6A" w:rsidRPr="00D6404F" w:rsidRDefault="007C6C47" w:rsidP="00CE6A6A">
      <w:pPr>
        <w:pStyle w:val="Rubrik8"/>
        <w:rPr>
          <w:lang w:val="en-US"/>
        </w:rPr>
      </w:pPr>
      <w:r w:rsidRPr="00D6404F">
        <w:rPr>
          <w:lang w:val="en-US"/>
        </w:rPr>
        <w:t xml:space="preserve">Helena </w:t>
      </w:r>
      <w:proofErr w:type="spellStart"/>
      <w:r w:rsidRPr="00D6404F">
        <w:rPr>
          <w:lang w:val="en-US"/>
        </w:rPr>
        <w:t>Roos</w:t>
      </w:r>
      <w:proofErr w:type="spellEnd"/>
      <w:r w:rsidRPr="00D6404F">
        <w:rPr>
          <w:lang w:val="en-US"/>
        </w:rPr>
        <w:t xml:space="preserve"> &amp; Anette Bagger</w:t>
      </w:r>
    </w:p>
    <w:p w14:paraId="1D1FC312" w14:textId="0E5AF44A" w:rsidR="00CE6A6A" w:rsidRPr="007C6C47" w:rsidRDefault="007C6C47" w:rsidP="00CE6A6A">
      <w:pPr>
        <w:pStyle w:val="Rubrik9"/>
        <w:rPr>
          <w:lang w:val="en-US"/>
        </w:rPr>
      </w:pPr>
      <w:r w:rsidRPr="007C6C47">
        <w:rPr>
          <w:lang w:val="en-US"/>
        </w:rPr>
        <w:t xml:space="preserve">Malmö University &amp; </w:t>
      </w:r>
      <w:proofErr w:type="spellStart"/>
      <w:r w:rsidRPr="007C6C47">
        <w:rPr>
          <w:lang w:val="en-US"/>
        </w:rPr>
        <w:t>Örebro</w:t>
      </w:r>
      <w:proofErr w:type="spellEnd"/>
      <w:r w:rsidRPr="007C6C47">
        <w:rPr>
          <w:lang w:val="en-US"/>
        </w:rPr>
        <w:t xml:space="preserve"> U</w:t>
      </w:r>
      <w:r>
        <w:rPr>
          <w:lang w:val="en-US"/>
        </w:rPr>
        <w:t>niversity</w:t>
      </w:r>
    </w:p>
    <w:p w14:paraId="0F3ADE74" w14:textId="07D24F5D" w:rsidR="00CE6A6A" w:rsidRPr="00933A03" w:rsidRDefault="00CE6A6A" w:rsidP="005710F8">
      <w:pPr>
        <w:pStyle w:val="Abstract"/>
      </w:pPr>
      <w:r w:rsidRPr="00933A03">
        <w:t>T</w:t>
      </w:r>
      <w:r w:rsidR="001A2F14">
        <w:t xml:space="preserve">he </w:t>
      </w:r>
      <w:r w:rsidR="001A2F14" w:rsidRPr="001A2F14">
        <w:t>purpose of th</w:t>
      </w:r>
      <w:r w:rsidR="001A2F14">
        <w:t>is</w:t>
      </w:r>
      <w:r w:rsidR="001A2F14" w:rsidRPr="001A2F14">
        <w:t xml:space="preserve"> </w:t>
      </w:r>
      <w:r w:rsidR="001A2F14" w:rsidRPr="001A2F14">
        <w:rPr>
          <w:lang w:val="en-US"/>
        </w:rPr>
        <w:t>workshop is to</w:t>
      </w:r>
      <w:r w:rsidR="001A2F14" w:rsidRPr="009E7EF0">
        <w:rPr>
          <w:lang w:val="en-US"/>
        </w:rPr>
        <w:t xml:space="preserve"> present</w:t>
      </w:r>
      <w:r w:rsidR="001A2F14" w:rsidRPr="001A2F14">
        <w:rPr>
          <w:lang w:val="en-US"/>
        </w:rPr>
        <w:t xml:space="preserve"> and elaborate on</w:t>
      </w:r>
      <w:r w:rsidR="001A2F14" w:rsidRPr="009E7EF0">
        <w:rPr>
          <w:lang w:val="en-US"/>
        </w:rPr>
        <w:t xml:space="preserve"> a </w:t>
      </w:r>
      <w:r w:rsidR="00617920">
        <w:rPr>
          <w:lang w:val="en-US"/>
        </w:rPr>
        <w:t xml:space="preserve">teaching </w:t>
      </w:r>
      <w:r w:rsidR="001A2F14" w:rsidRPr="009E7EF0">
        <w:rPr>
          <w:lang w:val="en-US"/>
        </w:rPr>
        <w:t>model designed to f</w:t>
      </w:r>
      <w:r w:rsidR="001A2F14" w:rsidRPr="001A2F14">
        <w:rPr>
          <w:lang w:val="en-US"/>
        </w:rPr>
        <w:t>acilitate</w:t>
      </w:r>
      <w:r w:rsidR="001A2F14" w:rsidRPr="009E7EF0">
        <w:rPr>
          <w:lang w:val="en-US"/>
        </w:rPr>
        <w:t xml:space="preserve"> inclusion and equity in mathematics education. </w:t>
      </w:r>
      <w:r w:rsidR="00617920">
        <w:rPr>
          <w:lang w:val="en-US"/>
        </w:rPr>
        <w:t>Stemming from</w:t>
      </w:r>
      <w:r w:rsidR="001A2F14" w:rsidRPr="009E7EF0">
        <w:rPr>
          <w:lang w:val="en-US"/>
        </w:rPr>
        <w:t xml:space="preserve"> "the mathematics is </w:t>
      </w:r>
      <w:proofErr w:type="spellStart"/>
      <w:r w:rsidR="001A2F14" w:rsidRPr="009E7EF0">
        <w:rPr>
          <w:lang w:val="en-US"/>
        </w:rPr>
        <w:t>MInE</w:t>
      </w:r>
      <w:proofErr w:type="spellEnd"/>
      <w:r w:rsidR="001A2F14" w:rsidRPr="009E7EF0">
        <w:rPr>
          <w:lang w:val="en-US"/>
        </w:rPr>
        <w:t xml:space="preserve"> project" and influenced by Ainscow's</w:t>
      </w:r>
      <w:r w:rsidR="001A2F14" w:rsidRPr="001A2F14">
        <w:rPr>
          <w:lang w:val="en-US"/>
        </w:rPr>
        <w:t xml:space="preserve"> </w:t>
      </w:r>
      <w:r w:rsidR="001A2F14" w:rsidRPr="009E7EF0">
        <w:rPr>
          <w:lang w:val="en-US"/>
        </w:rPr>
        <w:t xml:space="preserve">inclusion and equity framework, the model encompasses </w:t>
      </w:r>
      <w:r w:rsidR="001A2F14">
        <w:rPr>
          <w:lang w:val="en-US"/>
        </w:rPr>
        <w:t>core</w:t>
      </w:r>
      <w:r w:rsidR="001A2F14" w:rsidRPr="009E7EF0">
        <w:rPr>
          <w:lang w:val="en-US"/>
        </w:rPr>
        <w:t xml:space="preserve"> elements for </w:t>
      </w:r>
      <w:r w:rsidR="001A2F14" w:rsidRPr="001A2F14">
        <w:rPr>
          <w:lang w:val="en-US"/>
        </w:rPr>
        <w:t>m</w:t>
      </w:r>
      <w:r w:rsidR="001A2F14" w:rsidRPr="009E7EF0">
        <w:rPr>
          <w:lang w:val="en-US"/>
        </w:rPr>
        <w:t xml:space="preserve">athematics </w:t>
      </w:r>
      <w:r w:rsidR="001A2F14" w:rsidRPr="001A2F14">
        <w:rPr>
          <w:lang w:val="en-US"/>
        </w:rPr>
        <w:t xml:space="preserve">education </w:t>
      </w:r>
      <w:r w:rsidR="001A2F14" w:rsidRPr="009E7EF0">
        <w:rPr>
          <w:lang w:val="en-US"/>
        </w:rPr>
        <w:t xml:space="preserve">to benefit </w:t>
      </w:r>
      <w:r w:rsidR="001A2F14" w:rsidRPr="001A2F14">
        <w:rPr>
          <w:lang w:val="en-US"/>
        </w:rPr>
        <w:t xml:space="preserve">every </w:t>
      </w:r>
      <w:r w:rsidR="001A2F14" w:rsidRPr="009E7EF0">
        <w:rPr>
          <w:lang w:val="en-US"/>
        </w:rPr>
        <w:t>student.</w:t>
      </w:r>
      <w:r w:rsidR="001A2F14" w:rsidRPr="001A2F14">
        <w:rPr>
          <w:i w:val="0"/>
          <w:lang w:val="en-US"/>
        </w:rPr>
        <w:t xml:space="preserve"> </w:t>
      </w:r>
      <w:r w:rsidR="001A2F14" w:rsidRPr="00FF4B69">
        <w:rPr>
          <w:lang w:val="en-US"/>
        </w:rPr>
        <w:t xml:space="preserve">By </w:t>
      </w:r>
      <w:r w:rsidR="001A2F14" w:rsidRPr="001A2F14">
        <w:rPr>
          <w:lang w:val="en-US"/>
        </w:rPr>
        <w:t xml:space="preserve">discussing </w:t>
      </w:r>
      <w:r w:rsidR="001A2F14" w:rsidRPr="00FF4B69">
        <w:rPr>
          <w:lang w:val="en-US"/>
        </w:rPr>
        <w:t xml:space="preserve">the core elements, addressing common dilemmas, and exercising professional judgment, we </w:t>
      </w:r>
      <w:r w:rsidR="00164A59">
        <w:rPr>
          <w:lang w:val="en-US"/>
        </w:rPr>
        <w:t>aim</w:t>
      </w:r>
      <w:r w:rsidR="001A2F14" w:rsidRPr="001A2F14">
        <w:rPr>
          <w:lang w:val="en-US"/>
        </w:rPr>
        <w:t xml:space="preserve"> to develop the model </w:t>
      </w:r>
      <w:r w:rsidR="00164A59">
        <w:rPr>
          <w:lang w:val="en-US"/>
        </w:rPr>
        <w:t>in order</w:t>
      </w:r>
      <w:r w:rsidR="001A2F14">
        <w:rPr>
          <w:lang w:val="en-US"/>
        </w:rPr>
        <w:t xml:space="preserve"> to </w:t>
      </w:r>
      <w:r w:rsidR="001A2F14" w:rsidRPr="001A2F14">
        <w:rPr>
          <w:lang w:val="en-US"/>
        </w:rPr>
        <w:t>provide a more</w:t>
      </w:r>
      <w:r w:rsidR="001A2F14" w:rsidRPr="00FF4B69">
        <w:rPr>
          <w:lang w:val="en-US"/>
        </w:rPr>
        <w:t xml:space="preserve"> inclusive and equitable mathematics education.</w:t>
      </w:r>
    </w:p>
    <w:p w14:paraId="3628EF17" w14:textId="6D19E8BD" w:rsidR="00FF4B69" w:rsidRPr="007A27B3" w:rsidRDefault="009E7EF0" w:rsidP="007A27B3">
      <w:pPr>
        <w:pStyle w:val="Rubrik2"/>
      </w:pPr>
      <w:r>
        <w:t xml:space="preserve">Foundation </w:t>
      </w:r>
      <w:r w:rsidR="00435C4C">
        <w:t>and purpose of</w:t>
      </w:r>
      <w:r>
        <w:t xml:space="preserve"> the workshop</w:t>
      </w:r>
    </w:p>
    <w:p w14:paraId="43839D21" w14:textId="14853178" w:rsidR="00FB7AD5" w:rsidRDefault="00FF4B69" w:rsidP="00617920">
      <w:pPr>
        <w:pStyle w:val="Brdtext"/>
        <w:ind w:firstLine="708"/>
      </w:pPr>
      <w:r w:rsidRPr="00FF4B69">
        <w:t>The pursuit of inclusion and equity in mathematics education is a multifaceted challenge, deeply embedded in educational policies and practices across many nations. However, it is a complex endeavour filled with intricate processes and dilemmas. Central to this mission is the question of how teaching can provide opportunities for all learners to access learning (Peters &amp; Oliver, 2009). These teaching moments are where complex processes and numerous challenges arise (</w:t>
      </w:r>
      <w:proofErr w:type="spellStart"/>
      <w:r w:rsidRPr="00FF4B69">
        <w:t>Kollosche</w:t>
      </w:r>
      <w:proofErr w:type="spellEnd"/>
      <w:r w:rsidRPr="00FF4B69">
        <w:t xml:space="preserve"> et al., 2019). Addressing the</w:t>
      </w:r>
      <w:r w:rsidR="00617920">
        <w:t xml:space="preserve"> </w:t>
      </w:r>
      <w:r w:rsidRPr="00FF4B69">
        <w:t xml:space="preserve">challenges in the dynamic context of inclusive and equitable teaching is crucial </w:t>
      </w:r>
      <w:r w:rsidR="009A5AA1">
        <w:t xml:space="preserve">for providing access to mathematics for every student </w:t>
      </w:r>
      <w:r w:rsidRPr="00FF4B69">
        <w:t>(</w:t>
      </w:r>
      <w:proofErr w:type="spellStart"/>
      <w:r w:rsidRPr="00FF4B69">
        <w:t>Roos</w:t>
      </w:r>
      <w:proofErr w:type="spellEnd"/>
      <w:r w:rsidRPr="00FF4B69">
        <w:t xml:space="preserve"> &amp; Bagger, 2021).</w:t>
      </w:r>
      <w:r>
        <w:t xml:space="preserve"> </w:t>
      </w:r>
    </w:p>
    <w:p w14:paraId="56DEDEFD" w14:textId="360B8728" w:rsidR="00FB7AD5" w:rsidRPr="00054CB3" w:rsidRDefault="00617920" w:rsidP="00054CB3">
      <w:r>
        <w:t xml:space="preserve">We define </w:t>
      </w:r>
      <w:r w:rsidRPr="00617920">
        <w:rPr>
          <w:i/>
          <w:iCs/>
        </w:rPr>
        <w:t>inclusion</w:t>
      </w:r>
      <w:r>
        <w:t xml:space="preserve"> as </w:t>
      </w:r>
      <w:r w:rsidRPr="00450FDD">
        <w:rPr>
          <w:lang w:val="en-US"/>
        </w:rPr>
        <w:t xml:space="preserve">creating classrooms where every student feels valued and able to participate fully. It involves tailoring teaching to individual needs, fostering a sense of belonging, and promoting shared visions and values </w:t>
      </w:r>
      <w:r w:rsidRPr="00FF4B69">
        <w:t>(</w:t>
      </w:r>
      <w:proofErr w:type="spellStart"/>
      <w:r w:rsidRPr="00FF4B69">
        <w:t>Roos</w:t>
      </w:r>
      <w:proofErr w:type="spellEnd"/>
      <w:r w:rsidRPr="00FF4B69">
        <w:t xml:space="preserve"> &amp; Bagger, 2021)</w:t>
      </w:r>
      <w:r>
        <w:t xml:space="preserve">. We define </w:t>
      </w:r>
      <w:r w:rsidRPr="00617920">
        <w:rPr>
          <w:i/>
          <w:iCs/>
        </w:rPr>
        <w:t>e</w:t>
      </w:r>
      <w:proofErr w:type="spellStart"/>
      <w:r w:rsidRPr="006F0D44">
        <w:rPr>
          <w:i/>
          <w:iCs/>
          <w:lang w:val="en-US"/>
        </w:rPr>
        <w:t>quity</w:t>
      </w:r>
      <w:proofErr w:type="spellEnd"/>
      <w:r w:rsidRPr="00450FDD">
        <w:rPr>
          <w:lang w:val="en-US"/>
        </w:rPr>
        <w:t xml:space="preserve"> </w:t>
      </w:r>
      <w:r>
        <w:rPr>
          <w:lang w:val="en-US"/>
        </w:rPr>
        <w:t xml:space="preserve">as </w:t>
      </w:r>
      <w:r w:rsidRPr="00450FDD">
        <w:rPr>
          <w:lang w:val="en-US"/>
        </w:rPr>
        <w:t>eliminating disparities and providing fair access to quality learning experiences</w:t>
      </w:r>
      <w:r>
        <w:rPr>
          <w:lang w:val="en-US"/>
        </w:rPr>
        <w:t xml:space="preserve"> </w:t>
      </w:r>
      <w:r w:rsidRPr="00FF4B69">
        <w:t>(</w:t>
      </w:r>
      <w:proofErr w:type="spellStart"/>
      <w:r w:rsidRPr="00FF4B69">
        <w:t>Roos</w:t>
      </w:r>
      <w:proofErr w:type="spellEnd"/>
      <w:r w:rsidRPr="00FF4B69">
        <w:t xml:space="preserve"> &amp; Bagger, 2021).</w:t>
      </w:r>
      <w:r>
        <w:rPr>
          <w:lang w:val="en-US"/>
        </w:rPr>
        <w:t xml:space="preserve"> </w:t>
      </w:r>
      <w:r w:rsidRPr="00450FDD">
        <w:rPr>
          <w:lang w:val="en-US"/>
        </w:rPr>
        <w:t>By prioritizing inclusion and equity, mathematics education can become more accessible and beneficial to all students, regardless of their backgrounds or abilities.</w:t>
      </w:r>
      <w:r>
        <w:rPr>
          <w:lang w:val="en-US"/>
        </w:rPr>
        <w:t xml:space="preserve"> </w:t>
      </w:r>
      <w:r w:rsidR="00FF4B69">
        <w:t xml:space="preserve">Following from this, the </w:t>
      </w:r>
      <w:r w:rsidR="00435C4C">
        <w:t xml:space="preserve">purpose of the </w:t>
      </w:r>
      <w:r w:rsidR="009E7EF0">
        <w:rPr>
          <w:lang w:val="en-US"/>
        </w:rPr>
        <w:t>workshop</w:t>
      </w:r>
      <w:r w:rsidR="00435C4C">
        <w:rPr>
          <w:lang w:val="en-US"/>
        </w:rPr>
        <w:t xml:space="preserve"> is to</w:t>
      </w:r>
      <w:r w:rsidR="009E7EF0" w:rsidRPr="009E7EF0">
        <w:rPr>
          <w:lang w:val="en-US"/>
        </w:rPr>
        <w:t xml:space="preserve"> present</w:t>
      </w:r>
      <w:r w:rsidR="00435C4C">
        <w:rPr>
          <w:lang w:val="en-US"/>
        </w:rPr>
        <w:t xml:space="preserve"> </w:t>
      </w:r>
      <w:r w:rsidR="009E7EF0">
        <w:rPr>
          <w:lang w:val="en-US"/>
        </w:rPr>
        <w:t>and elaborate on</w:t>
      </w:r>
      <w:r w:rsidR="009E7EF0" w:rsidRPr="009E7EF0">
        <w:rPr>
          <w:lang w:val="en-US"/>
        </w:rPr>
        <w:t xml:space="preserve"> a</w:t>
      </w:r>
      <w:r w:rsidR="009A5AA1">
        <w:rPr>
          <w:lang w:val="en-US"/>
        </w:rPr>
        <w:t xml:space="preserve"> teaching</w:t>
      </w:r>
      <w:r w:rsidR="009E7EF0" w:rsidRPr="009E7EF0">
        <w:rPr>
          <w:lang w:val="en-US"/>
        </w:rPr>
        <w:t xml:space="preserve"> model designed to f</w:t>
      </w:r>
      <w:r w:rsidR="00720A47">
        <w:rPr>
          <w:lang w:val="en-US"/>
        </w:rPr>
        <w:t>acilitate</w:t>
      </w:r>
      <w:r w:rsidR="009E7EF0" w:rsidRPr="009E7EF0">
        <w:rPr>
          <w:lang w:val="en-US"/>
        </w:rPr>
        <w:t xml:space="preserve"> inclusion and equity in mathematics education.</w:t>
      </w:r>
      <w:r w:rsidR="00FB7AD5">
        <w:rPr>
          <w:lang w:val="en-US"/>
        </w:rPr>
        <w:t xml:space="preserve"> </w:t>
      </w:r>
      <w:r>
        <w:rPr>
          <w:lang w:val="en-US"/>
        </w:rPr>
        <w:t xml:space="preserve">Stemming from </w:t>
      </w:r>
      <w:r w:rsidR="009E7EF0" w:rsidRPr="00F15745">
        <w:rPr>
          <w:i/>
          <w:iCs/>
          <w:lang w:val="en-US"/>
        </w:rPr>
        <w:t xml:space="preserve">the mathematics is </w:t>
      </w:r>
      <w:proofErr w:type="spellStart"/>
      <w:r w:rsidR="009E7EF0" w:rsidRPr="00F15745">
        <w:rPr>
          <w:i/>
          <w:iCs/>
          <w:lang w:val="en-US"/>
        </w:rPr>
        <w:t>MInE</w:t>
      </w:r>
      <w:proofErr w:type="spellEnd"/>
      <w:r w:rsidR="006F0D44">
        <w:rPr>
          <w:i/>
          <w:iCs/>
          <w:lang w:val="en-US"/>
        </w:rPr>
        <w:t xml:space="preserve"> (</w:t>
      </w:r>
      <w:r w:rsidR="006F0D44" w:rsidRPr="006F0D44">
        <w:rPr>
          <w:i/>
          <w:iCs/>
        </w:rPr>
        <w:t>Mathematics education for Inclusion and Equity)</w:t>
      </w:r>
      <w:r w:rsidR="006F0D44">
        <w:rPr>
          <w:i/>
          <w:iCs/>
        </w:rPr>
        <w:t xml:space="preserve"> </w:t>
      </w:r>
      <w:r w:rsidR="009E7EF0" w:rsidRPr="00F15745">
        <w:rPr>
          <w:i/>
          <w:iCs/>
          <w:lang w:val="en-US"/>
        </w:rPr>
        <w:t>project</w:t>
      </w:r>
      <w:r w:rsidR="009E7EF0" w:rsidRPr="009E7EF0">
        <w:rPr>
          <w:lang w:val="en-US"/>
        </w:rPr>
        <w:t xml:space="preserve"> and influenced by Ainscow's</w:t>
      </w:r>
      <w:r w:rsidR="00720A47">
        <w:rPr>
          <w:lang w:val="en-US"/>
        </w:rPr>
        <w:t xml:space="preserve"> (2020)</w:t>
      </w:r>
      <w:r w:rsidR="009E7EF0" w:rsidRPr="009E7EF0">
        <w:rPr>
          <w:lang w:val="en-US"/>
        </w:rPr>
        <w:t xml:space="preserve"> inclusion and equity framework, the model </w:t>
      </w:r>
      <w:r w:rsidR="009A5AA1">
        <w:rPr>
          <w:lang w:val="en-US"/>
        </w:rPr>
        <w:t xml:space="preserve">is developed together with teachers and </w:t>
      </w:r>
      <w:r w:rsidR="009E7EF0" w:rsidRPr="009E7EF0">
        <w:rPr>
          <w:lang w:val="en-US"/>
        </w:rPr>
        <w:t xml:space="preserve">encompasses </w:t>
      </w:r>
      <w:r w:rsidR="00D6404F">
        <w:rPr>
          <w:lang w:val="en-US"/>
        </w:rPr>
        <w:t xml:space="preserve">core </w:t>
      </w:r>
      <w:r w:rsidR="009E7EF0" w:rsidRPr="009E7EF0">
        <w:rPr>
          <w:lang w:val="en-US"/>
        </w:rPr>
        <w:t xml:space="preserve">elements for </w:t>
      </w:r>
      <w:r w:rsidR="00720A47">
        <w:rPr>
          <w:lang w:val="en-US"/>
        </w:rPr>
        <w:t>m</w:t>
      </w:r>
      <w:r w:rsidR="009E7EF0" w:rsidRPr="009E7EF0">
        <w:rPr>
          <w:lang w:val="en-US"/>
        </w:rPr>
        <w:t xml:space="preserve">athematics </w:t>
      </w:r>
      <w:r w:rsidR="00720A47">
        <w:rPr>
          <w:lang w:val="en-US"/>
        </w:rPr>
        <w:t xml:space="preserve">education </w:t>
      </w:r>
      <w:r w:rsidR="009E7EF0" w:rsidRPr="009E7EF0">
        <w:rPr>
          <w:lang w:val="en-US"/>
        </w:rPr>
        <w:t xml:space="preserve">to benefit </w:t>
      </w:r>
      <w:r w:rsidR="00720A47">
        <w:rPr>
          <w:lang w:val="en-US"/>
        </w:rPr>
        <w:t xml:space="preserve">every </w:t>
      </w:r>
      <w:r w:rsidR="009E7EF0" w:rsidRPr="009E7EF0">
        <w:rPr>
          <w:lang w:val="en-US"/>
        </w:rPr>
        <w:t xml:space="preserve">student. </w:t>
      </w:r>
      <w:r w:rsidR="009A5AA1" w:rsidRPr="009E7EF0">
        <w:rPr>
          <w:lang w:val="en-US"/>
        </w:rPr>
        <w:t>These elements are interconnected and organized hierarchically into three levels of complexity</w:t>
      </w:r>
      <w:r w:rsidR="00932BF9">
        <w:rPr>
          <w:lang w:val="en-US"/>
        </w:rPr>
        <w:t xml:space="preserve"> (see table 1)</w:t>
      </w:r>
      <w:r w:rsidR="009A5AA1" w:rsidRPr="009E7EF0">
        <w:rPr>
          <w:lang w:val="en-US"/>
        </w:rPr>
        <w:t>. Realizing inclusion or equity requires the presence of all three levels and core elements in educational policy, research, and practice.</w:t>
      </w:r>
      <w:r w:rsidR="000A274D">
        <w:rPr>
          <w:lang w:val="en-US"/>
        </w:rPr>
        <w:t xml:space="preserve"> </w:t>
      </w:r>
      <w:r w:rsidR="009A5AA1" w:rsidRPr="000A274D">
        <w:rPr>
          <w:vanish/>
          <w:highlight w:val="yellow"/>
          <w:lang w:val="en-US"/>
        </w:rPr>
        <w:t>Formulärets nederkant</w:t>
      </w:r>
      <w:r w:rsidR="00450FDD" w:rsidRPr="00450FDD">
        <w:rPr>
          <w:vanish/>
          <w:lang w:val="en-US"/>
        </w:rPr>
        <w:t>Formulärets överkant</w:t>
      </w:r>
    </w:p>
    <w:tbl>
      <w:tblPr>
        <w:tblStyle w:val="Tabellrutn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2023"/>
        <w:gridCol w:w="2182"/>
        <w:gridCol w:w="1989"/>
      </w:tblGrid>
      <w:tr w:rsidR="00FB7AD5" w:rsidRPr="00E64FE8" w14:paraId="5F6A1391" w14:textId="77777777" w:rsidTr="00FB7AD5"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14B736C3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254FFE">
              <w:rPr>
                <w:b/>
                <w:bCs/>
                <w:sz w:val="20"/>
                <w:szCs w:val="20"/>
                <w:lang w:val="en-GB"/>
              </w:rPr>
              <w:lastRenderedPageBreak/>
              <w:t>Core elements in Moments of Inclusion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53BC94CE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254FFE">
              <w:rPr>
                <w:b/>
                <w:bCs/>
                <w:sz w:val="20"/>
                <w:szCs w:val="20"/>
                <w:lang w:val="en-GB"/>
              </w:rPr>
              <w:t>Core elements in Moments of Equity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04A584FF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254FFE">
              <w:rPr>
                <w:b/>
                <w:bCs/>
                <w:sz w:val="20"/>
                <w:szCs w:val="20"/>
                <w:lang w:val="en-GB"/>
              </w:rPr>
              <w:t>Common Dilemmas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5CEBDC2A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254FFE">
              <w:rPr>
                <w:b/>
                <w:bCs/>
                <w:sz w:val="20"/>
                <w:szCs w:val="20"/>
                <w:lang w:val="en-GB"/>
              </w:rPr>
              <w:t>Professional Judgment at work</w:t>
            </w:r>
          </w:p>
        </w:tc>
      </w:tr>
      <w:tr w:rsidR="00FB7AD5" w:rsidRPr="00366CE5" w14:paraId="56BCC8C8" w14:textId="77777777" w:rsidTr="00FB7AD5">
        <w:tc>
          <w:tcPr>
            <w:tcW w:w="2015" w:type="dxa"/>
            <w:tcBorders>
              <w:top w:val="single" w:sz="4" w:space="0" w:color="auto"/>
            </w:tcBorders>
          </w:tcPr>
          <w:p w14:paraId="037D997D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 xml:space="preserve">Diversified classroom 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047614E6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Adapting materials and teaching</w:t>
            </w:r>
          </w:p>
          <w:p w14:paraId="410C6FC8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1529164A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 xml:space="preserve">Managing diversity 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6448C50F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Dispensing justice</w:t>
            </w:r>
          </w:p>
        </w:tc>
      </w:tr>
      <w:tr w:rsidR="00FB7AD5" w:rsidRPr="00366CE5" w14:paraId="0D110815" w14:textId="77777777" w:rsidTr="00FB7AD5">
        <w:tc>
          <w:tcPr>
            <w:tcW w:w="2015" w:type="dxa"/>
          </w:tcPr>
          <w:p w14:paraId="236F95EC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Individually tailored teaching</w:t>
            </w:r>
          </w:p>
        </w:tc>
        <w:tc>
          <w:tcPr>
            <w:tcW w:w="2023" w:type="dxa"/>
          </w:tcPr>
          <w:p w14:paraId="22268009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Routines and restrictions</w:t>
            </w:r>
          </w:p>
          <w:p w14:paraId="7E37E191" w14:textId="553A2C04" w:rsidR="00FB7AD5" w:rsidRPr="00254FFE" w:rsidRDefault="00FB7AD5" w:rsidP="00FB7AD5">
            <w:pPr>
              <w:pStyle w:val="ICMENormal"/>
              <w:spacing w:after="0" w:line="288" w:lineRule="auto"/>
              <w:ind w:left="-2067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182" w:type="dxa"/>
          </w:tcPr>
          <w:p w14:paraId="40D5824B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Allocating resources</w:t>
            </w:r>
          </w:p>
        </w:tc>
        <w:tc>
          <w:tcPr>
            <w:tcW w:w="1989" w:type="dxa"/>
          </w:tcPr>
          <w:p w14:paraId="59F45295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Ensuring fairness</w:t>
            </w:r>
          </w:p>
        </w:tc>
      </w:tr>
      <w:tr w:rsidR="00FB7AD5" w:rsidRPr="00366CE5" w14:paraId="7E0158C2" w14:textId="77777777" w:rsidTr="00FB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F04929F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Visions and values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4D79CBFB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Teachers’ opportunities and capacity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4933D71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Clashing Values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2FA8E90D" w14:textId="77777777" w:rsidR="00FB7AD5" w:rsidRPr="00254FFE" w:rsidRDefault="00FB7AD5" w:rsidP="00CA1BEB">
            <w:pPr>
              <w:pStyle w:val="ICMENormal"/>
              <w:spacing w:after="0" w:line="288" w:lineRule="auto"/>
              <w:jc w:val="left"/>
              <w:rPr>
                <w:sz w:val="20"/>
                <w:szCs w:val="20"/>
                <w:lang w:val="en-GB"/>
              </w:rPr>
            </w:pPr>
            <w:r w:rsidRPr="00254FFE">
              <w:rPr>
                <w:sz w:val="20"/>
                <w:szCs w:val="20"/>
                <w:lang w:val="en-GB"/>
              </w:rPr>
              <w:t>Embracing diversity</w:t>
            </w:r>
          </w:p>
        </w:tc>
      </w:tr>
    </w:tbl>
    <w:p w14:paraId="66DC4D05" w14:textId="00FE69F0" w:rsidR="00435C4C" w:rsidRPr="00435C4C" w:rsidRDefault="00254FFE" w:rsidP="00254FFE">
      <w:pPr>
        <w:pStyle w:val="Headtable"/>
        <w:rPr>
          <w:lang w:val="en-US"/>
        </w:rPr>
      </w:pPr>
      <w:r>
        <w:rPr>
          <w:lang w:val="en-US"/>
        </w:rPr>
        <w:t>Table 1. The teaching model for facilitating inclusion and equity.</w:t>
      </w:r>
    </w:p>
    <w:p w14:paraId="215B30C6" w14:textId="3B7B3518" w:rsidR="00FF4B69" w:rsidRPr="003B193B" w:rsidRDefault="003B193B" w:rsidP="003B193B">
      <w:pPr>
        <w:pStyle w:val="Rubrik2"/>
        <w:rPr>
          <w:lang w:val="en-US"/>
        </w:rPr>
      </w:pPr>
      <w:r w:rsidRPr="003B193B">
        <w:rPr>
          <w:lang w:val="en-US"/>
        </w:rPr>
        <w:t>The structure</w:t>
      </w:r>
      <w:r w:rsidR="00617920">
        <w:rPr>
          <w:lang w:val="en-US"/>
        </w:rPr>
        <w:t xml:space="preserve"> and timeline</w:t>
      </w:r>
      <w:r w:rsidRPr="003B193B">
        <w:rPr>
          <w:lang w:val="en-US"/>
        </w:rPr>
        <w:t xml:space="preserve"> of the</w:t>
      </w:r>
      <w:r w:rsidR="00435C4C">
        <w:rPr>
          <w:lang w:val="en-US"/>
        </w:rPr>
        <w:t xml:space="preserve"> </w:t>
      </w:r>
      <w:r w:rsidR="00FF4B69" w:rsidRPr="003B193B">
        <w:rPr>
          <w:lang w:val="en-US"/>
        </w:rPr>
        <w:t xml:space="preserve">Workshop </w:t>
      </w:r>
    </w:p>
    <w:p w14:paraId="0EAA3AC1" w14:textId="6C6B4576" w:rsidR="00257E8E" w:rsidRPr="00FF4B69" w:rsidRDefault="00257E8E" w:rsidP="00126F0B">
      <w:pPr>
        <w:rPr>
          <w:lang w:val="en-US"/>
        </w:rPr>
      </w:pPr>
      <w:r>
        <w:rPr>
          <w:lang w:val="en-US"/>
        </w:rPr>
        <w:t>Stage 1 in the</w:t>
      </w:r>
      <w:r w:rsidR="003B193B">
        <w:rPr>
          <w:lang w:val="en-US"/>
        </w:rPr>
        <w:t xml:space="preserve"> workshop</w:t>
      </w:r>
      <w:r>
        <w:rPr>
          <w:lang w:val="en-US"/>
        </w:rPr>
        <w:t xml:space="preserve"> is</w:t>
      </w:r>
      <w:r w:rsidR="003B193B">
        <w:rPr>
          <w:lang w:val="en-US"/>
        </w:rPr>
        <w:t xml:space="preserve"> a </w:t>
      </w:r>
      <w:r w:rsidR="00445E47">
        <w:rPr>
          <w:lang w:val="en-US"/>
        </w:rPr>
        <w:t>5-minute</w:t>
      </w:r>
      <w:r w:rsidR="003B193B">
        <w:rPr>
          <w:lang w:val="en-US"/>
        </w:rPr>
        <w:t xml:space="preserve"> i</w:t>
      </w:r>
      <w:r w:rsidR="00FF4B69" w:rsidRPr="00FF4B69">
        <w:rPr>
          <w:lang w:val="en-US"/>
        </w:rPr>
        <w:t xml:space="preserve">ntroduction to the </w:t>
      </w:r>
      <w:proofErr w:type="gramStart"/>
      <w:r w:rsidR="00FF4B69" w:rsidRPr="00FF4B69">
        <w:rPr>
          <w:i/>
          <w:iCs/>
          <w:lang w:val="en-US"/>
        </w:rPr>
        <w:t>Mathematics</w:t>
      </w:r>
      <w:proofErr w:type="gramEnd"/>
      <w:r w:rsidR="00FF4B69" w:rsidRPr="00FF4B69">
        <w:rPr>
          <w:i/>
          <w:iCs/>
          <w:lang w:val="en-US"/>
        </w:rPr>
        <w:t xml:space="preserve"> is </w:t>
      </w:r>
      <w:proofErr w:type="spellStart"/>
      <w:r w:rsidR="00FF4B69" w:rsidRPr="00FF4B69">
        <w:rPr>
          <w:i/>
          <w:iCs/>
          <w:lang w:val="en-US"/>
        </w:rPr>
        <w:t>M</w:t>
      </w:r>
      <w:r w:rsidR="003B193B" w:rsidRPr="00FF3324">
        <w:rPr>
          <w:i/>
          <w:iCs/>
          <w:lang w:val="en-US"/>
        </w:rPr>
        <w:t>I</w:t>
      </w:r>
      <w:r w:rsidR="00FF4B69" w:rsidRPr="00FF4B69">
        <w:rPr>
          <w:i/>
          <w:iCs/>
          <w:lang w:val="en-US"/>
        </w:rPr>
        <w:t>n</w:t>
      </w:r>
      <w:r w:rsidR="003B193B" w:rsidRPr="00FF3324">
        <w:rPr>
          <w:i/>
          <w:iCs/>
          <w:lang w:val="en-US"/>
        </w:rPr>
        <w:t>E</w:t>
      </w:r>
      <w:proofErr w:type="spellEnd"/>
      <w:r w:rsidR="00FF4B69" w:rsidRPr="00FF4B69">
        <w:rPr>
          <w:i/>
          <w:iCs/>
          <w:lang w:val="en-US"/>
        </w:rPr>
        <w:t xml:space="preserve"> project</w:t>
      </w:r>
      <w:r w:rsidR="00FF4B69" w:rsidRPr="00FF4B69">
        <w:rPr>
          <w:lang w:val="en-US"/>
        </w:rPr>
        <w:t xml:space="preserve"> and its goals</w:t>
      </w:r>
      <w:r w:rsidR="003B193B">
        <w:rPr>
          <w:lang w:val="en-US"/>
        </w:rPr>
        <w:t>. After that we will have a joint e</w:t>
      </w:r>
      <w:r w:rsidR="00FF4B69" w:rsidRPr="00FF4B69">
        <w:rPr>
          <w:lang w:val="en-US"/>
        </w:rPr>
        <w:t>xplor</w:t>
      </w:r>
      <w:r w:rsidR="003B193B">
        <w:rPr>
          <w:lang w:val="en-US"/>
        </w:rPr>
        <w:t>ation of</w:t>
      </w:r>
      <w:r w:rsidR="00FF4B69" w:rsidRPr="00FF4B69">
        <w:rPr>
          <w:lang w:val="en-US"/>
        </w:rPr>
        <w:t xml:space="preserve"> the core elements of inclusion and </w:t>
      </w:r>
      <w:r w:rsidR="003B193B" w:rsidRPr="00FF4B69">
        <w:rPr>
          <w:lang w:val="en-US"/>
        </w:rPr>
        <w:t>equity</w:t>
      </w:r>
      <w:r w:rsidR="00445E47">
        <w:rPr>
          <w:lang w:val="en-US"/>
        </w:rPr>
        <w:t xml:space="preserve"> for </w:t>
      </w:r>
      <w:r w:rsidR="00750771">
        <w:rPr>
          <w:lang w:val="en-US"/>
        </w:rPr>
        <w:t>15</w:t>
      </w:r>
      <w:r w:rsidR="00445E47">
        <w:rPr>
          <w:lang w:val="en-US"/>
        </w:rPr>
        <w:t xml:space="preserve"> minutes</w:t>
      </w:r>
      <w:r w:rsidR="003B193B">
        <w:rPr>
          <w:lang w:val="en-US"/>
        </w:rPr>
        <w:t xml:space="preserve">. Here the participants will reflect </w:t>
      </w:r>
      <w:r w:rsidR="00FF4B69" w:rsidRPr="00FF4B69">
        <w:rPr>
          <w:lang w:val="en-US"/>
        </w:rPr>
        <w:t>on the interconnectedness of inclusion, equity, common dilemmas, and professional judgmen</w:t>
      </w:r>
      <w:r w:rsidR="003B193B">
        <w:rPr>
          <w:lang w:val="en-US"/>
        </w:rPr>
        <w:t>t and identify</w:t>
      </w:r>
      <w:r w:rsidR="00FF4B69" w:rsidRPr="00FF4B69">
        <w:rPr>
          <w:lang w:val="en-US"/>
        </w:rPr>
        <w:t xml:space="preserve"> challenges and opportunities in current mathematics education practices</w:t>
      </w:r>
      <w:r w:rsidR="003B193B">
        <w:rPr>
          <w:lang w:val="en-US"/>
        </w:rPr>
        <w:t xml:space="preserve">, </w:t>
      </w:r>
      <w:r>
        <w:rPr>
          <w:lang w:val="en-US"/>
        </w:rPr>
        <w:t>and</w:t>
      </w:r>
      <w:r w:rsidR="003B193B">
        <w:rPr>
          <w:lang w:val="en-US"/>
        </w:rPr>
        <w:t xml:space="preserve"> other core elements that might be a part of the model</w:t>
      </w:r>
      <w:r w:rsidR="00B0350D">
        <w:rPr>
          <w:lang w:val="en-US"/>
        </w:rPr>
        <w:t xml:space="preserve"> from a </w:t>
      </w:r>
      <w:r w:rsidR="00254FFE">
        <w:rPr>
          <w:lang w:val="en-US"/>
        </w:rPr>
        <w:t>research</w:t>
      </w:r>
      <w:r w:rsidR="00B0350D">
        <w:rPr>
          <w:lang w:val="en-US"/>
        </w:rPr>
        <w:t xml:space="preserve"> perspective</w:t>
      </w:r>
      <w:r w:rsidR="003B193B">
        <w:rPr>
          <w:lang w:val="en-US"/>
        </w:rPr>
        <w:t xml:space="preserve">. </w:t>
      </w:r>
      <w:r w:rsidR="003B193B" w:rsidRPr="00257E8E">
        <w:rPr>
          <w:lang w:val="en-US"/>
        </w:rPr>
        <w:t>In stage 2, b</w:t>
      </w:r>
      <w:r w:rsidR="00FF4B69" w:rsidRPr="00FF4B69">
        <w:rPr>
          <w:lang w:val="en-US"/>
        </w:rPr>
        <w:t xml:space="preserve">uilding upon </w:t>
      </w:r>
      <w:r w:rsidR="00EB1089">
        <w:rPr>
          <w:lang w:val="en-US"/>
        </w:rPr>
        <w:t>stage 1</w:t>
      </w:r>
      <w:r w:rsidR="00FF4B69" w:rsidRPr="00FF4B69">
        <w:rPr>
          <w:lang w:val="en-US"/>
        </w:rPr>
        <w:t>, participants delve into strategies for promoting inclusion and equity in mathematics classrooms.</w:t>
      </w:r>
      <w:r w:rsidR="003B193B" w:rsidRPr="00257E8E">
        <w:rPr>
          <w:lang w:val="en-US"/>
        </w:rPr>
        <w:t xml:space="preserve"> Here the core elements are discussed </w:t>
      </w:r>
      <w:r w:rsidR="00EB1089">
        <w:rPr>
          <w:lang w:val="en-US"/>
        </w:rPr>
        <w:t xml:space="preserve">for 10 minutes </w:t>
      </w:r>
      <w:r w:rsidR="003B193B" w:rsidRPr="00257E8E">
        <w:rPr>
          <w:lang w:val="en-US"/>
        </w:rPr>
        <w:t xml:space="preserve">in relation to </w:t>
      </w:r>
      <w:r w:rsidRPr="00257E8E">
        <w:rPr>
          <w:lang w:val="en-US"/>
        </w:rPr>
        <w:t xml:space="preserve">diverse classroom practices, teaching materials and methods </w:t>
      </w:r>
      <w:r w:rsidRPr="00FF4B69">
        <w:rPr>
          <w:lang w:val="en-US"/>
        </w:rPr>
        <w:t>related to managing diversity and resource allocation.</w:t>
      </w:r>
      <w:r w:rsidR="00131A88">
        <w:rPr>
          <w:lang w:val="en-US"/>
        </w:rPr>
        <w:t xml:space="preserve"> </w:t>
      </w:r>
      <w:r>
        <w:rPr>
          <w:lang w:val="en-US"/>
        </w:rPr>
        <w:t>In stage 3, implementation and improvement of the model is discussed</w:t>
      </w:r>
      <w:r w:rsidR="00D22E23">
        <w:rPr>
          <w:lang w:val="en-US"/>
        </w:rPr>
        <w:t xml:space="preserve"> for 10 minutes</w:t>
      </w:r>
      <w:r>
        <w:rPr>
          <w:lang w:val="en-US"/>
        </w:rPr>
        <w:t xml:space="preserve">. </w:t>
      </w:r>
      <w:r w:rsidR="00D22E23">
        <w:rPr>
          <w:lang w:val="en-US"/>
        </w:rPr>
        <w:t>Hence, this</w:t>
      </w:r>
      <w:r w:rsidRPr="00FF4B69">
        <w:rPr>
          <w:lang w:val="en-US"/>
        </w:rPr>
        <w:t xml:space="preserve"> workshop aims to </w:t>
      </w:r>
      <w:r w:rsidR="00B77E11">
        <w:rPr>
          <w:lang w:val="en-US"/>
        </w:rPr>
        <w:t>discuss</w:t>
      </w:r>
      <w:r w:rsidRPr="00FF4B69">
        <w:rPr>
          <w:lang w:val="en-US"/>
        </w:rPr>
        <w:t xml:space="preserve"> knowledge and tools needed to create inclusive and equitable mathematics </w:t>
      </w:r>
      <w:r w:rsidR="00D22E23">
        <w:rPr>
          <w:lang w:val="en-US"/>
        </w:rPr>
        <w:t>education</w:t>
      </w:r>
      <w:r w:rsidRPr="00FF4B69">
        <w:rPr>
          <w:lang w:val="en-US"/>
        </w:rPr>
        <w:t xml:space="preserve">, ensuring that every student </w:t>
      </w:r>
      <w:r w:rsidR="004914EF" w:rsidRPr="00FF4B69">
        <w:rPr>
          <w:lang w:val="en-US"/>
        </w:rPr>
        <w:t>could</w:t>
      </w:r>
      <w:r w:rsidRPr="00FF4B69">
        <w:rPr>
          <w:lang w:val="en-US"/>
        </w:rPr>
        <w:t xml:space="preserve"> thrive. By </w:t>
      </w:r>
      <w:r w:rsidR="004914EF">
        <w:rPr>
          <w:lang w:val="en-US"/>
        </w:rPr>
        <w:t xml:space="preserve">discussing </w:t>
      </w:r>
      <w:r w:rsidRPr="00FF4B69">
        <w:rPr>
          <w:lang w:val="en-US"/>
        </w:rPr>
        <w:t xml:space="preserve">the core elements, we </w:t>
      </w:r>
      <w:r w:rsidR="00C80159">
        <w:rPr>
          <w:lang w:val="en-US"/>
        </w:rPr>
        <w:t>hope to develop the model to be able to provide a more</w:t>
      </w:r>
      <w:r w:rsidRPr="00FF4B69">
        <w:rPr>
          <w:lang w:val="en-US"/>
        </w:rPr>
        <w:t xml:space="preserve"> inclusive and equitable mathematics education.</w:t>
      </w:r>
    </w:p>
    <w:p w14:paraId="339CBD47" w14:textId="77777777" w:rsidR="00257E8E" w:rsidRPr="00FF4B69" w:rsidRDefault="00257E8E" w:rsidP="00257E8E">
      <w:pPr>
        <w:rPr>
          <w:vanish/>
          <w:lang w:val="en-US"/>
        </w:rPr>
      </w:pPr>
      <w:r w:rsidRPr="00FF4B69">
        <w:rPr>
          <w:vanish/>
          <w:lang w:val="en-US"/>
        </w:rPr>
        <w:t>Formulärets överkant</w:t>
      </w:r>
    </w:p>
    <w:p w14:paraId="1B3AF843" w14:textId="77777777" w:rsidR="00FF4B69" w:rsidRPr="00FF4B69" w:rsidRDefault="00FF4B69" w:rsidP="00750771">
      <w:pPr>
        <w:ind w:firstLine="0"/>
        <w:rPr>
          <w:vanish/>
          <w:lang w:val="en-US"/>
        </w:rPr>
      </w:pPr>
      <w:r w:rsidRPr="00FF4B69">
        <w:rPr>
          <w:vanish/>
          <w:lang w:val="en-US"/>
        </w:rPr>
        <w:t>Formulärets nederkant</w:t>
      </w:r>
    </w:p>
    <w:p w14:paraId="43FC7339" w14:textId="77777777" w:rsidR="00FF4B69" w:rsidRPr="005D2FDD" w:rsidRDefault="00FF4B69" w:rsidP="00131A88">
      <w:pPr>
        <w:ind w:firstLine="0"/>
        <w:rPr>
          <w:vanish/>
          <w:lang w:val="en-US"/>
        </w:rPr>
      </w:pPr>
    </w:p>
    <w:p w14:paraId="6F203C91" w14:textId="4B369A37" w:rsidR="00CE6A6A" w:rsidRDefault="00CE6A6A">
      <w:pPr>
        <w:pStyle w:val="Rubrik2"/>
      </w:pPr>
      <w:r>
        <w:t>References</w:t>
      </w:r>
      <w:r w:rsidR="009C103B">
        <w:t xml:space="preserve"> </w:t>
      </w:r>
    </w:p>
    <w:p w14:paraId="480C9EFC" w14:textId="273BF41A" w:rsidR="009C103B" w:rsidRDefault="009C103B" w:rsidP="0074646E">
      <w:pPr>
        <w:pStyle w:val="References"/>
        <w:ind w:left="0" w:firstLine="0"/>
      </w:pPr>
    </w:p>
    <w:p w14:paraId="553D5195" w14:textId="77777777" w:rsidR="00544AAB" w:rsidRPr="0074646E" w:rsidRDefault="00544AAB" w:rsidP="0074646E">
      <w:pPr>
        <w:pStyle w:val="References"/>
      </w:pPr>
      <w:r w:rsidRPr="0074646E">
        <w:t xml:space="preserve">Ainscow, M. (2020). Promoting inclusion and equity in education: lessons from international experiences, Nordic Journal of Studies in Educational Policy, 6(1), 7-16. </w:t>
      </w:r>
    </w:p>
    <w:p w14:paraId="7F7F5312" w14:textId="4BE38D82" w:rsidR="00544AAB" w:rsidRPr="0074646E" w:rsidRDefault="00544AAB" w:rsidP="0074646E">
      <w:pPr>
        <w:pStyle w:val="References"/>
      </w:pPr>
      <w:proofErr w:type="spellStart"/>
      <w:r w:rsidRPr="0074646E">
        <w:t>Kolloshe</w:t>
      </w:r>
      <w:proofErr w:type="spellEnd"/>
      <w:r w:rsidRPr="0074646E">
        <w:t xml:space="preserve">, D., </w:t>
      </w:r>
      <w:proofErr w:type="spellStart"/>
      <w:r w:rsidRPr="0074646E">
        <w:t>Marcone</w:t>
      </w:r>
      <w:proofErr w:type="spellEnd"/>
      <w:r w:rsidRPr="0074646E">
        <w:t xml:space="preserve">, R., </w:t>
      </w:r>
      <w:proofErr w:type="spellStart"/>
      <w:r w:rsidRPr="0074646E">
        <w:t>Knigge</w:t>
      </w:r>
      <w:proofErr w:type="spellEnd"/>
      <w:r w:rsidRPr="0074646E">
        <w:t xml:space="preserve">, M., </w:t>
      </w:r>
      <w:proofErr w:type="spellStart"/>
      <w:r w:rsidRPr="0074646E">
        <w:t>Gody</w:t>
      </w:r>
      <w:proofErr w:type="spellEnd"/>
      <w:r w:rsidRPr="0074646E">
        <w:t xml:space="preserve"> </w:t>
      </w:r>
      <w:proofErr w:type="spellStart"/>
      <w:r w:rsidRPr="0074646E">
        <w:t>Penteado</w:t>
      </w:r>
      <w:proofErr w:type="spellEnd"/>
      <w:r w:rsidRPr="0074646E">
        <w:t xml:space="preserve">, M., &amp; </w:t>
      </w:r>
      <w:proofErr w:type="spellStart"/>
      <w:r w:rsidRPr="0074646E">
        <w:t>Skovsmose</w:t>
      </w:r>
      <w:proofErr w:type="spellEnd"/>
      <w:r w:rsidRPr="0074646E">
        <w:t>, O. (2019). Inclusive mathematics education. State-of-the-art research from Brazil and Germany. Springer.</w:t>
      </w:r>
    </w:p>
    <w:p w14:paraId="52F56410" w14:textId="77777777" w:rsidR="00544AAB" w:rsidRPr="0074646E" w:rsidRDefault="00544AAB" w:rsidP="0074646E">
      <w:pPr>
        <w:pStyle w:val="References"/>
      </w:pPr>
      <w:r w:rsidRPr="0074646E">
        <w:t xml:space="preserve">Peters, S. &amp; Oliver, L. A. (2009). Achieving Quality and Equity through Inclusive Education in an Era of High- Stakes Testing. Prospects: Quarterly Review of Comparative Education, 39(3), 265-279. </w:t>
      </w:r>
      <w:hyperlink r:id="rId7" w:tgtFrame="_blank" w:history="1">
        <w:r w:rsidRPr="0074646E">
          <w:rPr>
            <w:rStyle w:val="Hyperlnk"/>
            <w:color w:val="auto"/>
            <w:u w:val="none"/>
          </w:rPr>
          <w:t>10.1007/s11125-009-9116-z</w:t>
        </w:r>
      </w:hyperlink>
    </w:p>
    <w:p w14:paraId="4E077A61" w14:textId="2F3F7D9B" w:rsidR="00617920" w:rsidRPr="00346AE7" w:rsidRDefault="00544AAB" w:rsidP="00346AE7">
      <w:pPr>
        <w:pStyle w:val="References"/>
      </w:pPr>
      <w:proofErr w:type="spellStart"/>
      <w:r w:rsidRPr="0074646E">
        <w:t>Roos</w:t>
      </w:r>
      <w:proofErr w:type="spellEnd"/>
      <w:r w:rsidRPr="0074646E">
        <w:t xml:space="preserve">, H. &amp; Bagger, A. (2021). Developing mathematics education promoting equity and inclusion: Is it possible? In: David </w:t>
      </w:r>
      <w:proofErr w:type="spellStart"/>
      <w:r w:rsidRPr="0074646E">
        <w:t>Kolloshe</w:t>
      </w:r>
      <w:proofErr w:type="spellEnd"/>
      <w:r w:rsidRPr="0074646E">
        <w:t xml:space="preserve"> (Ed.), Exploring new ways to connect: Proceedings of the Eleventh International Mathematics Education and Society Conference Volumes 1-3 (pp. 223-226).</w:t>
      </w:r>
    </w:p>
    <w:sectPr w:rsidR="00617920" w:rsidRPr="00346AE7" w:rsidSect="000761F4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062D" w14:textId="77777777" w:rsidR="0023699C" w:rsidRDefault="0023699C">
      <w:pPr>
        <w:spacing w:line="240" w:lineRule="auto"/>
      </w:pPr>
      <w:r>
        <w:separator/>
      </w:r>
    </w:p>
  </w:endnote>
  <w:endnote w:type="continuationSeparator" w:id="0">
    <w:p w14:paraId="59CCB71D" w14:textId="77777777" w:rsidR="0023699C" w:rsidRDefault="00236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2199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3890" w14:textId="77777777" w:rsidR="0023699C" w:rsidRDefault="0023699C">
      <w:pPr>
        <w:spacing w:line="240" w:lineRule="auto"/>
      </w:pPr>
      <w:r>
        <w:separator/>
      </w:r>
    </w:p>
  </w:footnote>
  <w:footnote w:type="continuationSeparator" w:id="0">
    <w:p w14:paraId="2F1809D1" w14:textId="77777777" w:rsidR="0023699C" w:rsidRDefault="00236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F64A3"/>
    <w:multiLevelType w:val="multilevel"/>
    <w:tmpl w:val="3B4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072A6C"/>
    <w:multiLevelType w:val="multilevel"/>
    <w:tmpl w:val="67EA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311C5"/>
    <w:multiLevelType w:val="multilevel"/>
    <w:tmpl w:val="F24A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0D2079"/>
    <w:multiLevelType w:val="multilevel"/>
    <w:tmpl w:val="DB38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23C91"/>
    <w:multiLevelType w:val="multilevel"/>
    <w:tmpl w:val="932E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E63A71"/>
    <w:multiLevelType w:val="multilevel"/>
    <w:tmpl w:val="811C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1501581">
    <w:abstractNumId w:val="0"/>
  </w:num>
  <w:num w:numId="2" w16cid:durableId="714934881">
    <w:abstractNumId w:val="1"/>
  </w:num>
  <w:num w:numId="3" w16cid:durableId="1408376955">
    <w:abstractNumId w:val="3"/>
  </w:num>
  <w:num w:numId="4" w16cid:durableId="1401752463">
    <w:abstractNumId w:val="5"/>
  </w:num>
  <w:num w:numId="5" w16cid:durableId="34234112">
    <w:abstractNumId w:val="2"/>
  </w:num>
  <w:num w:numId="6" w16cid:durableId="1393308867">
    <w:abstractNumId w:val="4"/>
  </w:num>
  <w:num w:numId="7" w16cid:durableId="1355154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movePersonalInformation/>
  <w:removeDateAndTime/>
  <w:embedSystemFonts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7"/>
    <w:rsid w:val="00053461"/>
    <w:rsid w:val="00054CB3"/>
    <w:rsid w:val="00064A57"/>
    <w:rsid w:val="000761F4"/>
    <w:rsid w:val="00084739"/>
    <w:rsid w:val="000A274D"/>
    <w:rsid w:val="000D2258"/>
    <w:rsid w:val="000F7629"/>
    <w:rsid w:val="000F7BC9"/>
    <w:rsid w:val="00103DC7"/>
    <w:rsid w:val="00117643"/>
    <w:rsid w:val="00126F0B"/>
    <w:rsid w:val="00131A88"/>
    <w:rsid w:val="00133F5F"/>
    <w:rsid w:val="00164A59"/>
    <w:rsid w:val="00171108"/>
    <w:rsid w:val="001A2F14"/>
    <w:rsid w:val="0023699C"/>
    <w:rsid w:val="00254FFE"/>
    <w:rsid w:val="00257E8E"/>
    <w:rsid w:val="002824CB"/>
    <w:rsid w:val="002A38E1"/>
    <w:rsid w:val="002C65E6"/>
    <w:rsid w:val="00346AE7"/>
    <w:rsid w:val="00396C66"/>
    <w:rsid w:val="003B193B"/>
    <w:rsid w:val="003B2647"/>
    <w:rsid w:val="00435C4C"/>
    <w:rsid w:val="00445E47"/>
    <w:rsid w:val="00450FDD"/>
    <w:rsid w:val="00461D61"/>
    <w:rsid w:val="004914EF"/>
    <w:rsid w:val="004E6BFD"/>
    <w:rsid w:val="00544AAB"/>
    <w:rsid w:val="005710F8"/>
    <w:rsid w:val="005D2FDD"/>
    <w:rsid w:val="005E3911"/>
    <w:rsid w:val="00617920"/>
    <w:rsid w:val="00672077"/>
    <w:rsid w:val="006B7DDD"/>
    <w:rsid w:val="006F0D44"/>
    <w:rsid w:val="00706D28"/>
    <w:rsid w:val="00720A47"/>
    <w:rsid w:val="00737C28"/>
    <w:rsid w:val="0074646E"/>
    <w:rsid w:val="00747D72"/>
    <w:rsid w:val="00750771"/>
    <w:rsid w:val="0075497C"/>
    <w:rsid w:val="007A27B3"/>
    <w:rsid w:val="007C6C47"/>
    <w:rsid w:val="00802AEE"/>
    <w:rsid w:val="008129C3"/>
    <w:rsid w:val="00842F58"/>
    <w:rsid w:val="008C4C60"/>
    <w:rsid w:val="008F1BBA"/>
    <w:rsid w:val="0091579A"/>
    <w:rsid w:val="00932BF9"/>
    <w:rsid w:val="00933A03"/>
    <w:rsid w:val="009A5AA1"/>
    <w:rsid w:val="009C103B"/>
    <w:rsid w:val="009E7EF0"/>
    <w:rsid w:val="00A2654B"/>
    <w:rsid w:val="00B0350D"/>
    <w:rsid w:val="00B13C57"/>
    <w:rsid w:val="00B77E11"/>
    <w:rsid w:val="00B956C5"/>
    <w:rsid w:val="00C32D6E"/>
    <w:rsid w:val="00C80159"/>
    <w:rsid w:val="00CB2107"/>
    <w:rsid w:val="00CE6A6A"/>
    <w:rsid w:val="00D22E23"/>
    <w:rsid w:val="00D26629"/>
    <w:rsid w:val="00D32EEC"/>
    <w:rsid w:val="00D6404F"/>
    <w:rsid w:val="00E27C86"/>
    <w:rsid w:val="00E43FB2"/>
    <w:rsid w:val="00E90B43"/>
    <w:rsid w:val="00EB1089"/>
    <w:rsid w:val="00ED2199"/>
    <w:rsid w:val="00F15745"/>
    <w:rsid w:val="00F42DFA"/>
    <w:rsid w:val="00F5400D"/>
    <w:rsid w:val="00FB7AD5"/>
    <w:rsid w:val="00FD2CF2"/>
    <w:rsid w:val="00FF3324"/>
    <w:rsid w:val="00FF4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table" w:styleId="Tabellrutnt">
    <w:name w:val="Table Grid"/>
    <w:basedOn w:val="Normaltabell"/>
    <w:uiPriority w:val="59"/>
    <w:rsid w:val="00FF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44AA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4AAB"/>
    <w:rPr>
      <w:color w:val="605E5C"/>
      <w:shd w:val="clear" w:color="auto" w:fill="E1DFDD"/>
    </w:rPr>
  </w:style>
  <w:style w:type="paragraph" w:customStyle="1" w:styleId="ICMEReferences">
    <w:name w:val="ICME References"/>
    <w:basedOn w:val="Normal"/>
    <w:qFormat/>
    <w:rsid w:val="00544AAB"/>
    <w:pPr>
      <w:autoSpaceDE/>
      <w:autoSpaceDN/>
      <w:spacing w:after="120" w:line="260" w:lineRule="atLeast"/>
      <w:ind w:left="289" w:hanging="289"/>
    </w:pPr>
    <w:rPr>
      <w:rFonts w:eastAsiaTheme="minorEastAsia" w:cstheme="minorBidi"/>
      <w:sz w:val="22"/>
      <w:szCs w:val="26"/>
      <w:lang w:val="en-US" w:eastAsia="de-DE"/>
    </w:rPr>
  </w:style>
  <w:style w:type="paragraph" w:customStyle="1" w:styleId="ICMENormal">
    <w:name w:val="ICME Normal"/>
    <w:qFormat/>
    <w:rsid w:val="00FB7AD5"/>
    <w:pPr>
      <w:spacing w:after="120" w:line="320" w:lineRule="atLeast"/>
      <w:jc w:val="both"/>
    </w:pPr>
    <w:rPr>
      <w:rFonts w:eastAsiaTheme="minorEastAsia" w:cstheme="minorBidi"/>
      <w:sz w:val="24"/>
      <w:szCs w:val="2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0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374278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70661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6362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15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037676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51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3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78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278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88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5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35880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5544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606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5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153847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07186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6977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09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436698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88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078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32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9019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051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5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68567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8267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52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6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66794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88349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1154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98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074197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7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641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4030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7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5809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4288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6819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0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26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79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8182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5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07/s11125-009-9116-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4539</Characters>
  <Application>Microsoft Office Word</Application>
  <DocSecurity>0</DocSecurity>
  <Lines>37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MADIF8 PROCEEDINGS STYLE TEMPLATE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Manager/>
  <Company/>
  <LinksUpToDate>false</LinksUpToDate>
  <CharactersWithSpaces>5385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2023-10-03T08:31:00Z</dcterms:created>
  <dcterms:modified xsi:type="dcterms:W3CDTF">2023-10-04T15:59:00Z</dcterms:modified>
  <cp:category/>
</cp:coreProperties>
</file>