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BBB1" w14:textId="7F44BEC2" w:rsidR="005E0BD0" w:rsidRPr="005E0BD0" w:rsidRDefault="00347C96" w:rsidP="005E0BD0">
      <w:pPr>
        <w:pStyle w:val="Rubrik1"/>
      </w:pPr>
      <w:r>
        <w:t>Collaboration</w:t>
      </w:r>
      <w:r w:rsidRPr="005E0BD0">
        <w:t xml:space="preserve"> </w:t>
      </w:r>
      <w:r w:rsidR="005E0BD0" w:rsidRPr="005E0BD0">
        <w:t>between mathematicians and mathematics educators in secondary teacher education</w:t>
      </w:r>
    </w:p>
    <w:p w14:paraId="79A5E158" w14:textId="2C883027" w:rsidR="005E0BD0" w:rsidRPr="005E0BD0" w:rsidRDefault="005E0BD0" w:rsidP="005E0BD0">
      <w:pPr>
        <w:pStyle w:val="Rubrik8"/>
        <w:rPr>
          <w:vertAlign w:val="superscript"/>
        </w:rPr>
      </w:pPr>
      <w:r w:rsidRPr="005E0BD0">
        <w:t>Olov Viirman</w:t>
      </w:r>
      <w:r w:rsidRPr="005E0BD0">
        <w:rPr>
          <w:vertAlign w:val="superscript"/>
        </w:rPr>
        <w:t>1</w:t>
      </w:r>
      <w:r w:rsidRPr="005E0BD0">
        <w:t>, Yukiko Asami-Johansson</w:t>
      </w:r>
      <w:r w:rsidRPr="005E0BD0">
        <w:rPr>
          <w:vertAlign w:val="superscript"/>
        </w:rPr>
        <w:t>2</w:t>
      </w:r>
      <w:r w:rsidRPr="005E0BD0">
        <w:t>, Jonas Bergman Ärlebäck</w:t>
      </w:r>
      <w:r w:rsidRPr="005E0BD0">
        <w:rPr>
          <w:vertAlign w:val="superscript"/>
        </w:rPr>
        <w:t>3</w:t>
      </w:r>
      <w:r w:rsidRPr="005E0BD0">
        <w:t>, Mi</w:t>
      </w:r>
      <w:r w:rsidR="00C30A30">
        <w:t>k</w:t>
      </w:r>
      <w:r w:rsidRPr="005E0BD0">
        <w:t>ael Cronhjort</w:t>
      </w:r>
      <w:r w:rsidRPr="005E0BD0">
        <w:rPr>
          <w:vertAlign w:val="superscript"/>
        </w:rPr>
        <w:t>2</w:t>
      </w:r>
      <w:r w:rsidRPr="005E0BD0">
        <w:t>, Magnus Jacobsson</w:t>
      </w:r>
      <w:r w:rsidRPr="005E0BD0">
        <w:rPr>
          <w:vertAlign w:val="superscript"/>
        </w:rPr>
        <w:t>1</w:t>
      </w:r>
    </w:p>
    <w:p w14:paraId="24C1FCBA" w14:textId="77777777" w:rsidR="005E0BD0" w:rsidRPr="005E0BD0" w:rsidRDefault="005E0BD0" w:rsidP="005E0BD0">
      <w:pPr>
        <w:pStyle w:val="Rubrik9"/>
      </w:pPr>
      <w:r w:rsidRPr="005E0BD0">
        <w:rPr>
          <w:vertAlign w:val="superscript"/>
        </w:rPr>
        <w:t>1</w:t>
      </w:r>
      <w:r w:rsidRPr="005E0BD0">
        <w:t xml:space="preserve">Uppsala University, </w:t>
      </w:r>
      <w:r w:rsidRPr="005E0BD0">
        <w:rPr>
          <w:vertAlign w:val="superscript"/>
        </w:rPr>
        <w:t>2</w:t>
      </w:r>
      <w:r w:rsidRPr="005E0BD0">
        <w:t xml:space="preserve">University of Gävle, </w:t>
      </w:r>
      <w:r w:rsidRPr="005E0BD0">
        <w:rPr>
          <w:vertAlign w:val="superscript"/>
        </w:rPr>
        <w:t>3</w:t>
      </w:r>
      <w:r w:rsidRPr="005E0BD0">
        <w:t>Linköping University</w:t>
      </w:r>
    </w:p>
    <w:p w14:paraId="5234928A" w14:textId="08C7023B" w:rsidR="005E0BD0" w:rsidRPr="00D74773" w:rsidRDefault="005E0BD0" w:rsidP="005E0BD0">
      <w:pPr>
        <w:pStyle w:val="Abstract"/>
      </w:pPr>
      <w:r w:rsidRPr="00D74773">
        <w:t>In this symposium, three research and development projects</w:t>
      </w:r>
      <w:r w:rsidR="00B769BB">
        <w:t xml:space="preserve"> from different Swedish universities</w:t>
      </w:r>
      <w:r w:rsidRPr="00D74773">
        <w:t xml:space="preserve"> </w:t>
      </w:r>
      <w:bookmarkStart w:id="0" w:name="_Hlk146119293"/>
      <w:bookmarkStart w:id="1" w:name="_Hlk146119343"/>
      <w:r w:rsidRPr="00D74773">
        <w:t xml:space="preserve">will serve as </w:t>
      </w:r>
      <w:r w:rsidR="00662206">
        <w:t>a</w:t>
      </w:r>
      <w:r w:rsidRPr="00D74773">
        <w:t xml:space="preserve"> starting point for a discussion o</w:t>
      </w:r>
      <w:r w:rsidR="00662206">
        <w:t>f</w:t>
      </w:r>
      <w:r w:rsidRPr="00D74773">
        <w:t xml:space="preserve"> different ways in which mathematicians and mathematics educators can work together to improve the preparation of prospective secondary mathematics teachers for teaching mathematics.</w:t>
      </w:r>
      <w:bookmarkEnd w:id="0"/>
      <w:bookmarkEnd w:id="1"/>
    </w:p>
    <w:p w14:paraId="4066016A" w14:textId="77777777" w:rsidR="00B769BB" w:rsidRDefault="00B769BB" w:rsidP="005E0BD0">
      <w:pPr>
        <w:pStyle w:val="Brdtext"/>
      </w:pPr>
    </w:p>
    <w:p w14:paraId="4BC4E114" w14:textId="50D7A56E" w:rsidR="00D74773" w:rsidRDefault="005E0BD0" w:rsidP="005E0BD0">
      <w:pPr>
        <w:pStyle w:val="Brdtext"/>
      </w:pPr>
      <w:r w:rsidRPr="005E0BD0">
        <w:t>Compar</w:t>
      </w:r>
      <w:r w:rsidR="00B769BB">
        <w:t>atively little research</w:t>
      </w:r>
      <w:r w:rsidRPr="005E0BD0">
        <w:t xml:space="preserve"> has been focused on the education of prospective secondary, and in particular upper secondary, mathematics teachers (</w:t>
      </w:r>
      <w:r w:rsidR="00D74773">
        <w:t>U</w:t>
      </w:r>
      <w:r w:rsidRPr="005E0BD0">
        <w:t xml:space="preserve">SMT’s). </w:t>
      </w:r>
      <w:r w:rsidR="00D74773" w:rsidRPr="00D74773">
        <w:t xml:space="preserve">There is some consensus among mathematicians and teacher educators (e.g., Dreher et al., 2018; Leikin et al., 2018) that prospective </w:t>
      </w:r>
      <w:r w:rsidR="00D74773">
        <w:t>USMTs</w:t>
      </w:r>
      <w:r w:rsidR="00D74773" w:rsidRPr="00D74773">
        <w:t xml:space="preserve"> need solid knowledge of central topics </w:t>
      </w:r>
      <w:r w:rsidR="00A831D3">
        <w:t>in</w:t>
      </w:r>
      <w:r w:rsidR="00D74773" w:rsidRPr="00D74773">
        <w:t xml:space="preserve"> secondary mathematics, such as calculus and algebra, including some more advanced topics. </w:t>
      </w:r>
      <w:r w:rsidR="00A831D3">
        <w:t>However</w:t>
      </w:r>
      <w:r w:rsidRPr="005E0BD0">
        <w:t xml:space="preserve">, research on </w:t>
      </w:r>
      <w:r w:rsidR="00D74773">
        <w:t>U</w:t>
      </w:r>
      <w:r w:rsidRPr="005E0BD0">
        <w:t>SMT education</w:t>
      </w:r>
      <w:r w:rsidR="00AF7C2F">
        <w:t xml:space="preserve"> often take</w:t>
      </w:r>
      <w:r w:rsidR="004C5CA0">
        <w:t>s</w:t>
      </w:r>
      <w:r w:rsidR="00AF7C2F">
        <w:t xml:space="preserve"> </w:t>
      </w:r>
      <w:r w:rsidRPr="005E0BD0">
        <w:t xml:space="preserve">the content and format of </w:t>
      </w:r>
      <w:r w:rsidR="00AF7C2F">
        <w:t xml:space="preserve">mathematics </w:t>
      </w:r>
      <w:r w:rsidRPr="005E0BD0">
        <w:t>subject matter courses as given, and separate</w:t>
      </w:r>
      <w:r w:rsidR="008121D0">
        <w:t>s</w:t>
      </w:r>
      <w:r w:rsidRPr="005E0BD0">
        <w:t xml:space="preserve"> </w:t>
      </w:r>
      <w:r w:rsidR="008121D0">
        <w:t xml:space="preserve">them </w:t>
      </w:r>
      <w:r w:rsidRPr="005E0BD0">
        <w:t xml:space="preserve">from the mathematics education courses </w:t>
      </w:r>
      <w:r w:rsidR="008121D0">
        <w:t>that</w:t>
      </w:r>
      <w:r w:rsidR="008121D0" w:rsidRPr="005E0BD0">
        <w:t xml:space="preserve"> </w:t>
      </w:r>
      <w:r w:rsidRPr="005E0BD0">
        <w:t>are the main focus of the research.</w:t>
      </w:r>
    </w:p>
    <w:p w14:paraId="7B30CC75" w14:textId="1E3E789D" w:rsidR="005E0BD0" w:rsidRPr="005E0BD0" w:rsidRDefault="005E2CEB" w:rsidP="001D3C25">
      <w:r>
        <w:t>However,</w:t>
      </w:r>
      <w:r w:rsidR="005E0BD0" w:rsidRPr="005E0BD0">
        <w:t xml:space="preserve"> many prospective and practicing mathematics teachers </w:t>
      </w:r>
      <w:r w:rsidR="0006728B">
        <w:t xml:space="preserve">fail to </w:t>
      </w:r>
      <w:r w:rsidR="005E0BD0" w:rsidRPr="005E0BD0">
        <w:t xml:space="preserve">see the relevance of their </w:t>
      </w:r>
      <w:r w:rsidR="00AA7B27">
        <w:t xml:space="preserve">higher-level </w:t>
      </w:r>
      <w:r w:rsidR="005E0BD0" w:rsidRPr="005E0BD0">
        <w:t xml:space="preserve">mathematics studies </w:t>
      </w:r>
      <w:r w:rsidR="00AA7B27">
        <w:t>to</w:t>
      </w:r>
      <w:r w:rsidR="00AA7B27" w:rsidRPr="005E0BD0">
        <w:t xml:space="preserve"> </w:t>
      </w:r>
      <w:r w:rsidR="005E0BD0" w:rsidRPr="005E0BD0">
        <w:t>their teaching practice (e.g., Wasserman et al, 2018; Zazkis &amp; Leikin, 2010)</w:t>
      </w:r>
      <w:r>
        <w:t xml:space="preserve">. It has been argued </w:t>
      </w:r>
      <w:r w:rsidRPr="005E2CEB">
        <w:t>(e.g., Wasserman et al, 2018; Winsløw &amp; Grønbæk, 2014)</w:t>
      </w:r>
      <w:r>
        <w:t xml:space="preserve"> that o</w:t>
      </w:r>
      <w:r w:rsidRPr="005E2CEB">
        <w:t>ne possible explanation</w:t>
      </w:r>
      <w:r>
        <w:t xml:space="preserve"> </w:t>
      </w:r>
      <w:r w:rsidRPr="005E2CEB">
        <w:t xml:space="preserve">is that the higher-level mathematics courses taken by prospective teachers rarely discuss the content from a </w:t>
      </w:r>
      <w:r w:rsidR="0066707C">
        <w:t>didactic</w:t>
      </w:r>
      <w:r w:rsidRPr="005E2CEB">
        <w:t xml:space="preserve">al perspective. </w:t>
      </w:r>
      <w:r>
        <w:t xml:space="preserve">In the light of this, </w:t>
      </w:r>
      <w:r w:rsidR="005E0BD0" w:rsidRPr="005E0BD0">
        <w:t>research ha</w:t>
      </w:r>
      <w:r w:rsidR="00B769BB">
        <w:t>s</w:t>
      </w:r>
      <w:r w:rsidR="005E0BD0" w:rsidRPr="005E0BD0">
        <w:t xml:space="preserve"> begun investigating the role that mathematics courses, and the mathematicians </w:t>
      </w:r>
      <w:r w:rsidR="005633CE">
        <w:t xml:space="preserve">who </w:t>
      </w:r>
      <w:r w:rsidR="005E0BD0" w:rsidRPr="005E0BD0">
        <w:t xml:space="preserve">teach them, play in </w:t>
      </w:r>
      <w:r w:rsidR="00D74773">
        <w:t>U</w:t>
      </w:r>
      <w:r w:rsidR="005E0BD0" w:rsidRPr="005E0BD0">
        <w:t xml:space="preserve">SMT education. </w:t>
      </w:r>
      <w:r w:rsidR="000D05E0">
        <w:t xml:space="preserve">For instance, </w:t>
      </w:r>
      <w:r w:rsidR="00D74773">
        <w:t>Yan et al. (2020)</w:t>
      </w:r>
      <w:r w:rsidR="00D74773" w:rsidRPr="00D74773">
        <w:t xml:space="preserve"> address the question of how to better connect the mathematics studies of prospective USMTs to their future teaching practice</w:t>
      </w:r>
      <w:r>
        <w:t>,</w:t>
      </w:r>
      <w:r w:rsidR="00D74773">
        <w:t xml:space="preserve"> and</w:t>
      </w:r>
      <w:r w:rsidR="00E1700A">
        <w:t xml:space="preserve"> Alvarez et al. (2020) </w:t>
      </w:r>
      <w:r w:rsidR="005A4DF7">
        <w:t xml:space="preserve">present principles for </w:t>
      </w:r>
      <w:r w:rsidR="007E5DF0">
        <w:t xml:space="preserve">designing tasks </w:t>
      </w:r>
      <w:r w:rsidR="001709F9">
        <w:t xml:space="preserve">that </w:t>
      </w:r>
      <w:r w:rsidR="007E5DF0">
        <w:t xml:space="preserve">address applications </w:t>
      </w:r>
      <w:r w:rsidR="00AE71EE">
        <w:t xml:space="preserve">in </w:t>
      </w:r>
      <w:r w:rsidR="007E5DF0">
        <w:t>secondary mathematics</w:t>
      </w:r>
      <w:r w:rsidR="00AE71EE">
        <w:t xml:space="preserve"> education</w:t>
      </w:r>
      <w:r w:rsidR="007E5DF0">
        <w:t>, for use in undergraduate mathematics courses. A recent special issue of ZDM (Buchbinder et al., 2023) is devoted to “e</w:t>
      </w:r>
      <w:r w:rsidR="007E5DF0" w:rsidRPr="007E5DF0">
        <w:t xml:space="preserve">xploring and </w:t>
      </w:r>
      <w:r w:rsidR="007E5DF0">
        <w:t>s</w:t>
      </w:r>
      <w:r w:rsidR="007E5DF0" w:rsidRPr="007E5DF0">
        <w:t xml:space="preserve">trengthening </w:t>
      </w:r>
      <w:r w:rsidR="007E5DF0">
        <w:t>u</w:t>
      </w:r>
      <w:r w:rsidR="007E5DF0" w:rsidRPr="007E5DF0">
        <w:t xml:space="preserve">niversity </w:t>
      </w:r>
      <w:r w:rsidR="007E5DF0">
        <w:t>m</w:t>
      </w:r>
      <w:r w:rsidR="007E5DF0" w:rsidRPr="007E5DF0">
        <w:t xml:space="preserve">athematics </w:t>
      </w:r>
      <w:r w:rsidR="007E5DF0">
        <w:t>c</w:t>
      </w:r>
      <w:r w:rsidR="007E5DF0" w:rsidRPr="007E5DF0">
        <w:t xml:space="preserve">ourses for </w:t>
      </w:r>
      <w:r w:rsidR="007E5DF0">
        <w:t>s</w:t>
      </w:r>
      <w:r w:rsidR="007E5DF0" w:rsidRPr="007E5DF0">
        <w:t xml:space="preserve">econdary </w:t>
      </w:r>
      <w:r w:rsidR="007E5DF0">
        <w:t>t</w:t>
      </w:r>
      <w:r w:rsidR="007E5DF0" w:rsidRPr="007E5DF0">
        <w:t xml:space="preserve">eacher </w:t>
      </w:r>
      <w:r w:rsidR="007E5DF0">
        <w:t>p</w:t>
      </w:r>
      <w:r w:rsidR="007E5DF0" w:rsidRPr="007E5DF0">
        <w:t>reparation</w:t>
      </w:r>
      <w:r w:rsidR="007E5DF0">
        <w:t>”</w:t>
      </w:r>
      <w:r w:rsidR="001D3C25">
        <w:t xml:space="preserve">, where many of the studies touch on the idea of collaboration between mathematicians and </w:t>
      </w:r>
      <w:r w:rsidR="008C3F47">
        <w:t>didacticians</w:t>
      </w:r>
      <w:r w:rsidR="001D3C25">
        <w:t xml:space="preserve">, either in practice or </w:t>
      </w:r>
      <w:r w:rsidR="00E45FFB">
        <w:t xml:space="preserve">in </w:t>
      </w:r>
      <w:r w:rsidR="001D3C25">
        <w:t>research</w:t>
      </w:r>
      <w:r w:rsidR="007E5DF0">
        <w:t xml:space="preserve">. In </w:t>
      </w:r>
      <w:r w:rsidR="00E45FFB">
        <w:t xml:space="preserve">the </w:t>
      </w:r>
      <w:r w:rsidR="007E5DF0">
        <w:t>Swedish context, however, there is</w:t>
      </w:r>
      <w:r w:rsidR="00662354">
        <w:t xml:space="preserve"> </w:t>
      </w:r>
      <w:r w:rsidR="007E5DF0">
        <w:t xml:space="preserve">little research on USMT education </w:t>
      </w:r>
      <w:r w:rsidR="005137DD">
        <w:t xml:space="preserve">in </w:t>
      </w:r>
      <w:r w:rsidR="007E5DF0">
        <w:t xml:space="preserve">general, and even less on </w:t>
      </w:r>
      <w:r w:rsidR="001D3C25">
        <w:t xml:space="preserve">what </w:t>
      </w:r>
      <w:r w:rsidR="005137DD">
        <w:t xml:space="preserve">form </w:t>
      </w:r>
      <w:r w:rsidR="001D3C25">
        <w:t xml:space="preserve">such collaboration might take. In what follows, we will present three projects from different Swedish universities that </w:t>
      </w:r>
      <w:r w:rsidR="00BA4518">
        <w:t xml:space="preserve">address this question </w:t>
      </w:r>
      <w:r w:rsidR="001D3C25">
        <w:t>in different ways.</w:t>
      </w:r>
    </w:p>
    <w:p w14:paraId="1D766FCF" w14:textId="58347A10" w:rsidR="005E0BD0" w:rsidRDefault="005E0BD0" w:rsidP="005E0BD0">
      <w:pPr>
        <w:pStyle w:val="Rubrik2"/>
      </w:pPr>
      <w:r>
        <w:lastRenderedPageBreak/>
        <w:t>Project 1</w:t>
      </w:r>
      <w:r w:rsidR="00B769BB">
        <w:t xml:space="preserve"> – </w:t>
      </w:r>
      <w:r w:rsidR="00194306">
        <w:t>A</w:t>
      </w:r>
      <w:r w:rsidR="00B769BB">
        <w:t xml:space="preserve">n advanced course in mathematics and </w:t>
      </w:r>
      <w:r w:rsidR="00355A69">
        <w:t>didactics for USMTs</w:t>
      </w:r>
    </w:p>
    <w:p w14:paraId="42C727D6" w14:textId="53B6EDE6" w:rsidR="00450672" w:rsidRPr="00450672" w:rsidRDefault="00640DFB" w:rsidP="00450672">
      <w:pPr>
        <w:pStyle w:val="Brdtext"/>
      </w:pPr>
      <w:r w:rsidRPr="00640DFB">
        <w:t xml:space="preserve">One way </w:t>
      </w:r>
      <w:r w:rsidR="005F2C56">
        <w:t>to</w:t>
      </w:r>
      <w:r w:rsidR="005F2C56" w:rsidRPr="00640DFB">
        <w:t xml:space="preserve"> </w:t>
      </w:r>
      <w:r w:rsidRPr="00640DFB">
        <w:t xml:space="preserve">understand the demands of USMT education is through </w:t>
      </w:r>
      <w:r w:rsidR="00773397">
        <w:t>the so-called</w:t>
      </w:r>
      <w:r w:rsidRPr="00640DFB">
        <w:t xml:space="preserve"> “double discontinuity”, first formulated by the mathematician Felix Klein</w:t>
      </w:r>
      <w:r>
        <w:t xml:space="preserve"> (e.g.,</w:t>
      </w:r>
      <w:r w:rsidRPr="00640DFB">
        <w:rPr>
          <w:sz w:val="24"/>
        </w:rPr>
        <w:t xml:space="preserve"> </w:t>
      </w:r>
      <w:r w:rsidRPr="00640DFB">
        <w:t>Winsløw</w:t>
      </w:r>
      <w:r>
        <w:t xml:space="preserve"> </w:t>
      </w:r>
      <w:r w:rsidRPr="00640DFB">
        <w:t>&amp; Grønbæk</w:t>
      </w:r>
      <w:r>
        <w:t xml:space="preserve">, </w:t>
      </w:r>
      <w:r w:rsidRPr="00640DFB">
        <w:t xml:space="preserve">2014). The first discontinuity </w:t>
      </w:r>
      <w:r w:rsidR="00CA1410">
        <w:t>occurs</w:t>
      </w:r>
      <w:r>
        <w:t xml:space="preserve"> </w:t>
      </w:r>
      <w:r w:rsidRPr="00640DFB">
        <w:t>when students enrol at university to become mathematics teachers</w:t>
      </w:r>
      <w:r w:rsidR="00773397">
        <w:t>. T</w:t>
      </w:r>
      <w:r w:rsidRPr="00640DFB">
        <w:t xml:space="preserve">he mathematics they </w:t>
      </w:r>
      <w:r w:rsidR="00773397">
        <w:t xml:space="preserve">then </w:t>
      </w:r>
      <w:r w:rsidRPr="00640DFB">
        <w:t>encounter is very different from what they have experienced in schoo</w:t>
      </w:r>
      <w:r w:rsidR="00CA1410">
        <w:t>l, the</w:t>
      </w:r>
      <w:r w:rsidRPr="00640DFB">
        <w:t xml:space="preserve"> difference becom</w:t>
      </w:r>
      <w:r w:rsidR="00CA1410">
        <w:t>ing</w:t>
      </w:r>
      <w:r w:rsidRPr="00640DFB">
        <w:t xml:space="preserve"> more pronounced as the</w:t>
      </w:r>
      <w:r w:rsidR="00CA1410">
        <w:t>ir studies</w:t>
      </w:r>
      <w:r w:rsidRPr="00640DFB">
        <w:t xml:space="preserve"> progress. When they return to school</w:t>
      </w:r>
      <w:r w:rsidR="002E07C6">
        <w:t>s</w:t>
      </w:r>
      <w:r w:rsidRPr="00640DFB">
        <w:t xml:space="preserve"> as teachers, the second discontinuity occur</w:t>
      </w:r>
      <w:r w:rsidR="00CA1410">
        <w:t>s</w:t>
      </w:r>
      <w:r w:rsidR="00E453E2">
        <w:t>, as</w:t>
      </w:r>
      <w:r w:rsidR="00CA1410">
        <w:t xml:space="preserve"> they are</w:t>
      </w:r>
      <w:r w:rsidRPr="00640DFB">
        <w:t xml:space="preserve"> expected to teach the “school mathematics” they left behind when entering university.</w:t>
      </w:r>
      <w:r>
        <w:t xml:space="preserve"> </w:t>
      </w:r>
      <w:r w:rsidR="00CA1410">
        <w:t>With</w:t>
      </w:r>
      <w:r w:rsidR="001234C3">
        <w:t xml:space="preserve"> this</w:t>
      </w:r>
      <w:r w:rsidR="00773397">
        <w:t xml:space="preserve"> as a</w:t>
      </w:r>
      <w:r w:rsidR="001234C3">
        <w:t xml:space="preserve"> starting point, and drawing on related initiatives elsewhere (Wasserman et al., 2017; </w:t>
      </w:r>
      <w:r w:rsidR="001234C3" w:rsidRPr="001234C3">
        <w:t>Winsløw &amp; Grønbæk, 2014</w:t>
      </w:r>
      <w:r w:rsidR="001234C3">
        <w:t xml:space="preserve">), at Uppsala University we have developed </w:t>
      </w:r>
      <w:r w:rsidR="00102327" w:rsidRPr="00102327">
        <w:t>an interdisciplinary course in advanced mathematics and didactics</w:t>
      </w:r>
      <w:r w:rsidR="005D6643">
        <w:t xml:space="preserve"> (Viirman &amp; Jacobsson, </w:t>
      </w:r>
      <w:r w:rsidR="00BA3AFC">
        <w:t>2022)</w:t>
      </w:r>
      <w:r w:rsidR="00773397">
        <w:t xml:space="preserve">, </w:t>
      </w:r>
      <w:r w:rsidR="00016D87">
        <w:t xml:space="preserve">that </w:t>
      </w:r>
      <w:r w:rsidR="00773397">
        <w:t>cover</w:t>
      </w:r>
      <w:r w:rsidR="00016D87">
        <w:t>s</w:t>
      </w:r>
      <w:r w:rsidR="00102327" w:rsidRPr="00102327">
        <w:t xml:space="preserve"> parts of real analysis and abstract algebra relevant to upper secondary mathematics and </w:t>
      </w:r>
      <w:r w:rsidR="00773397">
        <w:t>treat</w:t>
      </w:r>
      <w:r w:rsidR="00016D87">
        <w:t>s</w:t>
      </w:r>
      <w:r w:rsidR="00102327" w:rsidRPr="00102327">
        <w:t xml:space="preserve"> mathematics and didactics in parallel and </w:t>
      </w:r>
      <w:r w:rsidR="00016D87">
        <w:t>together</w:t>
      </w:r>
      <w:r w:rsidR="00CA1410">
        <w:t>. It</w:t>
      </w:r>
      <w:r w:rsidR="00BA3AFC">
        <w:t xml:space="preserve"> is taught </w:t>
      </w:r>
      <w:r w:rsidR="00B867EA">
        <w:t xml:space="preserve">jointly </w:t>
      </w:r>
      <w:r w:rsidR="00102327" w:rsidRPr="00102327">
        <w:t xml:space="preserve">by a mathematician and a </w:t>
      </w:r>
      <w:r w:rsidR="00355A69">
        <w:t>didactician</w:t>
      </w:r>
      <w:r w:rsidR="00102327" w:rsidRPr="00102327">
        <w:t xml:space="preserve"> through so-called “team teaching”, w</w:t>
      </w:r>
      <w:r w:rsidR="00355A69">
        <w:t>ith</w:t>
      </w:r>
      <w:r w:rsidR="00102327" w:rsidRPr="00102327">
        <w:t xml:space="preserve"> both teachers present in the classroom during all teaching sessions</w:t>
      </w:r>
      <w:r w:rsidR="00102327">
        <w:t>. The course has run tw</w:t>
      </w:r>
      <w:r w:rsidR="00355A69">
        <w:t>ice</w:t>
      </w:r>
      <w:r w:rsidR="00BC7793">
        <w:t xml:space="preserve"> so far</w:t>
      </w:r>
      <w:r w:rsidR="00102327">
        <w:t xml:space="preserve">, and in the symposium we will </w:t>
      </w:r>
      <w:r w:rsidR="00BC7793">
        <w:t xml:space="preserve">present </w:t>
      </w:r>
      <w:r w:rsidR="00102327">
        <w:t xml:space="preserve">examples of how the collaboration has created opportunities for learning. For instance, the interdisciplinarity enables us to address not only local relevance, where the same content is taught at university and in school, but also non-local relevance, where </w:t>
      </w:r>
      <w:r w:rsidR="003150A7">
        <w:t xml:space="preserve">specific mathematics content can serve as examples of general didactic relevance, for </w:t>
      </w:r>
      <w:r w:rsidR="00D938C1">
        <w:t xml:space="preserve">example </w:t>
      </w:r>
      <w:r w:rsidR="003150A7">
        <w:t xml:space="preserve">concerning the role of examples or classification. </w:t>
      </w:r>
      <w:r w:rsidR="00684F24">
        <w:t>C</w:t>
      </w:r>
      <w:r w:rsidR="003150A7">
        <w:t>o-teaching</w:t>
      </w:r>
      <w:r w:rsidR="007C1944">
        <w:t xml:space="preserve"> </w:t>
      </w:r>
      <w:r w:rsidR="003150A7">
        <w:t>allows</w:t>
      </w:r>
      <w:r w:rsidR="007C1944">
        <w:t>, among other things,</w:t>
      </w:r>
      <w:r w:rsidR="003150A7">
        <w:t xml:space="preserve"> for didactic reflection on the teaching as it happen</w:t>
      </w:r>
      <w:r w:rsidR="00597AAC">
        <w:t>s</w:t>
      </w:r>
      <w:r w:rsidR="003150A7">
        <w:t>.</w:t>
      </w:r>
    </w:p>
    <w:p w14:paraId="4388F251" w14:textId="7126D519" w:rsidR="00533280" w:rsidRDefault="005E0BD0" w:rsidP="00355A69">
      <w:pPr>
        <w:pStyle w:val="Rubrik2"/>
      </w:pPr>
      <w:r>
        <w:t>Project 2</w:t>
      </w:r>
      <w:r w:rsidR="00355A69">
        <w:t xml:space="preserve"> – </w:t>
      </w:r>
      <w:r w:rsidR="00194306">
        <w:t>M</w:t>
      </w:r>
      <w:r w:rsidR="00355A69">
        <w:t>athematical concept formation for USMTs</w:t>
      </w:r>
    </w:p>
    <w:p w14:paraId="29F40ABB" w14:textId="371F4C6E" w:rsidR="00E429FB" w:rsidRPr="000B5B5A" w:rsidRDefault="00490057" w:rsidP="000B5B5A">
      <w:pPr>
        <w:ind w:firstLine="0"/>
        <w:rPr>
          <w:lang w:val="en-US"/>
        </w:rPr>
      </w:pPr>
      <w:r>
        <w:t xml:space="preserve">At the University of Gävle, </w:t>
      </w:r>
      <w:r w:rsidR="00E429FB">
        <w:t xml:space="preserve">we have revised the teaching </w:t>
      </w:r>
      <w:r w:rsidR="001301FE">
        <w:t>of</w:t>
      </w:r>
      <w:r w:rsidR="00E429FB">
        <w:t xml:space="preserve"> the course “Mathematical concept formation for subject teachers”. The course </w:t>
      </w:r>
      <w:r w:rsidR="00386570">
        <w:t xml:space="preserve">has been </w:t>
      </w:r>
      <w:r w:rsidR="00E429FB">
        <w:t xml:space="preserve">given by three teachers in cooperation: </w:t>
      </w:r>
      <w:r w:rsidR="000B5B5A">
        <w:t>a</w:t>
      </w:r>
      <w:r w:rsidR="005C5911">
        <w:t xml:space="preserve"> </w:t>
      </w:r>
      <w:r w:rsidR="00267CD1">
        <w:t>didactician</w:t>
      </w:r>
      <w:r w:rsidR="003878E1">
        <w:t xml:space="preserve">, </w:t>
      </w:r>
      <w:r w:rsidR="000B5B5A">
        <w:t>a</w:t>
      </w:r>
      <w:r w:rsidR="003878E1">
        <w:t xml:space="preserve"> mathematician, and </w:t>
      </w:r>
      <w:r w:rsidR="000B5B5A">
        <w:t>a</w:t>
      </w:r>
      <w:r w:rsidR="003878E1">
        <w:t xml:space="preserve"> </w:t>
      </w:r>
      <w:r w:rsidR="008609EB">
        <w:t>theoretical physicist</w:t>
      </w:r>
      <w:r w:rsidR="002C66B7">
        <w:t xml:space="preserve"> </w:t>
      </w:r>
      <w:r w:rsidR="00710821">
        <w:t>who has focus</w:t>
      </w:r>
      <w:r w:rsidR="000B5B5A">
        <w:t>ed</w:t>
      </w:r>
      <w:r w:rsidR="00710821">
        <w:t xml:space="preserve"> on didactics during the last decades</w:t>
      </w:r>
      <w:r w:rsidR="00267CD1">
        <w:t xml:space="preserve">. </w:t>
      </w:r>
      <w:r w:rsidR="005425FB">
        <w:t>T</w:t>
      </w:r>
      <w:r w:rsidR="004352E7">
        <w:t xml:space="preserve">eachers change their institutional positions (regardless of their “actual” positions) in </w:t>
      </w:r>
      <w:r w:rsidR="003D0CFD">
        <w:t>in relation</w:t>
      </w:r>
      <w:r w:rsidR="004352E7">
        <w:t xml:space="preserve"> </w:t>
      </w:r>
      <w:r w:rsidR="00AE0B1D">
        <w:t xml:space="preserve">to </w:t>
      </w:r>
      <w:r w:rsidR="004352E7">
        <w:t>the emergence of knowledge (Chevallard, 2021). That</w:t>
      </w:r>
      <w:r w:rsidR="00786F86">
        <w:t xml:space="preserve"> is</w:t>
      </w:r>
      <w:r w:rsidR="004352E7">
        <w:t xml:space="preserve">, </w:t>
      </w:r>
      <w:r w:rsidR="005425FB">
        <w:t xml:space="preserve">a </w:t>
      </w:r>
      <w:r w:rsidR="004352E7">
        <w:t xml:space="preserve">mathematician </w:t>
      </w:r>
      <w:r w:rsidR="00786F86">
        <w:t xml:space="preserve">may </w:t>
      </w:r>
      <w:r w:rsidR="004352E7">
        <w:t xml:space="preserve">change position to teacher educator, </w:t>
      </w:r>
      <w:r w:rsidR="00786F86">
        <w:t xml:space="preserve">or </w:t>
      </w:r>
      <w:r w:rsidR="005425FB">
        <w:t xml:space="preserve">a </w:t>
      </w:r>
      <w:r w:rsidR="004352E7">
        <w:t>didactician to teacher educator</w:t>
      </w:r>
      <w:r w:rsidR="005425FB">
        <w:t>,</w:t>
      </w:r>
      <w:r w:rsidR="006E7185">
        <w:t xml:space="preserve"> depend</w:t>
      </w:r>
      <w:r w:rsidR="005425FB">
        <w:t>ing</w:t>
      </w:r>
      <w:r w:rsidR="006E7185">
        <w:t xml:space="preserve"> on what the didactic stake</w:t>
      </w:r>
      <w:r w:rsidR="003D0CFD">
        <w:t>s</w:t>
      </w:r>
      <w:r w:rsidR="006E7185">
        <w:t xml:space="preserve"> of </w:t>
      </w:r>
      <w:r w:rsidR="005425FB">
        <w:t xml:space="preserve">the </w:t>
      </w:r>
      <w:r w:rsidR="006E7185">
        <w:t xml:space="preserve">lesson </w:t>
      </w:r>
      <w:r w:rsidR="00AE0B1D">
        <w:t>are</w:t>
      </w:r>
      <w:r w:rsidR="004352E7">
        <w:t xml:space="preserve">. </w:t>
      </w:r>
      <w:r w:rsidR="00786F86">
        <w:t xml:space="preserve">Such </w:t>
      </w:r>
      <w:r w:rsidR="00DB277B">
        <w:t xml:space="preserve">an </w:t>
      </w:r>
      <w:r w:rsidR="00786F86">
        <w:t>awareness</w:t>
      </w:r>
      <w:r w:rsidR="004352E7">
        <w:t xml:space="preserve"> of our own institutional positions enabled fru</w:t>
      </w:r>
      <w:r w:rsidR="00786F86">
        <w:t>i</w:t>
      </w:r>
      <w:r w:rsidR="004352E7">
        <w:t>tful discussion</w:t>
      </w:r>
      <w:r w:rsidR="005425FB">
        <w:t>s</w:t>
      </w:r>
      <w:r w:rsidR="004352E7">
        <w:t xml:space="preserve"> and new</w:t>
      </w:r>
      <w:r w:rsidR="00DD129E">
        <w:t xml:space="preserve"> perspectives </w:t>
      </w:r>
      <w:r w:rsidR="004352E7">
        <w:t>during</w:t>
      </w:r>
      <w:r w:rsidR="00DD129E">
        <w:t xml:space="preserve"> </w:t>
      </w:r>
      <w:r w:rsidR="005425FB">
        <w:t xml:space="preserve">our </w:t>
      </w:r>
      <w:r w:rsidR="008B242F">
        <w:t>revision of the course</w:t>
      </w:r>
      <w:r w:rsidR="00DC35E0">
        <w:t xml:space="preserve">. </w:t>
      </w:r>
      <w:r w:rsidR="00F22C32">
        <w:t>W</w:t>
      </w:r>
      <w:r w:rsidR="00786F86">
        <w:t>hen</w:t>
      </w:r>
      <w:r w:rsidR="00596A3C">
        <w:t xml:space="preserve"> transpos</w:t>
      </w:r>
      <w:r w:rsidR="001301FE">
        <w:t>ing</w:t>
      </w:r>
      <w:r w:rsidR="00596A3C">
        <w:t xml:space="preserve"> </w:t>
      </w:r>
      <w:r w:rsidR="006E7185">
        <w:t xml:space="preserve">the </w:t>
      </w:r>
      <w:r w:rsidR="000C315C">
        <w:t xml:space="preserve">knowledge </w:t>
      </w:r>
      <w:r w:rsidR="006E7185">
        <w:t xml:space="preserve">for teaching mathematics </w:t>
      </w:r>
      <w:r w:rsidR="000C315C">
        <w:t xml:space="preserve">to </w:t>
      </w:r>
      <w:r w:rsidR="00F22C32">
        <w:t>USMTs</w:t>
      </w:r>
      <w:r w:rsidR="006E7185">
        <w:t xml:space="preserve">, </w:t>
      </w:r>
      <w:r w:rsidR="00F22C32">
        <w:t xml:space="preserve">there are two dimensions, </w:t>
      </w:r>
      <w:r w:rsidR="006E7185">
        <w:t xml:space="preserve">namely, </w:t>
      </w:r>
      <w:r w:rsidR="000B5B5A">
        <w:t xml:space="preserve">the </w:t>
      </w:r>
      <w:r w:rsidR="006E7185">
        <w:t xml:space="preserve">learning of mathematics as a domain (didactic level), and </w:t>
      </w:r>
      <w:r w:rsidR="00F275B7">
        <w:t>learning</w:t>
      </w:r>
      <w:r w:rsidR="000B5B5A">
        <w:t xml:space="preserve"> </w:t>
      </w:r>
      <w:r w:rsidR="00F275B7">
        <w:t xml:space="preserve">the </w:t>
      </w:r>
      <w:r w:rsidR="006E7185">
        <w:t>epistemolog</w:t>
      </w:r>
      <w:r w:rsidR="00F275B7">
        <w:t>y</w:t>
      </w:r>
      <w:r w:rsidR="006E7185">
        <w:t xml:space="preserve"> </w:t>
      </w:r>
      <w:r w:rsidR="00F275B7">
        <w:t xml:space="preserve">of didactics </w:t>
      </w:r>
      <w:r w:rsidR="006E7185">
        <w:t>(paradidactic level)</w:t>
      </w:r>
      <w:r w:rsidR="00F22C32">
        <w:t xml:space="preserve"> (</w:t>
      </w:r>
      <w:r w:rsidR="0035303E">
        <w:t>Otaki &amp; Asami-Johansson, 202</w:t>
      </w:r>
      <w:r w:rsidR="00BC38B3">
        <w:t>2</w:t>
      </w:r>
      <w:r w:rsidR="00F22C32">
        <w:t>)</w:t>
      </w:r>
      <w:r w:rsidR="002E4B62">
        <w:t xml:space="preserve">. On </w:t>
      </w:r>
      <w:r w:rsidR="001301FE">
        <w:t xml:space="preserve">a </w:t>
      </w:r>
      <w:r w:rsidR="002E4B62">
        <w:t xml:space="preserve">didactic level, </w:t>
      </w:r>
      <w:r w:rsidR="004352E7">
        <w:t>mathematicia</w:t>
      </w:r>
      <w:r w:rsidR="00F22C32">
        <w:t>ns</w:t>
      </w:r>
      <w:r w:rsidR="004352E7">
        <w:t xml:space="preserve"> </w:t>
      </w:r>
      <w:r w:rsidR="002E4B62">
        <w:t>perceive</w:t>
      </w:r>
      <w:r w:rsidR="004352E7">
        <w:t xml:space="preserve"> the position of </w:t>
      </w:r>
      <w:r w:rsidR="001301FE">
        <w:t xml:space="preserve">prospective </w:t>
      </w:r>
      <w:r w:rsidR="002E4B62">
        <w:t>teacher</w:t>
      </w:r>
      <w:r w:rsidR="004352E7">
        <w:t>s</w:t>
      </w:r>
      <w:r w:rsidR="002E4B62">
        <w:t xml:space="preserve"> as students</w:t>
      </w:r>
      <w:r w:rsidR="000B7F99">
        <w:t xml:space="preserve"> and </w:t>
      </w:r>
      <w:r w:rsidR="002E4B62">
        <w:t xml:space="preserve">focus on their need </w:t>
      </w:r>
      <w:r w:rsidR="000B7F99">
        <w:t xml:space="preserve">to </w:t>
      </w:r>
      <w:r w:rsidR="002E4B62">
        <w:t>master</w:t>
      </w:r>
      <w:r w:rsidR="00EE4A59">
        <w:t>, for example,</w:t>
      </w:r>
      <w:r w:rsidR="002E4B62">
        <w:t xml:space="preserve"> mathematical concepts. On </w:t>
      </w:r>
      <w:r w:rsidR="001301FE">
        <w:t xml:space="preserve">a </w:t>
      </w:r>
      <w:r w:rsidR="002E4B62">
        <w:t xml:space="preserve">paradidactic level, </w:t>
      </w:r>
      <w:r w:rsidR="004352E7">
        <w:t>teacher educator</w:t>
      </w:r>
      <w:r w:rsidR="00F22C32">
        <w:t>s</w:t>
      </w:r>
      <w:r w:rsidR="004352E7">
        <w:t xml:space="preserve"> (as an institutional position) </w:t>
      </w:r>
      <w:r w:rsidR="0038038B">
        <w:t>perceive the position of prospective teachers as teachers</w:t>
      </w:r>
      <w:r w:rsidR="002E4B62">
        <w:t>, focus</w:t>
      </w:r>
      <w:r w:rsidR="001301FE">
        <w:t>ing</w:t>
      </w:r>
      <w:r w:rsidR="002E4B62">
        <w:t xml:space="preserve"> on their </w:t>
      </w:r>
      <w:r w:rsidR="0038038B">
        <w:t>ability</w:t>
      </w:r>
      <w:r w:rsidR="002E4B62">
        <w:t xml:space="preserve"> to teach </w:t>
      </w:r>
      <w:r w:rsidR="0038038B">
        <w:t xml:space="preserve">future </w:t>
      </w:r>
      <w:r w:rsidR="002E4B62">
        <w:t xml:space="preserve">students the mathematical concepts. </w:t>
      </w:r>
      <w:r w:rsidR="00DD0004">
        <w:t>With</w:t>
      </w:r>
      <w:r w:rsidR="002E4B62">
        <w:t xml:space="preserve"> </w:t>
      </w:r>
      <w:r w:rsidR="00F22C32">
        <w:t>these two dimensions</w:t>
      </w:r>
      <w:r w:rsidR="002E4B62">
        <w:t xml:space="preserve"> in mind,</w:t>
      </w:r>
      <w:r w:rsidR="00DD0004">
        <w:t xml:space="preserve"> </w:t>
      </w:r>
      <w:r w:rsidR="002E4B62">
        <w:t xml:space="preserve">especially the paradidactic level, a guiding principle in </w:t>
      </w:r>
      <w:r w:rsidR="005F42DD">
        <w:t>our</w:t>
      </w:r>
      <w:r w:rsidR="002E4B62">
        <w:t xml:space="preserve"> revision was </w:t>
      </w:r>
      <w:r w:rsidR="00174EA2">
        <w:t xml:space="preserve">to </w:t>
      </w:r>
      <w:r w:rsidR="002E4B62">
        <w:t>includ</w:t>
      </w:r>
      <w:r w:rsidR="00174EA2">
        <w:t>e</w:t>
      </w:r>
      <w:r w:rsidR="002E4B62">
        <w:t xml:space="preserve"> mathematical concepts </w:t>
      </w:r>
      <w:r w:rsidR="00BA460C">
        <w:t xml:space="preserve">that are </w:t>
      </w:r>
      <w:r w:rsidR="00786F86">
        <w:t xml:space="preserve">known </w:t>
      </w:r>
      <w:r w:rsidR="00786F86">
        <w:lastRenderedPageBreak/>
        <w:t xml:space="preserve">from research and experience to be </w:t>
      </w:r>
      <w:r w:rsidR="002E4B62">
        <w:t xml:space="preserve">frequently misunderstood. </w:t>
      </w:r>
      <w:r w:rsidR="007C1944">
        <w:t>These include</w:t>
      </w:r>
      <w:r w:rsidR="002E4B62">
        <w:t xml:space="preserve"> the number system, logical reasoning, proofs, powers, roots, logarithms, and digital tools, including GeoGebra. We also included the concept </w:t>
      </w:r>
      <w:r w:rsidR="00963C8B">
        <w:t xml:space="preserve">of distance </w:t>
      </w:r>
      <w:r w:rsidR="002E4B62">
        <w:t xml:space="preserve">with some different metrics, as this would allow for examples that we expected </w:t>
      </w:r>
      <w:r w:rsidR="0001427C">
        <w:t xml:space="preserve">would be </w:t>
      </w:r>
      <w:r w:rsidR="00CA1410">
        <w:t>unfamiliar to the prospective</w:t>
      </w:r>
      <w:r w:rsidR="002E4B62">
        <w:t xml:space="preserve"> teachers</w:t>
      </w:r>
      <w:r w:rsidR="00CA1410">
        <w:t xml:space="preserve">. For </w:t>
      </w:r>
      <w:r w:rsidR="002E4B62">
        <w:t>example, we us</w:t>
      </w:r>
      <w:r w:rsidR="006629DB">
        <w:t xml:space="preserve">ed </w:t>
      </w:r>
      <w:r w:rsidR="00AD6828">
        <w:t>the</w:t>
      </w:r>
      <w:r w:rsidR="002E4B62">
        <w:t xml:space="preserve"> Manhattan metrics</w:t>
      </w:r>
      <w:r w:rsidR="00AD6828">
        <w:t xml:space="preserve"> to demonstrate that </w:t>
      </w:r>
      <w:r w:rsidR="002E4B62">
        <w:t>a circle does not look like the Euclidian circles we are used to</w:t>
      </w:r>
      <w:r w:rsidR="00D17985">
        <w:t xml:space="preserve">. </w:t>
      </w:r>
      <w:r w:rsidR="005425FB" w:rsidRPr="00EC2CE4">
        <w:rPr>
          <w:lang w:val="en-US"/>
        </w:rPr>
        <w:t>This was based on materials developed at Kleindagarna, which is an arena for meetings between mathematicians and upper secondary mathematics teachers</w:t>
      </w:r>
      <w:r w:rsidR="005425FB">
        <w:rPr>
          <w:lang w:val="en-US"/>
        </w:rPr>
        <w:t>, inspired by Felix Klein</w:t>
      </w:r>
      <w:r w:rsidR="005425FB" w:rsidRPr="00EC2CE4">
        <w:rPr>
          <w:lang w:val="en-US"/>
        </w:rPr>
        <w:t xml:space="preserve"> (Cronhjort &amp; Hagemann-Jensen, 2021).</w:t>
      </w:r>
      <w:r w:rsidR="005425FB">
        <w:rPr>
          <w:lang w:val="en-US"/>
        </w:rPr>
        <w:t xml:space="preserve"> I</w:t>
      </w:r>
      <w:r w:rsidR="005425FB" w:rsidRPr="000C773E">
        <w:rPr>
          <w:lang w:val="en-US"/>
        </w:rPr>
        <w:t>n the symposium</w:t>
      </w:r>
      <w:r w:rsidR="005425FB">
        <w:rPr>
          <w:lang w:val="en-US"/>
        </w:rPr>
        <w:t>,</w:t>
      </w:r>
      <w:r w:rsidR="005425FB" w:rsidRPr="000C773E">
        <w:rPr>
          <w:lang w:val="en-US"/>
        </w:rPr>
        <w:t xml:space="preserve"> we will </w:t>
      </w:r>
      <w:r w:rsidR="00290882">
        <w:rPr>
          <w:lang w:val="en-US"/>
        </w:rPr>
        <w:t>present</w:t>
      </w:r>
      <w:r w:rsidR="00290882" w:rsidRPr="000C773E">
        <w:rPr>
          <w:lang w:val="en-US"/>
        </w:rPr>
        <w:t xml:space="preserve"> </w:t>
      </w:r>
      <w:r w:rsidR="005425FB" w:rsidRPr="000C773E">
        <w:rPr>
          <w:lang w:val="en-US"/>
        </w:rPr>
        <w:t xml:space="preserve">examples </w:t>
      </w:r>
      <w:r w:rsidR="00DB69AD">
        <w:rPr>
          <w:lang w:val="en-US"/>
        </w:rPr>
        <w:t>from Kleindagarna</w:t>
      </w:r>
      <w:r w:rsidR="00DB69AD" w:rsidRPr="000C773E">
        <w:rPr>
          <w:lang w:val="en-US"/>
        </w:rPr>
        <w:t xml:space="preserve"> </w:t>
      </w:r>
      <w:r w:rsidR="005425FB" w:rsidRPr="000C773E">
        <w:rPr>
          <w:lang w:val="en-US"/>
        </w:rPr>
        <w:t xml:space="preserve">of how </w:t>
      </w:r>
      <w:r w:rsidR="005425FB">
        <w:rPr>
          <w:lang w:val="en-US"/>
        </w:rPr>
        <w:t>higher mathematics can enrich conceptual understanding in school mathematics.</w:t>
      </w:r>
    </w:p>
    <w:p w14:paraId="6AE34AD7" w14:textId="67AC0486" w:rsidR="005E0BD0" w:rsidRDefault="005E0BD0" w:rsidP="005E0BD0">
      <w:pPr>
        <w:pStyle w:val="Rubrik2"/>
      </w:pPr>
      <w:r>
        <w:t>Project 3</w:t>
      </w:r>
      <w:r w:rsidR="00DD0004">
        <w:t xml:space="preserve"> – Theoretical foundations of </w:t>
      </w:r>
      <w:r w:rsidR="00D5690B">
        <w:t xml:space="preserve">secondary school </w:t>
      </w:r>
      <w:r w:rsidR="00DD0004">
        <w:t>calculus</w:t>
      </w:r>
    </w:p>
    <w:p w14:paraId="6B0931AE" w14:textId="62593373" w:rsidR="0099571D" w:rsidRPr="0099571D" w:rsidRDefault="00305D9E" w:rsidP="000914F1">
      <w:pPr>
        <w:pStyle w:val="Brdtext"/>
      </w:pPr>
      <w:r w:rsidRPr="00305D9E">
        <w:t>At Linköping University, the undergraduate courses in mathematics (large lecture settings) and mathematics education (more intimate class settings) are generally taught separately but in parallel. However, two courses integrate mathematics and didactics: a course on mathematical modelling and "Calculus: Theoretical Foundations for Secondary Mathematics Teaching, 4hp". The main aim</w:t>
      </w:r>
      <w:r w:rsidR="00DD0004">
        <w:t>s</w:t>
      </w:r>
      <w:r w:rsidRPr="00305D9E">
        <w:t xml:space="preserve"> of th</w:t>
      </w:r>
      <w:r w:rsidR="00D970B1">
        <w:t>e</w:t>
      </w:r>
      <w:r w:rsidRPr="00305D9E">
        <w:t xml:space="preserve"> latter</w:t>
      </w:r>
      <w:r w:rsidR="004D665E">
        <w:t xml:space="preserve">, </w:t>
      </w:r>
      <w:r w:rsidRPr="00305D9E">
        <w:t>new</w:t>
      </w:r>
      <w:r w:rsidR="004D665E">
        <w:t>ly developed</w:t>
      </w:r>
      <w:r w:rsidRPr="00305D9E">
        <w:t xml:space="preserve"> course </w:t>
      </w:r>
      <w:r w:rsidR="00DD0004">
        <w:t>are</w:t>
      </w:r>
      <w:r w:rsidRPr="00305D9E">
        <w:t xml:space="preserve"> (i) </w:t>
      </w:r>
      <w:r w:rsidR="00683E30">
        <w:t xml:space="preserve">to </w:t>
      </w:r>
      <w:r w:rsidRPr="00305D9E">
        <w:t xml:space="preserve">provide a theoretical foundation for </w:t>
      </w:r>
      <w:r w:rsidR="004D665E">
        <w:t xml:space="preserve">parts of secondary school </w:t>
      </w:r>
      <w:r w:rsidRPr="00305D9E">
        <w:t xml:space="preserve">mathematics and (ii) </w:t>
      </w:r>
      <w:r w:rsidR="00683E30">
        <w:t xml:space="preserve">to </w:t>
      </w:r>
      <w:r w:rsidRPr="00305D9E">
        <w:t xml:space="preserve">give students the opportunity to </w:t>
      </w:r>
      <w:r w:rsidR="00683E30">
        <w:t>relate</w:t>
      </w:r>
      <w:r w:rsidR="00683E30" w:rsidRPr="00305D9E">
        <w:t xml:space="preserve"> </w:t>
      </w:r>
      <w:r w:rsidRPr="00305D9E">
        <w:t xml:space="preserve">and practice the content in a way that is relevant to their own future teaching practice. The course actively seeks to engage students in understanding and exploring their dual roles as learners and teachers of mathematics (cf. Bowers &amp; Doerr, 2001). The mathematical content focuses on fundamental theorems about sequences, supremum (infimum), limits, functions, (uniform) continuity, derivatives and integrals. The course </w:t>
      </w:r>
      <w:r w:rsidR="0042133C" w:rsidRPr="00305D9E">
        <w:t xml:space="preserve">examination </w:t>
      </w:r>
      <w:r w:rsidRPr="00305D9E">
        <w:t xml:space="preserve">is closely linked to ways of working as a practising teacher: (i) presenting solutions orally and in writing; (ii) providing comments and feedback on (fellow students') solutions; and (iii) designing a GeoGebra activity </w:t>
      </w:r>
      <w:r w:rsidR="004D665E">
        <w:t xml:space="preserve">intended </w:t>
      </w:r>
      <w:r w:rsidRPr="00305D9E">
        <w:t xml:space="preserve">for the upper secondary level that illustrates a central idea/notion/concept/technique of the course. In the case of this course, the developer and the teacher of the course are one and the same person, and his dual role as a mathematician and a </w:t>
      </w:r>
      <w:r w:rsidR="004D665E">
        <w:t>didactician</w:t>
      </w:r>
      <w:r w:rsidRPr="00305D9E">
        <w:t xml:space="preserve"> will be discussed and problematised in this symposium.</w:t>
      </w:r>
    </w:p>
    <w:p w14:paraId="6E33C1D8" w14:textId="5673354D" w:rsidR="005E0BD0" w:rsidRPr="005E0BD0" w:rsidRDefault="005E0BD0" w:rsidP="005E0BD0">
      <w:pPr>
        <w:pStyle w:val="Rubrik2"/>
      </w:pPr>
      <w:r>
        <w:t>Concluding remarks</w:t>
      </w:r>
    </w:p>
    <w:p w14:paraId="02C6F3AD" w14:textId="2B71D1BF" w:rsidR="005E0BD0" w:rsidRPr="005E0BD0" w:rsidRDefault="004E3254" w:rsidP="004E3254">
      <w:pPr>
        <w:pStyle w:val="Brdtext"/>
      </w:pPr>
      <w:r>
        <w:t xml:space="preserve">The projects presented above </w:t>
      </w:r>
      <w:r w:rsidR="00EE2165">
        <w:t xml:space="preserve">have </w:t>
      </w:r>
      <w:r>
        <w:t xml:space="preserve">obvious </w:t>
      </w:r>
      <w:r w:rsidR="00EE2165">
        <w:t xml:space="preserve">similarities </w:t>
      </w:r>
      <w:r>
        <w:t>but also display clear differences</w:t>
      </w:r>
      <w:r w:rsidR="004D665E">
        <w:t xml:space="preserve">. They all seek to engage prospective teachers </w:t>
      </w:r>
      <w:r w:rsidR="005E61D8">
        <w:t xml:space="preserve">in reflection on their dual roles, </w:t>
      </w:r>
      <w:r w:rsidR="004D665E">
        <w:t xml:space="preserve">both as students of mathematics </w:t>
      </w:r>
      <w:r w:rsidR="005E61D8">
        <w:t>and</w:t>
      </w:r>
      <w:r w:rsidR="004D665E">
        <w:t xml:space="preserve"> as future teachers</w:t>
      </w:r>
      <w:r w:rsidR="005E61D8">
        <w:t>. However,</w:t>
      </w:r>
      <w:r w:rsidR="004D665E">
        <w:t xml:space="preserve"> the institutional roles of the </w:t>
      </w:r>
      <w:r w:rsidR="005E61D8">
        <w:t>academics involved in the projects</w:t>
      </w:r>
      <w:r w:rsidR="004D665E">
        <w:t xml:space="preserve"> are different, which has implications for how the </w:t>
      </w:r>
      <w:r w:rsidR="00EE2165">
        <w:t>collab</w:t>
      </w:r>
      <w:r w:rsidR="003354C5">
        <w:t>oration</w:t>
      </w:r>
      <w:r w:rsidR="00EE2165">
        <w:t xml:space="preserve"> </w:t>
      </w:r>
      <w:r w:rsidR="004D665E">
        <w:t>takes shape in the different settings.</w:t>
      </w:r>
      <w:r w:rsidR="00DD0C43">
        <w:rPr>
          <w:color w:val="FF0000"/>
        </w:rPr>
        <w:t xml:space="preserve"> </w:t>
      </w:r>
      <w:r>
        <w:t>In the symposium, we aim to use the</w:t>
      </w:r>
      <w:r w:rsidR="005E61D8">
        <w:t>se projects</w:t>
      </w:r>
      <w:r>
        <w:t xml:space="preserve"> as starting points for a </w:t>
      </w:r>
      <w:r w:rsidR="002E2682">
        <w:t xml:space="preserve">deeper </w:t>
      </w:r>
      <w:r>
        <w:t xml:space="preserve">discussion </w:t>
      </w:r>
      <w:r w:rsidR="003022DF">
        <w:t xml:space="preserve">about </w:t>
      </w:r>
      <w:r>
        <w:t xml:space="preserve">how </w:t>
      </w:r>
      <w:r w:rsidR="003022DF">
        <w:t xml:space="preserve">to improve </w:t>
      </w:r>
      <w:r>
        <w:t xml:space="preserve">USMT education in Sweden, and </w:t>
      </w:r>
      <w:r w:rsidR="00081F76">
        <w:t xml:space="preserve">about </w:t>
      </w:r>
      <w:r>
        <w:t xml:space="preserve">the role that </w:t>
      </w:r>
      <w:r w:rsidR="00DD0C43">
        <w:t xml:space="preserve">mathematicians and </w:t>
      </w:r>
      <w:r w:rsidR="005E61D8">
        <w:t>didacticians</w:t>
      </w:r>
      <w:r w:rsidR="00DD0C43">
        <w:t xml:space="preserve"> can play in this work. </w:t>
      </w:r>
      <w:r w:rsidR="007057DE">
        <w:t xml:space="preserve">We believe </w:t>
      </w:r>
      <w:r w:rsidR="00DD0C43">
        <w:t xml:space="preserve">that </w:t>
      </w:r>
      <w:r w:rsidR="007057DE">
        <w:t xml:space="preserve">such a discussion </w:t>
      </w:r>
      <w:r w:rsidR="00DD0C43">
        <w:t xml:space="preserve">is long overdue </w:t>
      </w:r>
      <w:r w:rsidR="001234C3">
        <w:t>within the Swedish mathematics education community.</w:t>
      </w:r>
    </w:p>
    <w:p w14:paraId="6F203C91" w14:textId="618188DA" w:rsidR="00CE6A6A" w:rsidRDefault="00CE6A6A">
      <w:pPr>
        <w:pStyle w:val="Rubrik2"/>
      </w:pPr>
      <w:r>
        <w:lastRenderedPageBreak/>
        <w:t>References</w:t>
      </w:r>
    </w:p>
    <w:p w14:paraId="577588A7" w14:textId="77777777" w:rsidR="001D3C25" w:rsidRPr="00DE6D43" w:rsidRDefault="001D3C25" w:rsidP="001D3C25">
      <w:pPr>
        <w:pStyle w:val="References"/>
        <w:rPr>
          <w:szCs w:val="24"/>
        </w:rPr>
      </w:pPr>
      <w:r w:rsidRPr="00DE6D43">
        <w:rPr>
          <w:szCs w:val="24"/>
        </w:rPr>
        <w:t>Álvarez, J. A., Arnold, E. G., Burroughs, E. A., Fulton, E. W., &amp; Kercher, A. (2020). The design of tasks that address applications to teaching secondary mathematics for use in undergraduate mathematics courses. </w:t>
      </w:r>
      <w:r w:rsidRPr="00DE6D43">
        <w:rPr>
          <w:i/>
          <w:iCs/>
          <w:szCs w:val="24"/>
        </w:rPr>
        <w:t>The Journal of Mathematical Behavior</w:t>
      </w:r>
      <w:r w:rsidRPr="00DE6D43">
        <w:rPr>
          <w:szCs w:val="24"/>
        </w:rPr>
        <w:t>, </w:t>
      </w:r>
      <w:r w:rsidRPr="00DE6D43">
        <w:rPr>
          <w:i/>
          <w:iCs/>
          <w:szCs w:val="24"/>
        </w:rPr>
        <w:t>60</w:t>
      </w:r>
      <w:r w:rsidRPr="00DE6D43">
        <w:rPr>
          <w:szCs w:val="24"/>
        </w:rPr>
        <w:t>, 100814.</w:t>
      </w:r>
    </w:p>
    <w:p w14:paraId="6A5294C3" w14:textId="4BF7C35D" w:rsidR="00CA0714" w:rsidRPr="00DE6D43" w:rsidRDefault="00CA0714" w:rsidP="001D3C25">
      <w:pPr>
        <w:pStyle w:val="References"/>
        <w:rPr>
          <w:szCs w:val="24"/>
        </w:rPr>
      </w:pPr>
      <w:r w:rsidRPr="00DE6D43">
        <w:rPr>
          <w:szCs w:val="24"/>
        </w:rPr>
        <w:t>Bowers, J.,</w:t>
      </w:r>
      <w:r w:rsidR="00C7575A" w:rsidRPr="00DE6D43">
        <w:rPr>
          <w:szCs w:val="24"/>
        </w:rPr>
        <w:t xml:space="preserve"> &amp;</w:t>
      </w:r>
      <w:r w:rsidRPr="00DE6D43">
        <w:rPr>
          <w:szCs w:val="24"/>
        </w:rPr>
        <w:t xml:space="preserve"> Doerr, H.</w:t>
      </w:r>
      <w:r w:rsidR="003636D6" w:rsidRPr="00DE6D43">
        <w:rPr>
          <w:szCs w:val="24"/>
        </w:rPr>
        <w:t xml:space="preserve"> </w:t>
      </w:r>
      <w:r w:rsidRPr="00DE6D43">
        <w:rPr>
          <w:szCs w:val="24"/>
        </w:rPr>
        <w:t>M.</w:t>
      </w:r>
      <w:r w:rsidR="003636D6" w:rsidRPr="00DE6D43">
        <w:rPr>
          <w:szCs w:val="24"/>
        </w:rPr>
        <w:t xml:space="preserve"> (2001).</w:t>
      </w:r>
      <w:r w:rsidRPr="00DE6D43">
        <w:rPr>
          <w:szCs w:val="24"/>
        </w:rPr>
        <w:t xml:space="preserve"> An </w:t>
      </w:r>
      <w:r w:rsidR="00C7575A" w:rsidRPr="00DE6D43">
        <w:rPr>
          <w:szCs w:val="24"/>
        </w:rPr>
        <w:t>a</w:t>
      </w:r>
      <w:r w:rsidRPr="00DE6D43">
        <w:rPr>
          <w:szCs w:val="24"/>
        </w:rPr>
        <w:t xml:space="preserve">nalysis of </w:t>
      </w:r>
      <w:r w:rsidR="00C7575A" w:rsidRPr="00DE6D43">
        <w:rPr>
          <w:szCs w:val="24"/>
        </w:rPr>
        <w:t>p</w:t>
      </w:r>
      <w:r w:rsidRPr="00DE6D43">
        <w:rPr>
          <w:szCs w:val="24"/>
        </w:rPr>
        <w:t xml:space="preserve">rospective </w:t>
      </w:r>
      <w:r w:rsidR="00C7575A" w:rsidRPr="00DE6D43">
        <w:rPr>
          <w:szCs w:val="24"/>
        </w:rPr>
        <w:t>t</w:t>
      </w:r>
      <w:r w:rsidRPr="00DE6D43">
        <w:rPr>
          <w:szCs w:val="24"/>
        </w:rPr>
        <w:t xml:space="preserve">eachers' </w:t>
      </w:r>
      <w:r w:rsidR="00C7575A" w:rsidRPr="00DE6D43">
        <w:rPr>
          <w:szCs w:val="24"/>
        </w:rPr>
        <w:t>d</w:t>
      </w:r>
      <w:r w:rsidRPr="00DE6D43">
        <w:rPr>
          <w:szCs w:val="24"/>
        </w:rPr>
        <w:t xml:space="preserve">ual </w:t>
      </w:r>
      <w:r w:rsidR="00C7575A" w:rsidRPr="00DE6D43">
        <w:rPr>
          <w:szCs w:val="24"/>
        </w:rPr>
        <w:t>r</w:t>
      </w:r>
      <w:r w:rsidRPr="00DE6D43">
        <w:rPr>
          <w:szCs w:val="24"/>
        </w:rPr>
        <w:t xml:space="preserve">oles in </w:t>
      </w:r>
      <w:r w:rsidR="00C7575A" w:rsidRPr="00DE6D43">
        <w:rPr>
          <w:szCs w:val="24"/>
        </w:rPr>
        <w:t>u</w:t>
      </w:r>
      <w:r w:rsidRPr="00DE6D43">
        <w:rPr>
          <w:szCs w:val="24"/>
        </w:rPr>
        <w:t xml:space="preserve">nderstanding the </w:t>
      </w:r>
      <w:r w:rsidR="00C7575A" w:rsidRPr="00DE6D43">
        <w:rPr>
          <w:szCs w:val="24"/>
        </w:rPr>
        <w:t>m</w:t>
      </w:r>
      <w:r w:rsidRPr="00DE6D43">
        <w:rPr>
          <w:szCs w:val="24"/>
        </w:rPr>
        <w:t xml:space="preserve">athematics of </w:t>
      </w:r>
      <w:r w:rsidR="00C7575A" w:rsidRPr="00DE6D43">
        <w:rPr>
          <w:szCs w:val="24"/>
        </w:rPr>
        <w:t>c</w:t>
      </w:r>
      <w:r w:rsidRPr="00DE6D43">
        <w:rPr>
          <w:szCs w:val="24"/>
        </w:rPr>
        <w:t xml:space="preserve">hange: Eliciting </w:t>
      </w:r>
      <w:r w:rsidR="00C7575A" w:rsidRPr="00DE6D43">
        <w:rPr>
          <w:szCs w:val="24"/>
        </w:rPr>
        <w:t>g</w:t>
      </w:r>
      <w:r w:rsidRPr="00DE6D43">
        <w:rPr>
          <w:szCs w:val="24"/>
        </w:rPr>
        <w:t xml:space="preserve">rowth </w:t>
      </w:r>
      <w:r w:rsidR="00C7575A" w:rsidRPr="00DE6D43">
        <w:rPr>
          <w:szCs w:val="24"/>
        </w:rPr>
        <w:t>w</w:t>
      </w:r>
      <w:r w:rsidRPr="00DE6D43">
        <w:rPr>
          <w:szCs w:val="24"/>
        </w:rPr>
        <w:t xml:space="preserve">ith </w:t>
      </w:r>
      <w:r w:rsidR="00C7575A" w:rsidRPr="00DE6D43">
        <w:rPr>
          <w:szCs w:val="24"/>
        </w:rPr>
        <w:t>t</w:t>
      </w:r>
      <w:r w:rsidRPr="00DE6D43">
        <w:rPr>
          <w:szCs w:val="24"/>
        </w:rPr>
        <w:t>echnology. </w:t>
      </w:r>
      <w:r w:rsidRPr="00DE6D43">
        <w:rPr>
          <w:i/>
          <w:iCs/>
          <w:szCs w:val="24"/>
        </w:rPr>
        <w:t>Journal of Mathematics Teacher Education</w:t>
      </w:r>
      <w:r w:rsidRPr="00DE6D43">
        <w:rPr>
          <w:szCs w:val="24"/>
        </w:rPr>
        <w:t>,</w:t>
      </w:r>
      <w:r w:rsidR="00B17D91" w:rsidRPr="00DE6D43">
        <w:rPr>
          <w:szCs w:val="24"/>
        </w:rPr>
        <w:t xml:space="preserve"> </w:t>
      </w:r>
      <w:r w:rsidR="00B17D91" w:rsidRPr="00DE6D43">
        <w:rPr>
          <w:i/>
          <w:iCs/>
          <w:szCs w:val="24"/>
        </w:rPr>
        <w:t>4</w:t>
      </w:r>
      <w:r w:rsidR="00B17D91" w:rsidRPr="00DE6D43">
        <w:rPr>
          <w:szCs w:val="24"/>
        </w:rPr>
        <w:t>(3)</w:t>
      </w:r>
      <w:r w:rsidRPr="00DE6D43">
        <w:rPr>
          <w:szCs w:val="24"/>
        </w:rPr>
        <w:t>1</w:t>
      </w:r>
      <w:r w:rsidR="00C7575A" w:rsidRPr="00DE6D43">
        <w:rPr>
          <w:szCs w:val="24"/>
        </w:rPr>
        <w:t xml:space="preserve">, </w:t>
      </w:r>
      <w:r w:rsidRPr="00DE6D43">
        <w:rPr>
          <w:szCs w:val="24"/>
        </w:rPr>
        <w:t>15–137.</w:t>
      </w:r>
    </w:p>
    <w:p w14:paraId="06D3C8F9" w14:textId="77777777" w:rsidR="003636D6" w:rsidRPr="00DE6D43" w:rsidRDefault="007E5DF0" w:rsidP="003636D6">
      <w:pPr>
        <w:pStyle w:val="References"/>
        <w:rPr>
          <w:szCs w:val="24"/>
          <w:lang w:val="en-US"/>
        </w:rPr>
      </w:pPr>
      <w:r w:rsidRPr="00DE6D43">
        <w:rPr>
          <w:szCs w:val="24"/>
        </w:rPr>
        <w:t xml:space="preserve">Buchbinder, O., Wasserman, N.H., &amp; Buchholtz, N. (2023). Exploring and strengthening university mathematics courses for secondary teacher preparation [Special issue]. </w:t>
      </w:r>
      <w:r w:rsidRPr="00DE6D43">
        <w:rPr>
          <w:i/>
          <w:szCs w:val="24"/>
          <w:lang w:val="en-US"/>
        </w:rPr>
        <w:t>ZDM, 55</w:t>
      </w:r>
      <w:r w:rsidRPr="00DE6D43">
        <w:rPr>
          <w:szCs w:val="24"/>
          <w:lang w:val="en-US"/>
        </w:rPr>
        <w:t>(4).</w:t>
      </w:r>
    </w:p>
    <w:p w14:paraId="63FB78BB" w14:textId="77777777" w:rsidR="00AE0B1D" w:rsidRPr="00AE0B1D" w:rsidRDefault="00AE0B1D" w:rsidP="00AE0B1D">
      <w:pPr>
        <w:pStyle w:val="References"/>
        <w:rPr>
          <w:szCs w:val="24"/>
        </w:rPr>
      </w:pPr>
      <w:r w:rsidRPr="00AE0B1D">
        <w:rPr>
          <w:szCs w:val="24"/>
        </w:rPr>
        <w:t xml:space="preserve">Chevallard, Y. (2022). Challenges and advances in teacher education within the ATD. </w:t>
      </w:r>
      <w:r w:rsidRPr="00AE0B1D">
        <w:rPr>
          <w:szCs w:val="24"/>
          <w:lang w:val="en-US"/>
        </w:rPr>
        <w:t xml:space="preserve">In Y. </w:t>
      </w:r>
      <w:r w:rsidRPr="00AE0B1D">
        <w:rPr>
          <w:szCs w:val="24"/>
        </w:rPr>
        <w:t xml:space="preserve">Chevallard, </w:t>
      </w:r>
      <w:r w:rsidRPr="00AE0B1D">
        <w:rPr>
          <w:iCs/>
          <w:szCs w:val="24"/>
          <w:lang w:val="en-US"/>
        </w:rPr>
        <w:t>B. Barquero, M. Bosch, I. Florensa, J. Gascón, P. Nicolás, &amp; N. Ruis-Munzon</w:t>
      </w:r>
      <w:r w:rsidRPr="00AE0B1D">
        <w:rPr>
          <w:szCs w:val="24"/>
        </w:rPr>
        <w:t xml:space="preserve">. (Eds.), </w:t>
      </w:r>
      <w:r w:rsidRPr="00AE0B1D">
        <w:rPr>
          <w:i/>
          <w:iCs/>
          <w:szCs w:val="24"/>
        </w:rPr>
        <w:t>Advances in the anthropological theory of the didactic</w:t>
      </w:r>
      <w:r w:rsidRPr="00AE0B1D">
        <w:rPr>
          <w:szCs w:val="24"/>
        </w:rPr>
        <w:t xml:space="preserve"> (pp. 81–89). Birkhäuser. </w:t>
      </w:r>
    </w:p>
    <w:p w14:paraId="6FF3C0E4" w14:textId="2C5AC117" w:rsidR="0038038B" w:rsidRPr="00DE6D43" w:rsidRDefault="0038038B" w:rsidP="00D74773">
      <w:pPr>
        <w:pStyle w:val="References"/>
        <w:rPr>
          <w:szCs w:val="24"/>
          <w:lang w:val="sv-SE"/>
        </w:rPr>
      </w:pPr>
      <w:r w:rsidRPr="00DE6D43">
        <w:rPr>
          <w:szCs w:val="24"/>
          <w:lang w:val="sv-SE"/>
        </w:rPr>
        <w:t xml:space="preserve">Cronhjort, M., &amp; Hagemann-Jensen, M. (2021). Avstånd med olika metriker. </w:t>
      </w:r>
      <w:r w:rsidRPr="00DE6D43">
        <w:rPr>
          <w:i/>
          <w:iCs/>
          <w:szCs w:val="24"/>
          <w:lang w:val="sv-SE"/>
        </w:rPr>
        <w:t>NCM / Nämnaren</w:t>
      </w:r>
      <w:r w:rsidRPr="00DE6D43">
        <w:rPr>
          <w:szCs w:val="24"/>
          <w:lang w:val="sv-SE"/>
        </w:rPr>
        <w:t xml:space="preserve">, (1), </w:t>
      </w:r>
      <w:r w:rsidR="00AE0B1D" w:rsidRPr="00DE6D43">
        <w:rPr>
          <w:szCs w:val="24"/>
          <w:lang w:val="sv-SE"/>
        </w:rPr>
        <w:t>44–50</w:t>
      </w:r>
      <w:r w:rsidRPr="00DE6D43">
        <w:rPr>
          <w:szCs w:val="24"/>
          <w:lang w:val="sv-SE"/>
        </w:rPr>
        <w:t xml:space="preserve">. </w:t>
      </w:r>
    </w:p>
    <w:p w14:paraId="3D2BB091" w14:textId="0AE435E1" w:rsidR="00D74773" w:rsidRPr="00DE6D43" w:rsidRDefault="00D74773" w:rsidP="00D74773">
      <w:pPr>
        <w:pStyle w:val="References"/>
        <w:rPr>
          <w:szCs w:val="24"/>
          <w:lang w:val="sv-SE"/>
        </w:rPr>
      </w:pPr>
      <w:r w:rsidRPr="00DE6D43">
        <w:rPr>
          <w:szCs w:val="24"/>
        </w:rPr>
        <w:t>Dreher, A., Lindmeier, A., Heinze, A., &amp; Niemand, C. (2018). What kind of content knowledge do secondary mathematics teachers need? </w:t>
      </w:r>
      <w:r w:rsidRPr="00DE6D43">
        <w:rPr>
          <w:i/>
          <w:iCs/>
          <w:szCs w:val="24"/>
          <w:lang w:val="sv-SE"/>
        </w:rPr>
        <w:t>Journal für Mathematik-Didaktik</w:t>
      </w:r>
      <w:r w:rsidRPr="00DE6D43">
        <w:rPr>
          <w:szCs w:val="24"/>
          <w:lang w:val="sv-SE"/>
        </w:rPr>
        <w:t>, </w:t>
      </w:r>
      <w:r w:rsidRPr="00DE6D43">
        <w:rPr>
          <w:i/>
          <w:iCs/>
          <w:szCs w:val="24"/>
          <w:lang w:val="sv-SE"/>
        </w:rPr>
        <w:t>39</w:t>
      </w:r>
      <w:r w:rsidRPr="00DE6D43">
        <w:rPr>
          <w:szCs w:val="24"/>
          <w:lang w:val="sv-SE"/>
        </w:rPr>
        <w:t xml:space="preserve">(2), </w:t>
      </w:r>
      <w:r w:rsidR="00BA3AFC" w:rsidRPr="00DE6D43">
        <w:rPr>
          <w:szCs w:val="24"/>
          <w:lang w:val="sv-SE"/>
        </w:rPr>
        <w:t>319–341</w:t>
      </w:r>
      <w:r w:rsidRPr="00DE6D43">
        <w:rPr>
          <w:szCs w:val="24"/>
          <w:lang w:val="sv-SE"/>
        </w:rPr>
        <w:t>.</w:t>
      </w:r>
    </w:p>
    <w:p w14:paraId="23EFF3C4" w14:textId="77777777" w:rsidR="00D74773" w:rsidRPr="00DE6D43" w:rsidRDefault="00D74773" w:rsidP="00D74773">
      <w:pPr>
        <w:pStyle w:val="References"/>
        <w:rPr>
          <w:szCs w:val="24"/>
        </w:rPr>
      </w:pPr>
      <w:r w:rsidRPr="00DE6D43">
        <w:rPr>
          <w:szCs w:val="24"/>
          <w:lang w:val="sv-SE"/>
        </w:rPr>
        <w:t xml:space="preserve">Leikin, R., Zazkis, R., &amp; Meller, M. (2018). </w:t>
      </w:r>
      <w:r w:rsidRPr="00DE6D43">
        <w:rPr>
          <w:szCs w:val="24"/>
        </w:rPr>
        <w:t>Research mathematicians as teacher educators: Focusing on mathematics for secondary mathematics teachers. </w:t>
      </w:r>
      <w:r w:rsidRPr="00DE6D43">
        <w:rPr>
          <w:i/>
          <w:iCs/>
          <w:szCs w:val="24"/>
        </w:rPr>
        <w:t>Journal of Mathematics Teacher Education</w:t>
      </w:r>
      <w:r w:rsidRPr="00DE6D43">
        <w:rPr>
          <w:szCs w:val="24"/>
        </w:rPr>
        <w:t>, </w:t>
      </w:r>
      <w:r w:rsidRPr="00DE6D43">
        <w:rPr>
          <w:i/>
          <w:iCs/>
          <w:szCs w:val="24"/>
        </w:rPr>
        <w:t>21</w:t>
      </w:r>
      <w:r w:rsidRPr="00DE6D43">
        <w:rPr>
          <w:szCs w:val="24"/>
        </w:rPr>
        <w:t>(5), 451-473.</w:t>
      </w:r>
    </w:p>
    <w:p w14:paraId="6A770CD3" w14:textId="77777777" w:rsidR="00AE0B1D" w:rsidRPr="00AE0B1D" w:rsidRDefault="00AE0B1D" w:rsidP="00AE0B1D">
      <w:pPr>
        <w:ind w:left="426" w:hanging="426"/>
        <w:rPr>
          <w:color w:val="333333"/>
          <w:sz w:val="24"/>
          <w:szCs w:val="24"/>
          <w:shd w:val="clear" w:color="auto" w:fill="FCFCFC"/>
        </w:rPr>
      </w:pPr>
      <w:r w:rsidRPr="00AE0B1D">
        <w:rPr>
          <w:color w:val="333333"/>
          <w:sz w:val="24"/>
          <w:szCs w:val="24"/>
          <w:shd w:val="clear" w:color="auto" w:fill="FCFCFC"/>
          <w:lang w:val="en-US"/>
        </w:rPr>
        <w:t>Otaki, K., &amp; Asami-Johansson, Y. (2022). Exploring the Paradidactic Ecosystem: Conditions and Constraints on the Teaching Profession. In Y. Chevallard, </w:t>
      </w:r>
      <w:r w:rsidRPr="00AE0B1D">
        <w:rPr>
          <w:iCs/>
          <w:color w:val="333333"/>
          <w:sz w:val="24"/>
          <w:szCs w:val="24"/>
          <w:shd w:val="clear" w:color="auto" w:fill="FCFCFC"/>
          <w:lang w:val="en-US"/>
        </w:rPr>
        <w:t>B. Barquero, M. Bosch, I. Florensa, J. Gascón, P. Nicolás, &amp; N. Ruis-Munzon (Eds.),</w:t>
      </w:r>
      <w:r w:rsidRPr="00AE0B1D">
        <w:rPr>
          <w:i/>
          <w:iCs/>
          <w:color w:val="333333"/>
          <w:sz w:val="24"/>
          <w:szCs w:val="24"/>
          <w:shd w:val="clear" w:color="auto" w:fill="FCFCFC"/>
          <w:lang w:val="en-US"/>
        </w:rPr>
        <w:t xml:space="preserve"> Advances in the Anthropological Theory of the Didactic </w:t>
      </w:r>
      <w:r w:rsidRPr="00AE0B1D">
        <w:rPr>
          <w:iCs/>
          <w:color w:val="333333"/>
          <w:sz w:val="24"/>
          <w:szCs w:val="24"/>
          <w:shd w:val="clear" w:color="auto" w:fill="FCFCFC"/>
          <w:lang w:val="en-US"/>
        </w:rPr>
        <w:t>(pp. 155-163)</w:t>
      </w:r>
      <w:r w:rsidRPr="00AE0B1D">
        <w:rPr>
          <w:color w:val="333333"/>
          <w:sz w:val="24"/>
          <w:szCs w:val="24"/>
          <w:shd w:val="clear" w:color="auto" w:fill="FCFCFC"/>
          <w:lang w:val="en-US"/>
        </w:rPr>
        <w:t xml:space="preserve">. </w:t>
      </w:r>
      <w:r w:rsidRPr="00AE0B1D">
        <w:rPr>
          <w:color w:val="333333"/>
          <w:sz w:val="24"/>
          <w:szCs w:val="24"/>
          <w:shd w:val="clear" w:color="auto" w:fill="FCFCFC"/>
        </w:rPr>
        <w:t>Birkhäuser.</w:t>
      </w:r>
      <w:r w:rsidRPr="00AE0B1D" w:rsidDel="008F270E">
        <w:rPr>
          <w:color w:val="333333"/>
          <w:sz w:val="24"/>
          <w:szCs w:val="24"/>
          <w:shd w:val="clear" w:color="auto" w:fill="FCFCFC"/>
        </w:rPr>
        <w:t xml:space="preserve"> </w:t>
      </w:r>
    </w:p>
    <w:p w14:paraId="7BA2BC91" w14:textId="7CB8F2FC" w:rsidR="00BA3AFC" w:rsidRPr="00AE0B1D" w:rsidRDefault="00BA3AFC" w:rsidP="008F270E">
      <w:pPr>
        <w:ind w:left="426" w:hanging="426"/>
        <w:rPr>
          <w:bCs/>
          <w:sz w:val="24"/>
          <w:szCs w:val="24"/>
        </w:rPr>
      </w:pPr>
      <w:r w:rsidRPr="00AE0B1D">
        <w:rPr>
          <w:bCs/>
          <w:sz w:val="24"/>
          <w:szCs w:val="24"/>
          <w:lang w:val="en-US"/>
        </w:rPr>
        <w:t xml:space="preserve">Viirman, O. &amp; Jacobsson, M. (2022). Teacher learning from team teaching an advanced course in mathematics and didactics for prospective upper secondary teachers. In M. Trigueros, B. Barquero, R. Hochmuth &amp; J. Peters (Eds.), </w:t>
      </w:r>
      <w:r w:rsidRPr="00AE0B1D">
        <w:rPr>
          <w:bCs/>
          <w:i/>
          <w:sz w:val="24"/>
          <w:szCs w:val="24"/>
          <w:lang w:val="en-US"/>
        </w:rPr>
        <w:t>Proceedings of INDRUM 2022 – Fourth conference of the International Network for Didactic Research in University Mathematics Education</w:t>
      </w:r>
      <w:r w:rsidRPr="00AE0B1D">
        <w:rPr>
          <w:bCs/>
          <w:sz w:val="24"/>
          <w:szCs w:val="24"/>
          <w:lang w:val="en-US"/>
        </w:rPr>
        <w:t xml:space="preserve"> (pp. 548</w:t>
      </w:r>
      <w:r w:rsidRPr="00AE0B1D">
        <w:rPr>
          <w:bCs/>
          <w:sz w:val="24"/>
          <w:szCs w:val="24"/>
        </w:rPr>
        <w:t>–</w:t>
      </w:r>
      <w:r w:rsidRPr="00AE0B1D">
        <w:rPr>
          <w:bCs/>
          <w:sz w:val="24"/>
          <w:szCs w:val="24"/>
          <w:lang w:val="en-US"/>
        </w:rPr>
        <w:t xml:space="preserve">557). </w:t>
      </w:r>
      <w:r w:rsidRPr="00AE0B1D">
        <w:rPr>
          <w:bCs/>
          <w:sz w:val="24"/>
          <w:szCs w:val="24"/>
        </w:rPr>
        <w:t>Hannover: University of Hannover &amp; INDRUM.</w:t>
      </w:r>
    </w:p>
    <w:p w14:paraId="290960DC" w14:textId="77777777" w:rsidR="001234C3" w:rsidRPr="00DE6D43" w:rsidRDefault="001234C3" w:rsidP="001234C3">
      <w:pPr>
        <w:pStyle w:val="References"/>
        <w:rPr>
          <w:szCs w:val="24"/>
        </w:rPr>
      </w:pPr>
      <w:r w:rsidRPr="00DE6D43">
        <w:rPr>
          <w:szCs w:val="24"/>
        </w:rPr>
        <w:t>Wasserman, N. H., Fukawa-Connelly, T., Villanueva, M., Mejia-Ramos, J. P., &amp; Weber, K. (2017). Making real analysis relevant to secondary teachers: Building up from and stepping down to practice. </w:t>
      </w:r>
      <w:r w:rsidRPr="00DE6D43">
        <w:rPr>
          <w:i/>
          <w:iCs/>
          <w:szCs w:val="24"/>
        </w:rPr>
        <w:t>Primus</w:t>
      </w:r>
      <w:r w:rsidRPr="00DE6D43">
        <w:rPr>
          <w:szCs w:val="24"/>
        </w:rPr>
        <w:t>, </w:t>
      </w:r>
      <w:r w:rsidRPr="00DE6D43">
        <w:rPr>
          <w:i/>
          <w:iCs/>
          <w:szCs w:val="24"/>
        </w:rPr>
        <w:t>27</w:t>
      </w:r>
      <w:r w:rsidRPr="00DE6D43">
        <w:rPr>
          <w:szCs w:val="24"/>
        </w:rPr>
        <w:t>(6), 559–578.</w:t>
      </w:r>
    </w:p>
    <w:p w14:paraId="4B36E50B" w14:textId="77777777" w:rsidR="005E0BD0" w:rsidRPr="00DE6D43" w:rsidRDefault="005E0BD0" w:rsidP="005E0BD0">
      <w:pPr>
        <w:pStyle w:val="References"/>
        <w:rPr>
          <w:szCs w:val="24"/>
        </w:rPr>
      </w:pPr>
      <w:r w:rsidRPr="00DE6D43">
        <w:rPr>
          <w:szCs w:val="24"/>
        </w:rPr>
        <w:t>Wasserman, N., Weber, K., Villanueva, M., &amp; Mejia-Ramos, J. P. (2018). Mathematics teachers’ views about the limited utility of real analysis: A transport model hypothesis. </w:t>
      </w:r>
      <w:r w:rsidRPr="00DE6D43">
        <w:rPr>
          <w:i/>
          <w:iCs/>
          <w:szCs w:val="24"/>
        </w:rPr>
        <w:t>The Journal of Mathematical Behavior</w:t>
      </w:r>
      <w:r w:rsidRPr="00DE6D43">
        <w:rPr>
          <w:szCs w:val="24"/>
        </w:rPr>
        <w:t>, </w:t>
      </w:r>
      <w:r w:rsidRPr="00DE6D43">
        <w:rPr>
          <w:i/>
          <w:iCs/>
          <w:szCs w:val="24"/>
        </w:rPr>
        <w:t>50</w:t>
      </w:r>
      <w:r w:rsidRPr="00DE6D43">
        <w:rPr>
          <w:szCs w:val="24"/>
        </w:rPr>
        <w:t>, 74–89.</w:t>
      </w:r>
    </w:p>
    <w:p w14:paraId="53DF34D0" w14:textId="77777777" w:rsidR="005E2CEB" w:rsidRPr="00DE6D43" w:rsidRDefault="005E2CEB" w:rsidP="005E2CEB">
      <w:pPr>
        <w:pStyle w:val="References"/>
        <w:rPr>
          <w:szCs w:val="24"/>
        </w:rPr>
      </w:pPr>
      <w:r w:rsidRPr="00DE6D43">
        <w:rPr>
          <w:szCs w:val="24"/>
        </w:rPr>
        <w:t xml:space="preserve">Winsløw, C., &amp; Grønbæk, N. (2014). Klein's double discontinuity revisited: contemporary challenges for universities preparing teachers to teach calculus. </w:t>
      </w:r>
      <w:r w:rsidRPr="00DE6D43">
        <w:rPr>
          <w:i/>
          <w:szCs w:val="24"/>
        </w:rPr>
        <w:t>Recherches en Didactique des Mathématiques, 34(</w:t>
      </w:r>
      <w:r w:rsidRPr="00DE6D43">
        <w:rPr>
          <w:szCs w:val="24"/>
        </w:rPr>
        <w:t>1), 59</w:t>
      </w:r>
      <w:r w:rsidRPr="00DE6D43">
        <w:rPr>
          <w:szCs w:val="24"/>
          <w:lang w:val="en-US"/>
        </w:rPr>
        <w:t>–</w:t>
      </w:r>
      <w:r w:rsidRPr="00DE6D43">
        <w:rPr>
          <w:szCs w:val="24"/>
        </w:rPr>
        <w:t>86.</w:t>
      </w:r>
    </w:p>
    <w:p w14:paraId="5923B3F7" w14:textId="77777777" w:rsidR="00D74773" w:rsidRPr="00DE6D43" w:rsidRDefault="00D74773" w:rsidP="00D74773">
      <w:pPr>
        <w:pStyle w:val="References"/>
        <w:rPr>
          <w:szCs w:val="24"/>
        </w:rPr>
      </w:pPr>
      <w:r w:rsidRPr="00DE6D43">
        <w:rPr>
          <w:szCs w:val="24"/>
        </w:rPr>
        <w:t>Yan, X., Marmur, O., &amp; Zazkis, R. (2020). Calculus for teachers: Perspectives and considerations of mathematicians. </w:t>
      </w:r>
      <w:r w:rsidRPr="00DE6D43">
        <w:rPr>
          <w:i/>
          <w:iCs/>
          <w:szCs w:val="24"/>
        </w:rPr>
        <w:t>Canadian Journal of Science, Mathematics and Technology Education</w:t>
      </w:r>
      <w:r w:rsidRPr="00DE6D43">
        <w:rPr>
          <w:szCs w:val="24"/>
        </w:rPr>
        <w:t>, </w:t>
      </w:r>
      <w:r w:rsidRPr="00DE6D43">
        <w:rPr>
          <w:i/>
          <w:iCs/>
          <w:szCs w:val="24"/>
        </w:rPr>
        <w:t>20</w:t>
      </w:r>
      <w:r w:rsidRPr="00DE6D43">
        <w:rPr>
          <w:szCs w:val="24"/>
        </w:rPr>
        <w:t>, 355</w:t>
      </w:r>
      <w:r w:rsidRPr="00DE6D43">
        <w:rPr>
          <w:i/>
          <w:szCs w:val="24"/>
        </w:rPr>
        <w:t>–</w:t>
      </w:r>
      <w:r w:rsidRPr="00DE6D43">
        <w:rPr>
          <w:szCs w:val="24"/>
        </w:rPr>
        <w:t>374.</w:t>
      </w:r>
    </w:p>
    <w:p w14:paraId="557BFED7" w14:textId="16936B02" w:rsidR="009A0660" w:rsidRPr="00DE6D43" w:rsidRDefault="005E0BD0" w:rsidP="008F270E">
      <w:pPr>
        <w:pStyle w:val="References"/>
        <w:rPr>
          <w:szCs w:val="24"/>
        </w:rPr>
      </w:pPr>
      <w:r w:rsidRPr="00DE6D43">
        <w:rPr>
          <w:szCs w:val="24"/>
        </w:rPr>
        <w:t>Zazkis, R., &amp; Leikin, R. (2010). Advanced mathematical knowledge in teaching practice: Perceptions of secondary mathematics teachers. </w:t>
      </w:r>
      <w:r w:rsidRPr="00DE6D43">
        <w:rPr>
          <w:i/>
          <w:iCs/>
          <w:szCs w:val="24"/>
        </w:rPr>
        <w:t>Mathematical Thinking and Learning</w:t>
      </w:r>
      <w:r w:rsidRPr="00DE6D43">
        <w:rPr>
          <w:szCs w:val="24"/>
        </w:rPr>
        <w:t>, </w:t>
      </w:r>
      <w:r w:rsidRPr="00DE6D43">
        <w:rPr>
          <w:i/>
          <w:iCs/>
          <w:szCs w:val="24"/>
        </w:rPr>
        <w:t>12</w:t>
      </w:r>
      <w:r w:rsidRPr="00DE6D43">
        <w:rPr>
          <w:szCs w:val="24"/>
        </w:rPr>
        <w:t>(4), 263–281.</w:t>
      </w:r>
    </w:p>
    <w:sectPr w:rsidR="009A0660" w:rsidRPr="00DE6D43" w:rsidSect="000761F4">
      <w:headerReference w:type="default" r:id="rId8"/>
      <w:footerReference w:type="even" r:id="rId9"/>
      <w:footerReference w:type="default" r:id="rId10"/>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8CAA" w14:textId="77777777" w:rsidR="00F068A7" w:rsidRDefault="00F068A7">
      <w:pPr>
        <w:spacing w:line="240" w:lineRule="auto"/>
      </w:pPr>
      <w:r>
        <w:separator/>
      </w:r>
    </w:p>
  </w:endnote>
  <w:endnote w:type="continuationSeparator" w:id="0">
    <w:p w14:paraId="0969F177" w14:textId="77777777" w:rsidR="00F068A7" w:rsidRDefault="00F06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17510" w14:textId="77777777" w:rsidR="00F068A7" w:rsidRDefault="00F068A7">
      <w:pPr>
        <w:spacing w:line="240" w:lineRule="auto"/>
      </w:pPr>
      <w:r>
        <w:separator/>
      </w:r>
    </w:p>
  </w:footnote>
  <w:footnote w:type="continuationSeparator" w:id="0">
    <w:p w14:paraId="69769D74" w14:textId="77777777" w:rsidR="00F068A7" w:rsidRDefault="00F068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C506F54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A39045C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BCF0D494"/>
    <w:lvl w:ilvl="0">
      <w:start w:val="1"/>
      <w:numFmt w:val="bullet"/>
      <w:lvlText w:val=""/>
      <w:lvlJc w:val="left"/>
      <w:pPr>
        <w:tabs>
          <w:tab w:val="num" w:pos="643"/>
        </w:tabs>
        <w:ind w:left="643" w:hanging="360"/>
      </w:pPr>
      <w:rPr>
        <w:rFonts w:ascii="Symbol" w:hAnsi="Symbol" w:hint="default"/>
      </w:rPr>
    </w:lvl>
  </w:abstractNum>
  <w:num w:numId="1" w16cid:durableId="2103260914">
    <w:abstractNumId w:val="0"/>
  </w:num>
  <w:num w:numId="2" w16cid:durableId="1663776071">
    <w:abstractNumId w:val="3"/>
  </w:num>
  <w:num w:numId="3" w16cid:durableId="1810393241">
    <w:abstractNumId w:val="2"/>
  </w:num>
  <w:num w:numId="4" w16cid:durableId="20089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1427C"/>
    <w:rsid w:val="00016D87"/>
    <w:rsid w:val="0004052C"/>
    <w:rsid w:val="00053461"/>
    <w:rsid w:val="00064A57"/>
    <w:rsid w:val="0006728B"/>
    <w:rsid w:val="000761F4"/>
    <w:rsid w:val="0008110C"/>
    <w:rsid w:val="00081F76"/>
    <w:rsid w:val="00084739"/>
    <w:rsid w:val="0008634E"/>
    <w:rsid w:val="000914F1"/>
    <w:rsid w:val="000A1D0A"/>
    <w:rsid w:val="000B48CD"/>
    <w:rsid w:val="000B5B5A"/>
    <w:rsid w:val="000B7F99"/>
    <w:rsid w:val="000C1068"/>
    <w:rsid w:val="000C315C"/>
    <w:rsid w:val="000D05E0"/>
    <w:rsid w:val="000D2258"/>
    <w:rsid w:val="000F7629"/>
    <w:rsid w:val="000F7BC9"/>
    <w:rsid w:val="00102327"/>
    <w:rsid w:val="00104C93"/>
    <w:rsid w:val="0011241B"/>
    <w:rsid w:val="00117643"/>
    <w:rsid w:val="001234C3"/>
    <w:rsid w:val="00126B5E"/>
    <w:rsid w:val="001301FE"/>
    <w:rsid w:val="001316C7"/>
    <w:rsid w:val="00133F5F"/>
    <w:rsid w:val="001709F9"/>
    <w:rsid w:val="00174EA2"/>
    <w:rsid w:val="00194306"/>
    <w:rsid w:val="001A281F"/>
    <w:rsid w:val="001C2FF1"/>
    <w:rsid w:val="001D3C25"/>
    <w:rsid w:val="001D6103"/>
    <w:rsid w:val="001F7102"/>
    <w:rsid w:val="00204B6A"/>
    <w:rsid w:val="0021587D"/>
    <w:rsid w:val="00234941"/>
    <w:rsid w:val="0023779E"/>
    <w:rsid w:val="002509A8"/>
    <w:rsid w:val="00267CD1"/>
    <w:rsid w:val="002824CB"/>
    <w:rsid w:val="00286096"/>
    <w:rsid w:val="0028768C"/>
    <w:rsid w:val="00290882"/>
    <w:rsid w:val="002A38E1"/>
    <w:rsid w:val="002A3A99"/>
    <w:rsid w:val="002B47F7"/>
    <w:rsid w:val="002B5815"/>
    <w:rsid w:val="002C65E6"/>
    <w:rsid w:val="002C66B7"/>
    <w:rsid w:val="002D609F"/>
    <w:rsid w:val="002E07C6"/>
    <w:rsid w:val="002E2682"/>
    <w:rsid w:val="002E4B62"/>
    <w:rsid w:val="003022DF"/>
    <w:rsid w:val="00305D9E"/>
    <w:rsid w:val="003150A7"/>
    <w:rsid w:val="003354C5"/>
    <w:rsid w:val="00347C96"/>
    <w:rsid w:val="003525EA"/>
    <w:rsid w:val="0035303E"/>
    <w:rsid w:val="00355A69"/>
    <w:rsid w:val="003636D6"/>
    <w:rsid w:val="0037180E"/>
    <w:rsid w:val="0038038B"/>
    <w:rsid w:val="00386570"/>
    <w:rsid w:val="003878E1"/>
    <w:rsid w:val="00392068"/>
    <w:rsid w:val="00394D48"/>
    <w:rsid w:val="003B2647"/>
    <w:rsid w:val="003D0CFD"/>
    <w:rsid w:val="003D20AF"/>
    <w:rsid w:val="00407E55"/>
    <w:rsid w:val="0042133C"/>
    <w:rsid w:val="0043435F"/>
    <w:rsid w:val="004352E7"/>
    <w:rsid w:val="00440010"/>
    <w:rsid w:val="00447174"/>
    <w:rsid w:val="00450672"/>
    <w:rsid w:val="00461D61"/>
    <w:rsid w:val="00470026"/>
    <w:rsid w:val="00471BB9"/>
    <w:rsid w:val="00475AA8"/>
    <w:rsid w:val="004862C8"/>
    <w:rsid w:val="00490057"/>
    <w:rsid w:val="004B3C62"/>
    <w:rsid w:val="004B5295"/>
    <w:rsid w:val="004C5CA0"/>
    <w:rsid w:val="004D32CF"/>
    <w:rsid w:val="004D5A6C"/>
    <w:rsid w:val="004D665E"/>
    <w:rsid w:val="004E3254"/>
    <w:rsid w:val="004E6BFD"/>
    <w:rsid w:val="004F1863"/>
    <w:rsid w:val="004F7B43"/>
    <w:rsid w:val="005137DD"/>
    <w:rsid w:val="00524E99"/>
    <w:rsid w:val="0052562C"/>
    <w:rsid w:val="00533280"/>
    <w:rsid w:val="005425FB"/>
    <w:rsid w:val="005511C0"/>
    <w:rsid w:val="005633CE"/>
    <w:rsid w:val="005710F8"/>
    <w:rsid w:val="005835EA"/>
    <w:rsid w:val="0059234D"/>
    <w:rsid w:val="00596A3C"/>
    <w:rsid w:val="00597AAC"/>
    <w:rsid w:val="00597EF4"/>
    <w:rsid w:val="005A4DF7"/>
    <w:rsid w:val="005B09F4"/>
    <w:rsid w:val="005B44CF"/>
    <w:rsid w:val="005B52F7"/>
    <w:rsid w:val="005B788D"/>
    <w:rsid w:val="005C179F"/>
    <w:rsid w:val="005C5911"/>
    <w:rsid w:val="005C7E91"/>
    <w:rsid w:val="005D6643"/>
    <w:rsid w:val="005E0BD0"/>
    <w:rsid w:val="005E2CEB"/>
    <w:rsid w:val="005E3911"/>
    <w:rsid w:val="005E61D8"/>
    <w:rsid w:val="005E7A3B"/>
    <w:rsid w:val="005F2C56"/>
    <w:rsid w:val="005F42DD"/>
    <w:rsid w:val="00640621"/>
    <w:rsid w:val="00640DFB"/>
    <w:rsid w:val="0065293F"/>
    <w:rsid w:val="00657B78"/>
    <w:rsid w:val="00662206"/>
    <w:rsid w:val="00662354"/>
    <w:rsid w:val="006629DB"/>
    <w:rsid w:val="00663D35"/>
    <w:rsid w:val="006668E7"/>
    <w:rsid w:val="0066707C"/>
    <w:rsid w:val="00672077"/>
    <w:rsid w:val="006723CF"/>
    <w:rsid w:val="00683E30"/>
    <w:rsid w:val="00684EA7"/>
    <w:rsid w:val="00684F24"/>
    <w:rsid w:val="006C360A"/>
    <w:rsid w:val="006C4852"/>
    <w:rsid w:val="006E7185"/>
    <w:rsid w:val="006F4B32"/>
    <w:rsid w:val="007057DE"/>
    <w:rsid w:val="00710821"/>
    <w:rsid w:val="00713833"/>
    <w:rsid w:val="007372D1"/>
    <w:rsid w:val="00737C28"/>
    <w:rsid w:val="00745E3A"/>
    <w:rsid w:val="0075216D"/>
    <w:rsid w:val="0075497C"/>
    <w:rsid w:val="00773397"/>
    <w:rsid w:val="00782FF4"/>
    <w:rsid w:val="007835ED"/>
    <w:rsid w:val="007846A4"/>
    <w:rsid w:val="00786F86"/>
    <w:rsid w:val="007C1944"/>
    <w:rsid w:val="007E5DF0"/>
    <w:rsid w:val="007F460A"/>
    <w:rsid w:val="00801A62"/>
    <w:rsid w:val="00805CD6"/>
    <w:rsid w:val="008121D0"/>
    <w:rsid w:val="00812351"/>
    <w:rsid w:val="00833779"/>
    <w:rsid w:val="00842F58"/>
    <w:rsid w:val="008609EB"/>
    <w:rsid w:val="008933BA"/>
    <w:rsid w:val="008B242F"/>
    <w:rsid w:val="008C34EE"/>
    <w:rsid w:val="008C3F47"/>
    <w:rsid w:val="008C4C60"/>
    <w:rsid w:val="008D0B99"/>
    <w:rsid w:val="008D1562"/>
    <w:rsid w:val="008F270E"/>
    <w:rsid w:val="00906A15"/>
    <w:rsid w:val="009072AE"/>
    <w:rsid w:val="0091351A"/>
    <w:rsid w:val="0091579A"/>
    <w:rsid w:val="00922C23"/>
    <w:rsid w:val="00933A03"/>
    <w:rsid w:val="00937949"/>
    <w:rsid w:val="00946FB3"/>
    <w:rsid w:val="00963C8B"/>
    <w:rsid w:val="00964BE7"/>
    <w:rsid w:val="00987130"/>
    <w:rsid w:val="00987B99"/>
    <w:rsid w:val="009904CD"/>
    <w:rsid w:val="0099571D"/>
    <w:rsid w:val="009A0660"/>
    <w:rsid w:val="009A2D03"/>
    <w:rsid w:val="009B11C1"/>
    <w:rsid w:val="009C103B"/>
    <w:rsid w:val="009C12F9"/>
    <w:rsid w:val="009C2C2C"/>
    <w:rsid w:val="00A0280F"/>
    <w:rsid w:val="00A04385"/>
    <w:rsid w:val="00A174B0"/>
    <w:rsid w:val="00A2654B"/>
    <w:rsid w:val="00A46CAA"/>
    <w:rsid w:val="00A527F3"/>
    <w:rsid w:val="00A70BE0"/>
    <w:rsid w:val="00A811E8"/>
    <w:rsid w:val="00A815B8"/>
    <w:rsid w:val="00A831D3"/>
    <w:rsid w:val="00A83848"/>
    <w:rsid w:val="00AA7B27"/>
    <w:rsid w:val="00AB4988"/>
    <w:rsid w:val="00AD11B3"/>
    <w:rsid w:val="00AD6828"/>
    <w:rsid w:val="00AE0B1D"/>
    <w:rsid w:val="00AE71EE"/>
    <w:rsid w:val="00AF7C2F"/>
    <w:rsid w:val="00B03AE0"/>
    <w:rsid w:val="00B13C57"/>
    <w:rsid w:val="00B17D91"/>
    <w:rsid w:val="00B431E7"/>
    <w:rsid w:val="00B478B4"/>
    <w:rsid w:val="00B50885"/>
    <w:rsid w:val="00B56C55"/>
    <w:rsid w:val="00B60044"/>
    <w:rsid w:val="00B7305A"/>
    <w:rsid w:val="00B769BB"/>
    <w:rsid w:val="00B867EA"/>
    <w:rsid w:val="00B96E30"/>
    <w:rsid w:val="00BA3AFC"/>
    <w:rsid w:val="00BA4518"/>
    <w:rsid w:val="00BA460C"/>
    <w:rsid w:val="00BC38B3"/>
    <w:rsid w:val="00BC7793"/>
    <w:rsid w:val="00C00807"/>
    <w:rsid w:val="00C248F2"/>
    <w:rsid w:val="00C30A30"/>
    <w:rsid w:val="00C32D6E"/>
    <w:rsid w:val="00C34084"/>
    <w:rsid w:val="00C44150"/>
    <w:rsid w:val="00C62BC3"/>
    <w:rsid w:val="00C7575A"/>
    <w:rsid w:val="00CA0714"/>
    <w:rsid w:val="00CA1410"/>
    <w:rsid w:val="00CE0D80"/>
    <w:rsid w:val="00CE3C64"/>
    <w:rsid w:val="00CE6A6A"/>
    <w:rsid w:val="00D1225C"/>
    <w:rsid w:val="00D1573A"/>
    <w:rsid w:val="00D17985"/>
    <w:rsid w:val="00D2111A"/>
    <w:rsid w:val="00D52845"/>
    <w:rsid w:val="00D5690B"/>
    <w:rsid w:val="00D73301"/>
    <w:rsid w:val="00D74773"/>
    <w:rsid w:val="00D938C1"/>
    <w:rsid w:val="00D95480"/>
    <w:rsid w:val="00D970B1"/>
    <w:rsid w:val="00DA1ACC"/>
    <w:rsid w:val="00DB277B"/>
    <w:rsid w:val="00DB4F2A"/>
    <w:rsid w:val="00DB69AD"/>
    <w:rsid w:val="00DC35E0"/>
    <w:rsid w:val="00DD0004"/>
    <w:rsid w:val="00DD0C43"/>
    <w:rsid w:val="00DD129E"/>
    <w:rsid w:val="00DD2D83"/>
    <w:rsid w:val="00DD2EDA"/>
    <w:rsid w:val="00DE6D43"/>
    <w:rsid w:val="00DF4D57"/>
    <w:rsid w:val="00E132AF"/>
    <w:rsid w:val="00E15D20"/>
    <w:rsid w:val="00E16327"/>
    <w:rsid w:val="00E1700A"/>
    <w:rsid w:val="00E36E3C"/>
    <w:rsid w:val="00E429FB"/>
    <w:rsid w:val="00E453E2"/>
    <w:rsid w:val="00E45FFB"/>
    <w:rsid w:val="00E553ED"/>
    <w:rsid w:val="00E6737C"/>
    <w:rsid w:val="00E8346E"/>
    <w:rsid w:val="00E8465B"/>
    <w:rsid w:val="00E90B43"/>
    <w:rsid w:val="00E94554"/>
    <w:rsid w:val="00ED2199"/>
    <w:rsid w:val="00EE2165"/>
    <w:rsid w:val="00EE4A59"/>
    <w:rsid w:val="00EE74A3"/>
    <w:rsid w:val="00EF53D6"/>
    <w:rsid w:val="00F012AF"/>
    <w:rsid w:val="00F068A7"/>
    <w:rsid w:val="00F105AE"/>
    <w:rsid w:val="00F154DD"/>
    <w:rsid w:val="00F22C32"/>
    <w:rsid w:val="00F25B99"/>
    <w:rsid w:val="00F275B7"/>
    <w:rsid w:val="00F42DFA"/>
    <w:rsid w:val="00F5400D"/>
    <w:rsid w:val="00F82B7B"/>
    <w:rsid w:val="00FA3334"/>
    <w:rsid w:val="00FB5A0A"/>
    <w:rsid w:val="00FC7F70"/>
    <w:rsid w:val="00FD2CF2"/>
    <w:rsid w:val="00FF6AE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Kommentarsreferens">
    <w:name w:val="annotation reference"/>
    <w:basedOn w:val="Standardstycketeckensnitt"/>
    <w:semiHidden/>
    <w:unhideWhenUsed/>
    <w:rsid w:val="00640DFB"/>
    <w:rPr>
      <w:sz w:val="16"/>
      <w:szCs w:val="16"/>
    </w:rPr>
  </w:style>
  <w:style w:type="paragraph" w:styleId="Kommentarer">
    <w:name w:val="annotation text"/>
    <w:basedOn w:val="Normal"/>
    <w:link w:val="KommentarerChar"/>
    <w:unhideWhenUsed/>
    <w:rsid w:val="00640DFB"/>
    <w:pPr>
      <w:spacing w:line="240" w:lineRule="auto"/>
    </w:pPr>
    <w:rPr>
      <w:sz w:val="20"/>
      <w:szCs w:val="20"/>
    </w:rPr>
  </w:style>
  <w:style w:type="character" w:customStyle="1" w:styleId="KommentarerChar">
    <w:name w:val="Kommentarer Char"/>
    <w:basedOn w:val="Standardstycketeckensnitt"/>
    <w:link w:val="Kommentarer"/>
    <w:rsid w:val="00640DFB"/>
    <w:rPr>
      <w:lang w:val="en-GB" w:eastAsia="en-US"/>
    </w:rPr>
  </w:style>
  <w:style w:type="paragraph" w:styleId="Kommentarsmne">
    <w:name w:val="annotation subject"/>
    <w:basedOn w:val="Kommentarer"/>
    <w:next w:val="Kommentarer"/>
    <w:link w:val="KommentarsmneChar"/>
    <w:semiHidden/>
    <w:unhideWhenUsed/>
    <w:rsid w:val="00640DFB"/>
    <w:rPr>
      <w:b/>
      <w:bCs/>
    </w:rPr>
  </w:style>
  <w:style w:type="character" w:customStyle="1" w:styleId="KommentarsmneChar">
    <w:name w:val="Kommentarsämne Char"/>
    <w:basedOn w:val="KommentarerChar"/>
    <w:link w:val="Kommentarsmne"/>
    <w:semiHidden/>
    <w:rsid w:val="00640DFB"/>
    <w:rPr>
      <w:b/>
      <w:bCs/>
      <w:lang w:val="en-GB" w:eastAsia="en-US"/>
    </w:rPr>
  </w:style>
  <w:style w:type="paragraph" w:styleId="Ballongtext">
    <w:name w:val="Balloon Text"/>
    <w:basedOn w:val="Normal"/>
    <w:link w:val="BallongtextChar"/>
    <w:semiHidden/>
    <w:unhideWhenUsed/>
    <w:rsid w:val="00640DF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640DFB"/>
    <w:rPr>
      <w:rFonts w:ascii="Segoe UI" w:hAnsi="Segoe UI" w:cs="Segoe UI"/>
      <w:sz w:val="18"/>
      <w:szCs w:val="18"/>
      <w:lang w:val="en-GB" w:eastAsia="en-US"/>
    </w:rPr>
  </w:style>
  <w:style w:type="character" w:styleId="Hyperlnk">
    <w:name w:val="Hyperlink"/>
    <w:basedOn w:val="Standardstycketeckensnitt"/>
    <w:unhideWhenUsed/>
    <w:rsid w:val="00CA0714"/>
    <w:rPr>
      <w:color w:val="0000FF" w:themeColor="hyperlink"/>
      <w:u w:val="single"/>
    </w:rPr>
  </w:style>
  <w:style w:type="character" w:styleId="Olstomnmnande">
    <w:name w:val="Unresolved Mention"/>
    <w:basedOn w:val="Standardstycketeckensnitt"/>
    <w:uiPriority w:val="99"/>
    <w:semiHidden/>
    <w:unhideWhenUsed/>
    <w:rsid w:val="00CA0714"/>
    <w:rPr>
      <w:color w:val="605E5C"/>
      <w:shd w:val="clear" w:color="auto" w:fill="E1DFDD"/>
    </w:rPr>
  </w:style>
  <w:style w:type="paragraph" w:styleId="Revision">
    <w:name w:val="Revision"/>
    <w:hidden/>
    <w:semiHidden/>
    <w:rsid w:val="006E7185"/>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7056">
      <w:bodyDiv w:val="1"/>
      <w:marLeft w:val="0"/>
      <w:marRight w:val="0"/>
      <w:marTop w:val="0"/>
      <w:marBottom w:val="0"/>
      <w:divBdr>
        <w:top w:val="none" w:sz="0" w:space="0" w:color="auto"/>
        <w:left w:val="none" w:sz="0" w:space="0" w:color="auto"/>
        <w:bottom w:val="none" w:sz="0" w:space="0" w:color="auto"/>
        <w:right w:val="none" w:sz="0" w:space="0" w:color="auto"/>
      </w:divBdr>
    </w:div>
    <w:div w:id="126334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A0E6-8D7E-429D-8435-817EE57E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10577</Characters>
  <Application>Microsoft Office Word</Application>
  <DocSecurity>0</DocSecurity>
  <Lines>88</Lines>
  <Paragraphs>25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12547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2023-10-03T11:26:00Z</dcterms:created>
  <dcterms:modified xsi:type="dcterms:W3CDTF">2023-10-03T11:26:00Z</dcterms:modified>
  <cp:category/>
</cp:coreProperties>
</file>