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5A1C33" w:rsidRDefault="005A1C33">
      <w:pPr>
        <w:pBdr>
          <w:top w:val="nil"/>
          <w:left w:val="nil"/>
          <w:bottom w:val="nil"/>
          <w:right w:val="nil"/>
          <w:between w:val="nil"/>
        </w:pBdr>
        <w:rPr>
          <w:color w:val="000000"/>
        </w:rPr>
      </w:pPr>
    </w:p>
    <w:p w14:paraId="00000002" w14:textId="77777777" w:rsidR="005A1C33" w:rsidRDefault="00000000">
      <w:pPr>
        <w:pStyle w:val="Rubrik1"/>
      </w:pPr>
      <w:r>
        <w:t>Tertiary mathematics students’ foregrounds</w:t>
      </w:r>
    </w:p>
    <w:p w14:paraId="00000003" w14:textId="77777777" w:rsidR="005A1C33" w:rsidRDefault="00000000">
      <w:pPr>
        <w:pBdr>
          <w:top w:val="nil"/>
          <w:left w:val="nil"/>
          <w:bottom w:val="nil"/>
          <w:right w:val="nil"/>
          <w:between w:val="nil"/>
        </w:pBdr>
        <w:spacing w:before="360"/>
        <w:jc w:val="center"/>
        <w:rPr>
          <w:b/>
          <w:color w:val="000000"/>
          <w:sz w:val="28"/>
          <w:szCs w:val="28"/>
          <w:vertAlign w:val="superscript"/>
        </w:rPr>
      </w:pPr>
      <w:r>
        <w:rPr>
          <w:b/>
          <w:color w:val="000000"/>
          <w:sz w:val="28"/>
          <w:szCs w:val="28"/>
        </w:rPr>
        <w:t xml:space="preserve">Erik </w:t>
      </w:r>
      <w:proofErr w:type="spellStart"/>
      <w:r>
        <w:rPr>
          <w:b/>
          <w:color w:val="000000"/>
          <w:sz w:val="28"/>
          <w:szCs w:val="28"/>
        </w:rPr>
        <w:t>Adolfsson</w:t>
      </w:r>
      <w:proofErr w:type="spellEnd"/>
      <w:r>
        <w:rPr>
          <w:b/>
          <w:color w:val="000000"/>
          <w:sz w:val="28"/>
          <w:szCs w:val="28"/>
        </w:rPr>
        <w:t xml:space="preserve">, Lisa </w:t>
      </w:r>
      <w:proofErr w:type="spellStart"/>
      <w:r>
        <w:rPr>
          <w:b/>
          <w:color w:val="000000"/>
          <w:sz w:val="28"/>
          <w:szCs w:val="28"/>
        </w:rPr>
        <w:t>Österling</w:t>
      </w:r>
      <w:proofErr w:type="spellEnd"/>
      <w:r>
        <w:rPr>
          <w:b/>
          <w:color w:val="000000"/>
          <w:sz w:val="28"/>
          <w:szCs w:val="28"/>
        </w:rPr>
        <w:t xml:space="preserve"> &amp; </w:t>
      </w:r>
      <w:proofErr w:type="spellStart"/>
      <w:r>
        <w:rPr>
          <w:b/>
          <w:color w:val="000000"/>
          <w:sz w:val="28"/>
          <w:szCs w:val="28"/>
        </w:rPr>
        <w:t>Nhu</w:t>
      </w:r>
      <w:proofErr w:type="spellEnd"/>
      <w:r>
        <w:rPr>
          <w:b/>
          <w:color w:val="000000"/>
          <w:sz w:val="28"/>
          <w:szCs w:val="28"/>
        </w:rPr>
        <w:t xml:space="preserve"> Truong </w:t>
      </w:r>
    </w:p>
    <w:p w14:paraId="00000004" w14:textId="77777777" w:rsidR="005A1C33" w:rsidRDefault="00000000">
      <w:pPr>
        <w:pBdr>
          <w:top w:val="nil"/>
          <w:left w:val="nil"/>
          <w:bottom w:val="nil"/>
          <w:right w:val="nil"/>
          <w:between w:val="nil"/>
        </w:pBdr>
        <w:spacing w:after="720"/>
        <w:jc w:val="center"/>
        <w:rPr>
          <w:color w:val="000000"/>
          <w:sz w:val="28"/>
          <w:szCs w:val="28"/>
          <w:vertAlign w:val="superscript"/>
        </w:rPr>
      </w:pPr>
      <w:r>
        <w:rPr>
          <w:color w:val="000000"/>
          <w:sz w:val="28"/>
          <w:szCs w:val="28"/>
        </w:rPr>
        <w:t>Stockholm University</w:t>
      </w:r>
    </w:p>
    <w:p w14:paraId="00000005" w14:textId="77777777" w:rsidR="005A1C33" w:rsidRDefault="00000000">
      <w:pPr>
        <w:pBdr>
          <w:top w:val="nil"/>
          <w:left w:val="nil"/>
          <w:bottom w:val="nil"/>
          <w:right w:val="nil"/>
          <w:between w:val="nil"/>
        </w:pBdr>
        <w:rPr>
          <w:i/>
          <w:color w:val="000000"/>
          <w:sz w:val="26"/>
          <w:szCs w:val="26"/>
        </w:rPr>
      </w:pPr>
      <w:r>
        <w:rPr>
          <w:i/>
          <w:color w:val="000000"/>
          <w:sz w:val="26"/>
          <w:szCs w:val="26"/>
        </w:rPr>
        <w:t>In this presentation, we bring the case of Chloe, a tertiary mathematics student, and her story about foregrounds, hopes and desires in mathematics. The presented study is part of a larger project</w:t>
      </w:r>
      <w:r>
        <w:rPr>
          <w:i/>
          <w:color w:val="000000"/>
          <w:sz w:val="26"/>
          <w:szCs w:val="26"/>
          <w:vertAlign w:val="superscript"/>
        </w:rPr>
        <w:footnoteReference w:id="1"/>
      </w:r>
      <w:r>
        <w:rPr>
          <w:i/>
          <w:color w:val="000000"/>
          <w:sz w:val="26"/>
          <w:szCs w:val="26"/>
        </w:rPr>
        <w:t xml:space="preserve">, researching motives for studying mathematics, as well as aspirations for the future, among minoritized tertiary mathematics students. We use the construct of foregrounds to describe tensions between personal aspirations and collectively established expectations. From the five participating students, we present the story of Chloe. The story accounts for complex relations and tensions between a personal </w:t>
      </w:r>
      <w:r>
        <w:rPr>
          <w:i/>
          <w:sz w:val="26"/>
          <w:szCs w:val="26"/>
        </w:rPr>
        <w:t>desire to pursue</w:t>
      </w:r>
      <w:r>
        <w:rPr>
          <w:i/>
          <w:color w:val="000000"/>
          <w:sz w:val="26"/>
          <w:szCs w:val="26"/>
        </w:rPr>
        <w:t xml:space="preserve"> an interest in mathematics, and the collective expectations on entering mathematics studies for future careers. Such stories about diverse foregrounds increase our awareness of motives for entering tertiary mathematics.</w:t>
      </w:r>
    </w:p>
    <w:p w14:paraId="00000006" w14:textId="77777777" w:rsidR="005A1C33" w:rsidRDefault="00000000">
      <w:pPr>
        <w:pStyle w:val="Rubrik2"/>
        <w:rPr>
          <w:sz w:val="26"/>
          <w:szCs w:val="26"/>
        </w:rPr>
      </w:pPr>
      <w:r>
        <w:rPr>
          <w:sz w:val="26"/>
          <w:szCs w:val="26"/>
        </w:rPr>
        <w:t>Introduction</w:t>
      </w:r>
    </w:p>
    <w:p w14:paraId="00000007" w14:textId="77777777" w:rsidR="005A1C33" w:rsidRDefault="00000000">
      <w:pPr>
        <w:pBdr>
          <w:top w:val="nil"/>
          <w:left w:val="nil"/>
          <w:bottom w:val="nil"/>
          <w:right w:val="nil"/>
          <w:between w:val="nil"/>
        </w:pBdr>
        <w:rPr>
          <w:color w:val="000000"/>
          <w:sz w:val="26"/>
          <w:szCs w:val="26"/>
        </w:rPr>
      </w:pPr>
      <w:r>
        <w:rPr>
          <w:color w:val="000000"/>
          <w:sz w:val="26"/>
          <w:szCs w:val="26"/>
        </w:rPr>
        <w:t xml:space="preserve">Access to mathematics is argued to increase both individual and societal human capital (Salmi &amp; </w:t>
      </w:r>
      <w:proofErr w:type="spellStart"/>
      <w:r>
        <w:rPr>
          <w:color w:val="000000"/>
          <w:sz w:val="26"/>
          <w:szCs w:val="26"/>
        </w:rPr>
        <w:t>D’Addio</w:t>
      </w:r>
      <w:proofErr w:type="spellEnd"/>
      <w:r>
        <w:rPr>
          <w:color w:val="000000"/>
          <w:sz w:val="26"/>
          <w:szCs w:val="26"/>
        </w:rPr>
        <w:t>, 2021), and Berge &amp; Danielsson (2022) show how participation in tertiary mathematics education increases participants’ cultural capital. However, STEM-attrition correlate with demographic backgrounds (Chen, 2013), pointing to socio-political challenges for equal access to tertiary mathematics.</w:t>
      </w:r>
    </w:p>
    <w:p w14:paraId="00000008" w14:textId="77777777" w:rsidR="005A1C33" w:rsidRDefault="00000000">
      <w:pPr>
        <w:pBdr>
          <w:top w:val="nil"/>
          <w:left w:val="nil"/>
          <w:bottom w:val="nil"/>
          <w:right w:val="nil"/>
          <w:between w:val="nil"/>
        </w:pBdr>
        <w:ind w:firstLine="360"/>
        <w:rPr>
          <w:color w:val="000000"/>
          <w:sz w:val="26"/>
          <w:szCs w:val="26"/>
        </w:rPr>
      </w:pPr>
      <w:r>
        <w:rPr>
          <w:color w:val="000000"/>
          <w:sz w:val="26"/>
          <w:szCs w:val="26"/>
        </w:rPr>
        <w:t xml:space="preserve">The notion of foregrounds </w:t>
      </w:r>
      <w:proofErr w:type="gramStart"/>
      <w:r>
        <w:rPr>
          <w:color w:val="000000"/>
          <w:sz w:val="26"/>
          <w:szCs w:val="26"/>
        </w:rPr>
        <w:t>relate</w:t>
      </w:r>
      <w:proofErr w:type="gramEnd"/>
      <w:r>
        <w:rPr>
          <w:color w:val="000000"/>
          <w:sz w:val="26"/>
          <w:szCs w:val="26"/>
        </w:rPr>
        <w:t xml:space="preserve"> to social, political, cultural, and economic conditions for engaging in mathematics (</w:t>
      </w:r>
      <w:proofErr w:type="spellStart"/>
      <w:r>
        <w:rPr>
          <w:color w:val="000000"/>
          <w:sz w:val="26"/>
          <w:szCs w:val="26"/>
        </w:rPr>
        <w:t>Skovsmose</w:t>
      </w:r>
      <w:proofErr w:type="spellEnd"/>
      <w:r>
        <w:rPr>
          <w:color w:val="000000"/>
          <w:sz w:val="26"/>
          <w:szCs w:val="26"/>
        </w:rPr>
        <w:t xml:space="preserve"> et al., 2008). Foregrounds include the mathematical aspirations for the future, whereas backgrounds relate to the past experiences of mathematics (</w:t>
      </w:r>
      <w:proofErr w:type="spellStart"/>
      <w:r>
        <w:rPr>
          <w:color w:val="000000"/>
          <w:sz w:val="26"/>
          <w:szCs w:val="26"/>
        </w:rPr>
        <w:t>Alrø</w:t>
      </w:r>
      <w:proofErr w:type="spellEnd"/>
      <w:r>
        <w:rPr>
          <w:color w:val="000000"/>
          <w:sz w:val="26"/>
          <w:szCs w:val="26"/>
        </w:rPr>
        <w:t xml:space="preserve"> et al., 2008). Foregrounds are formed through personal interpretations of opportunities and obstacles, and at the same time, they are established collectively. Tensions between personal and collectively formed foregrounds informs research on the social and political dimensions of who can do mathematics. We ask: What are the tensions between personal and collective foregrounds for tertiary mathematics students?</w:t>
      </w:r>
    </w:p>
    <w:p w14:paraId="00000009" w14:textId="77777777" w:rsidR="005A1C33" w:rsidRDefault="00000000">
      <w:pPr>
        <w:pStyle w:val="Rubrik2"/>
        <w:rPr>
          <w:sz w:val="26"/>
          <w:szCs w:val="26"/>
        </w:rPr>
      </w:pPr>
      <w:r>
        <w:rPr>
          <w:sz w:val="26"/>
          <w:szCs w:val="26"/>
        </w:rPr>
        <w:t>Methodology</w:t>
      </w:r>
    </w:p>
    <w:p w14:paraId="0000000A" w14:textId="77777777" w:rsidR="005A1C33" w:rsidRDefault="00000000">
      <w:pPr>
        <w:rPr>
          <w:color w:val="000000"/>
          <w:sz w:val="26"/>
          <w:szCs w:val="26"/>
        </w:rPr>
      </w:pPr>
      <w:r>
        <w:rPr>
          <w:color w:val="000000"/>
          <w:sz w:val="26"/>
          <w:szCs w:val="26"/>
        </w:rPr>
        <w:t>Five tertiary mathematics students participated in focus-group discussions, based on dialogue as a research-approach (</w:t>
      </w:r>
      <w:proofErr w:type="spellStart"/>
      <w:r>
        <w:rPr>
          <w:color w:val="000000"/>
          <w:sz w:val="26"/>
          <w:szCs w:val="26"/>
        </w:rPr>
        <w:t>Alrø</w:t>
      </w:r>
      <w:proofErr w:type="spellEnd"/>
      <w:r>
        <w:rPr>
          <w:color w:val="000000"/>
          <w:sz w:val="26"/>
          <w:szCs w:val="26"/>
        </w:rPr>
        <w:t xml:space="preserve"> et al., 2008). Students were asked to bring a mathematics problem, as part of initiating a co-creation of foregrounds in dialogue between interviewer and interviewees. The analysis focused on</w:t>
      </w:r>
      <w:r>
        <w:rPr>
          <w:sz w:val="26"/>
          <w:szCs w:val="26"/>
        </w:rPr>
        <w:t xml:space="preserve"> tensions, as </w:t>
      </w:r>
      <w:r>
        <w:rPr>
          <w:sz w:val="26"/>
          <w:szCs w:val="26"/>
        </w:rPr>
        <w:lastRenderedPageBreak/>
        <w:t xml:space="preserve">contradictions or obstacles, expressed by the interviewee. The tensions were used to construct stories for each participant. </w:t>
      </w:r>
      <w:r>
        <w:rPr>
          <w:color w:val="000000"/>
          <w:sz w:val="26"/>
          <w:szCs w:val="26"/>
        </w:rPr>
        <w:t>Here, we share the story of Chloe.</w:t>
      </w:r>
    </w:p>
    <w:p w14:paraId="0000000B" w14:textId="77777777" w:rsidR="005A1C33" w:rsidRDefault="00000000">
      <w:pPr>
        <w:pStyle w:val="Rubrik2"/>
        <w:rPr>
          <w:sz w:val="26"/>
          <w:szCs w:val="26"/>
        </w:rPr>
      </w:pPr>
      <w:r>
        <w:rPr>
          <w:sz w:val="26"/>
          <w:szCs w:val="26"/>
        </w:rPr>
        <w:t>Results and conclusions</w:t>
      </w:r>
    </w:p>
    <w:p w14:paraId="0000000C" w14:textId="77777777" w:rsidR="005A1C33" w:rsidRDefault="00000000">
      <w:pPr>
        <w:pBdr>
          <w:top w:val="nil"/>
          <w:left w:val="nil"/>
          <w:bottom w:val="nil"/>
          <w:right w:val="nil"/>
          <w:between w:val="nil"/>
        </w:pBdr>
        <w:rPr>
          <w:color w:val="000000"/>
          <w:sz w:val="26"/>
          <w:szCs w:val="26"/>
        </w:rPr>
      </w:pPr>
      <w:r>
        <w:rPr>
          <w:color w:val="000000"/>
          <w:sz w:val="26"/>
          <w:szCs w:val="26"/>
        </w:rPr>
        <w:t xml:space="preserve">Chloe knew from an early age that she wanted to pursue a bachelor’s degree in </w:t>
      </w:r>
      <w:proofErr w:type="gramStart"/>
      <w:r>
        <w:rPr>
          <w:color w:val="000000"/>
          <w:sz w:val="26"/>
          <w:szCs w:val="26"/>
        </w:rPr>
        <w:t>mathematics, and</w:t>
      </w:r>
      <w:proofErr w:type="gramEnd"/>
      <w:r>
        <w:rPr>
          <w:color w:val="000000"/>
          <w:sz w:val="26"/>
          <w:szCs w:val="26"/>
        </w:rPr>
        <w:t xml:space="preserve"> enjoyed to attend after-school lessons in mathematics already in eighth grade. She described mathematics as difficult and not for everyone, but still with the opportunity to find some branch of mathematics to enjoy. In her experience, mathematics is not a gendered subject. Chloe struggled with the first course of calculus, when she found the course to be difficult, too theoretical and with high pressure on students. Still, Chloe brings an intriguing theoretical mathematics problem to the interview: the notion of countable and uncountable infinity in set theory. Although Chloe meets the assumption is that pursuing mathematics implies that one wants to work as a teacher, she </w:t>
      </w:r>
      <w:proofErr w:type="spellStart"/>
      <w:r>
        <w:rPr>
          <w:color w:val="000000"/>
          <w:sz w:val="26"/>
          <w:szCs w:val="26"/>
        </w:rPr>
        <w:t>emphasises</w:t>
      </w:r>
      <w:proofErr w:type="spellEnd"/>
      <w:r>
        <w:rPr>
          <w:color w:val="000000"/>
          <w:sz w:val="26"/>
          <w:szCs w:val="26"/>
        </w:rPr>
        <w:t xml:space="preserve"> how this is not for her, rather, she enjoys </w:t>
      </w:r>
      <w:proofErr w:type="gramStart"/>
      <w:r>
        <w:rPr>
          <w:color w:val="000000"/>
          <w:sz w:val="26"/>
          <w:szCs w:val="26"/>
        </w:rPr>
        <w:t>to be</w:t>
      </w:r>
      <w:proofErr w:type="gramEnd"/>
      <w:r>
        <w:rPr>
          <w:color w:val="000000"/>
          <w:sz w:val="26"/>
          <w:szCs w:val="26"/>
        </w:rPr>
        <w:t xml:space="preserve"> intrigued and struggle in mathematics. In her story, tensions emerge between the personal enjoyment of doing mathematics, and the collective expectations about mathematics as a pathway to a career.</w:t>
      </w:r>
    </w:p>
    <w:p w14:paraId="0000000D" w14:textId="77777777" w:rsidR="005A1C33" w:rsidRDefault="00000000">
      <w:pPr>
        <w:pBdr>
          <w:top w:val="nil"/>
          <w:left w:val="nil"/>
          <w:bottom w:val="nil"/>
          <w:right w:val="nil"/>
          <w:between w:val="nil"/>
        </w:pBdr>
        <w:ind w:firstLine="360"/>
        <w:rPr>
          <w:color w:val="000000"/>
          <w:sz w:val="26"/>
          <w:szCs w:val="26"/>
        </w:rPr>
      </w:pPr>
      <w:r>
        <w:rPr>
          <w:color w:val="000000"/>
          <w:sz w:val="26"/>
          <w:szCs w:val="26"/>
        </w:rPr>
        <w:t xml:space="preserve">We find foregrounds to be a fruitful theoretical approach for understanding relations between backgrounds, the sense of belonging, the collective </w:t>
      </w:r>
      <w:proofErr w:type="gramStart"/>
      <w:r>
        <w:rPr>
          <w:color w:val="000000"/>
          <w:sz w:val="26"/>
          <w:szCs w:val="26"/>
        </w:rPr>
        <w:t>expectations</w:t>
      </w:r>
      <w:proofErr w:type="gramEnd"/>
      <w:r>
        <w:rPr>
          <w:color w:val="000000"/>
          <w:sz w:val="26"/>
          <w:szCs w:val="26"/>
        </w:rPr>
        <w:t xml:space="preserve"> and the personal desires. Chloe’s story challenges the perception that people enter mathematics for career reasons. Her personal foreground is to enjoy mathematics, and it is entangled with a background of enjoyment in mathematics from an early age, and a sense of being included among those who to do mathematics. Chloe’s story, together with other students’ foreground-stories, nuance our understanding of motives for entering tertiary mathematics. </w:t>
      </w:r>
    </w:p>
    <w:p w14:paraId="0000000E" w14:textId="77777777" w:rsidR="005A1C33" w:rsidRDefault="00000000">
      <w:pPr>
        <w:pStyle w:val="Rubrik2"/>
        <w:rPr>
          <w:sz w:val="26"/>
          <w:szCs w:val="26"/>
        </w:rPr>
      </w:pPr>
      <w:r>
        <w:rPr>
          <w:sz w:val="26"/>
          <w:szCs w:val="26"/>
        </w:rPr>
        <w:t xml:space="preserve">References </w:t>
      </w:r>
    </w:p>
    <w:p w14:paraId="0000000F" w14:textId="77777777" w:rsidR="005A1C33" w:rsidRPr="000634B7" w:rsidRDefault="00000000">
      <w:pPr>
        <w:pBdr>
          <w:top w:val="nil"/>
          <w:left w:val="nil"/>
          <w:bottom w:val="nil"/>
          <w:right w:val="nil"/>
          <w:between w:val="nil"/>
        </w:pBdr>
        <w:ind w:left="425" w:hanging="425"/>
        <w:rPr>
          <w:color w:val="000000"/>
          <w:sz w:val="26"/>
          <w:szCs w:val="26"/>
          <w:lang w:val="sv-SE"/>
        </w:rPr>
      </w:pPr>
      <w:proofErr w:type="spellStart"/>
      <w:r>
        <w:rPr>
          <w:color w:val="000000"/>
          <w:sz w:val="26"/>
          <w:szCs w:val="26"/>
        </w:rPr>
        <w:t>Alrø</w:t>
      </w:r>
      <w:proofErr w:type="spellEnd"/>
      <w:r>
        <w:rPr>
          <w:color w:val="000000"/>
          <w:sz w:val="26"/>
          <w:szCs w:val="26"/>
        </w:rPr>
        <w:t xml:space="preserve">, H., </w:t>
      </w:r>
      <w:proofErr w:type="spellStart"/>
      <w:r>
        <w:rPr>
          <w:color w:val="000000"/>
          <w:sz w:val="26"/>
          <w:szCs w:val="26"/>
        </w:rPr>
        <w:t>Skovsmose</w:t>
      </w:r>
      <w:proofErr w:type="spellEnd"/>
      <w:r>
        <w:rPr>
          <w:color w:val="000000"/>
          <w:sz w:val="26"/>
          <w:szCs w:val="26"/>
        </w:rPr>
        <w:t xml:space="preserve">, O., &amp; Valero, P. (2008). Inter-viewing foregrounds: Students' motives for learning in a multicultural setting. In M. César &amp; K. </w:t>
      </w:r>
      <w:proofErr w:type="spellStart"/>
      <w:r>
        <w:rPr>
          <w:color w:val="000000"/>
          <w:sz w:val="26"/>
          <w:szCs w:val="26"/>
        </w:rPr>
        <w:t>Kumpulainen</w:t>
      </w:r>
      <w:proofErr w:type="spellEnd"/>
      <w:r>
        <w:rPr>
          <w:color w:val="000000"/>
          <w:sz w:val="26"/>
          <w:szCs w:val="26"/>
        </w:rPr>
        <w:t xml:space="preserve"> (Eds.), </w:t>
      </w:r>
      <w:r>
        <w:rPr>
          <w:i/>
          <w:color w:val="000000"/>
          <w:sz w:val="26"/>
          <w:szCs w:val="26"/>
        </w:rPr>
        <w:t>Social Interactions in Multicultural Settings </w:t>
      </w:r>
      <w:r>
        <w:rPr>
          <w:color w:val="000000"/>
          <w:sz w:val="26"/>
          <w:szCs w:val="26"/>
        </w:rPr>
        <w:t xml:space="preserve">(pp. 13-37). </w:t>
      </w:r>
      <w:r w:rsidRPr="000634B7">
        <w:rPr>
          <w:color w:val="000000"/>
          <w:sz w:val="26"/>
          <w:szCs w:val="26"/>
          <w:lang w:val="sv-SE"/>
        </w:rPr>
        <w:t>Sense. </w:t>
      </w:r>
    </w:p>
    <w:p w14:paraId="00000010" w14:textId="77777777" w:rsidR="005A1C33" w:rsidRPr="000634B7" w:rsidRDefault="00000000">
      <w:pPr>
        <w:pBdr>
          <w:top w:val="nil"/>
          <w:left w:val="nil"/>
          <w:bottom w:val="nil"/>
          <w:right w:val="nil"/>
          <w:between w:val="nil"/>
        </w:pBdr>
        <w:ind w:left="425" w:hanging="425"/>
        <w:rPr>
          <w:color w:val="0000FF"/>
          <w:sz w:val="26"/>
          <w:szCs w:val="26"/>
          <w:u w:val="single"/>
          <w:lang w:val="sv-SE"/>
        </w:rPr>
      </w:pPr>
      <w:r w:rsidRPr="000634B7">
        <w:rPr>
          <w:color w:val="000000"/>
          <w:sz w:val="26"/>
          <w:szCs w:val="26"/>
          <w:lang w:val="sv-SE"/>
        </w:rPr>
        <w:t xml:space="preserve">Berge, M., &amp; Danielsson, A. (2022). Klassklättring och matematik-kapital. En fallstudie. Utbildning &amp; Demokrati – tidskrift för didaktik och utbildningspolitk, 31(1), 31–49. </w:t>
      </w:r>
      <w:hyperlink r:id="rId7">
        <w:r w:rsidRPr="000634B7">
          <w:rPr>
            <w:color w:val="0000FF"/>
            <w:sz w:val="26"/>
            <w:szCs w:val="26"/>
            <w:u w:val="single"/>
            <w:lang w:val="sv-SE"/>
          </w:rPr>
          <w:t>https://doi.org/10.48059/uod.v31i1.1866</w:t>
        </w:r>
      </w:hyperlink>
    </w:p>
    <w:p w14:paraId="00000011" w14:textId="77777777" w:rsidR="005A1C33" w:rsidRDefault="00000000">
      <w:pPr>
        <w:pBdr>
          <w:top w:val="nil"/>
          <w:left w:val="nil"/>
          <w:bottom w:val="nil"/>
          <w:right w:val="nil"/>
          <w:between w:val="nil"/>
        </w:pBdr>
        <w:ind w:left="425" w:hanging="425"/>
        <w:rPr>
          <w:color w:val="000000"/>
          <w:sz w:val="26"/>
          <w:szCs w:val="26"/>
        </w:rPr>
      </w:pPr>
      <w:r>
        <w:rPr>
          <w:color w:val="000000"/>
          <w:sz w:val="26"/>
          <w:szCs w:val="26"/>
        </w:rPr>
        <w:t xml:space="preserve">Chen, X. (2013). STEM Attrition: College Students’ Paths </w:t>
      </w:r>
      <w:proofErr w:type="gramStart"/>
      <w:r>
        <w:rPr>
          <w:color w:val="000000"/>
          <w:sz w:val="26"/>
          <w:szCs w:val="26"/>
        </w:rPr>
        <w:t>Into</w:t>
      </w:r>
      <w:proofErr w:type="gramEnd"/>
      <w:r>
        <w:rPr>
          <w:color w:val="000000"/>
          <w:sz w:val="26"/>
          <w:szCs w:val="26"/>
        </w:rPr>
        <w:t xml:space="preserve"> and Out of STEM Fields (NCES 2014-001). National Center for Education Statistics, Institute of Education Sciences, U.S. Department of Education. Washington, DC. </w:t>
      </w:r>
    </w:p>
    <w:p w14:paraId="00000012" w14:textId="77777777" w:rsidR="005A1C33" w:rsidRDefault="00000000">
      <w:pPr>
        <w:pBdr>
          <w:top w:val="nil"/>
          <w:left w:val="nil"/>
          <w:bottom w:val="nil"/>
          <w:right w:val="nil"/>
          <w:between w:val="nil"/>
        </w:pBdr>
        <w:ind w:left="425" w:hanging="425"/>
        <w:rPr>
          <w:color w:val="000000"/>
          <w:sz w:val="26"/>
          <w:szCs w:val="26"/>
        </w:rPr>
      </w:pPr>
      <w:r>
        <w:rPr>
          <w:color w:val="000000"/>
          <w:sz w:val="26"/>
          <w:szCs w:val="26"/>
        </w:rPr>
        <w:t xml:space="preserve">Salmi, J., &amp; </w:t>
      </w:r>
      <w:proofErr w:type="spellStart"/>
      <w:r>
        <w:rPr>
          <w:color w:val="000000"/>
          <w:sz w:val="26"/>
          <w:szCs w:val="26"/>
        </w:rPr>
        <w:t>D’Addio</w:t>
      </w:r>
      <w:proofErr w:type="spellEnd"/>
      <w:r>
        <w:rPr>
          <w:color w:val="000000"/>
          <w:sz w:val="26"/>
          <w:szCs w:val="26"/>
        </w:rPr>
        <w:t xml:space="preserve">, A. (2021). Policies for achieving inclusion in higher education. </w:t>
      </w:r>
      <w:r>
        <w:rPr>
          <w:i/>
          <w:color w:val="000000"/>
          <w:sz w:val="26"/>
          <w:szCs w:val="26"/>
        </w:rPr>
        <w:t>Policy Reviews in Higher Education</w:t>
      </w:r>
      <w:r>
        <w:rPr>
          <w:color w:val="000000"/>
          <w:sz w:val="26"/>
          <w:szCs w:val="26"/>
        </w:rPr>
        <w:t xml:space="preserve">, </w:t>
      </w:r>
      <w:r>
        <w:rPr>
          <w:i/>
          <w:color w:val="000000"/>
          <w:sz w:val="26"/>
          <w:szCs w:val="26"/>
        </w:rPr>
        <w:t>5</w:t>
      </w:r>
      <w:r>
        <w:rPr>
          <w:color w:val="000000"/>
          <w:sz w:val="26"/>
          <w:szCs w:val="26"/>
        </w:rPr>
        <w:t xml:space="preserve">(1), 47–72. </w:t>
      </w:r>
      <w:hyperlink r:id="rId8">
        <w:r>
          <w:rPr>
            <w:color w:val="0000FF"/>
            <w:sz w:val="26"/>
            <w:szCs w:val="26"/>
            <w:u w:val="single"/>
          </w:rPr>
          <w:t>https://doi.org/10.1080/23322969.2020.1835529</w:t>
        </w:r>
      </w:hyperlink>
    </w:p>
    <w:p w14:paraId="00000013" w14:textId="77777777" w:rsidR="005A1C33" w:rsidRDefault="00000000">
      <w:pPr>
        <w:pBdr>
          <w:top w:val="nil"/>
          <w:left w:val="nil"/>
          <w:bottom w:val="nil"/>
          <w:right w:val="nil"/>
          <w:between w:val="nil"/>
        </w:pBdr>
        <w:ind w:left="425" w:hanging="425"/>
        <w:rPr>
          <w:color w:val="000000"/>
          <w:sz w:val="26"/>
          <w:szCs w:val="26"/>
        </w:rPr>
      </w:pPr>
      <w:proofErr w:type="spellStart"/>
      <w:r>
        <w:rPr>
          <w:color w:val="000000"/>
          <w:sz w:val="26"/>
          <w:szCs w:val="26"/>
        </w:rPr>
        <w:t>Skovsmose</w:t>
      </w:r>
      <w:proofErr w:type="spellEnd"/>
      <w:r>
        <w:rPr>
          <w:color w:val="000000"/>
          <w:sz w:val="26"/>
          <w:szCs w:val="26"/>
        </w:rPr>
        <w:t xml:space="preserve">, O., </w:t>
      </w:r>
      <w:proofErr w:type="spellStart"/>
      <w:r>
        <w:rPr>
          <w:color w:val="000000"/>
          <w:sz w:val="26"/>
          <w:szCs w:val="26"/>
        </w:rPr>
        <w:t>Scandiuzzi</w:t>
      </w:r>
      <w:proofErr w:type="spellEnd"/>
      <w:r>
        <w:rPr>
          <w:color w:val="000000"/>
          <w:sz w:val="26"/>
          <w:szCs w:val="26"/>
        </w:rPr>
        <w:t xml:space="preserve">, P. P., Valero, P., &amp; </w:t>
      </w:r>
      <w:proofErr w:type="spellStart"/>
      <w:r>
        <w:rPr>
          <w:color w:val="000000"/>
          <w:sz w:val="26"/>
          <w:szCs w:val="26"/>
        </w:rPr>
        <w:t>Alrø</w:t>
      </w:r>
      <w:proofErr w:type="spellEnd"/>
      <w:r>
        <w:rPr>
          <w:color w:val="000000"/>
          <w:sz w:val="26"/>
          <w:szCs w:val="26"/>
        </w:rPr>
        <w:t xml:space="preserve">, H. (2008). Learning mathematics in a borderland position: Students’ foregrounds and intentionality in a Brazilian favela. </w:t>
      </w:r>
      <w:r>
        <w:rPr>
          <w:i/>
          <w:color w:val="000000"/>
          <w:sz w:val="26"/>
          <w:szCs w:val="26"/>
        </w:rPr>
        <w:t>Journal of Urban Mathematics Education, 1</w:t>
      </w:r>
      <w:r>
        <w:rPr>
          <w:color w:val="000000"/>
          <w:sz w:val="26"/>
          <w:szCs w:val="26"/>
        </w:rPr>
        <w:t>(1), 35-59. </w:t>
      </w:r>
    </w:p>
    <w:sectPr w:rsidR="005A1C33">
      <w:headerReference w:type="default" r:id="rId9"/>
      <w:footerReference w:type="even" r:id="rId10"/>
      <w:footerReference w:type="default" r:id="rId11"/>
      <w:pgSz w:w="11906" w:h="16838"/>
      <w:pgMar w:top="1701" w:right="1418" w:bottom="1418" w:left="1418"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DA0A95" w14:textId="77777777" w:rsidR="00433514" w:rsidRDefault="00433514">
      <w:r>
        <w:separator/>
      </w:r>
    </w:p>
  </w:endnote>
  <w:endnote w:type="continuationSeparator" w:id="0">
    <w:p w14:paraId="0C359A8A" w14:textId="77777777" w:rsidR="00433514" w:rsidRDefault="004335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8" w14:textId="77777777" w:rsidR="005A1C33" w:rsidRDefault="00000000">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00000019" w14:textId="77777777" w:rsidR="005A1C33" w:rsidRDefault="005A1C33">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A" w14:textId="01F8C251" w:rsidR="005A1C33" w:rsidRDefault="00000000">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separate"/>
    </w:r>
    <w:r w:rsidR="000634B7">
      <w:rPr>
        <w:noProof/>
        <w:color w:val="000000"/>
      </w:rPr>
      <w:t>1</w:t>
    </w:r>
    <w:r>
      <w:rPr>
        <w:color w:val="000000"/>
      </w:rPr>
      <w:fldChar w:fldCharType="end"/>
    </w:r>
  </w:p>
  <w:p w14:paraId="0000001B" w14:textId="77777777" w:rsidR="005A1C33" w:rsidRDefault="005A1C33">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E11429" w14:textId="77777777" w:rsidR="00433514" w:rsidRDefault="00433514">
      <w:r>
        <w:separator/>
      </w:r>
    </w:p>
  </w:footnote>
  <w:footnote w:type="continuationSeparator" w:id="0">
    <w:p w14:paraId="48C0A41C" w14:textId="77777777" w:rsidR="00433514" w:rsidRDefault="00433514">
      <w:r>
        <w:continuationSeparator/>
      </w:r>
    </w:p>
  </w:footnote>
  <w:footnote w:id="1">
    <w:p w14:paraId="00000014" w14:textId="77777777" w:rsidR="005A1C33" w:rsidRDefault="00000000">
      <w:pPr>
        <w:pBdr>
          <w:top w:val="nil"/>
          <w:left w:val="nil"/>
          <w:bottom w:val="nil"/>
          <w:right w:val="nil"/>
          <w:between w:val="nil"/>
        </w:pBdr>
        <w:rPr>
          <w:color w:val="000000"/>
        </w:rPr>
      </w:pPr>
      <w:r>
        <w:rPr>
          <w:vertAlign w:val="superscript"/>
        </w:rPr>
        <w:footnoteRef/>
      </w:r>
      <w:r>
        <w:rPr>
          <w:color w:val="000000"/>
        </w:rPr>
        <w:t xml:space="preserve"> This study is part of the </w:t>
      </w:r>
      <w:proofErr w:type="spellStart"/>
      <w:r>
        <w:rPr>
          <w:color w:val="000000"/>
        </w:rPr>
        <w:t>IMMPACT</w:t>
      </w:r>
      <w:proofErr w:type="spellEnd"/>
      <w:r>
        <w:rPr>
          <w:color w:val="000000"/>
        </w:rPr>
        <w:t xml:space="preserve">-project (VR 2021-05235), led by </w:t>
      </w:r>
      <w:proofErr w:type="gramStart"/>
      <w:r>
        <w:rPr>
          <w:color w:val="000000"/>
        </w:rPr>
        <w:t>professor</w:t>
      </w:r>
      <w:proofErr w:type="gramEnd"/>
      <w:r>
        <w:rPr>
          <w:color w:val="000000"/>
        </w:rPr>
        <w:t xml:space="preserve"> Paola Valero.</w:t>
      </w:r>
    </w:p>
    <w:p w14:paraId="00000015" w14:textId="77777777" w:rsidR="005A1C33" w:rsidRDefault="005A1C33">
      <w:pPr>
        <w:pBdr>
          <w:top w:val="nil"/>
          <w:left w:val="nil"/>
          <w:bottom w:val="nil"/>
          <w:right w:val="nil"/>
          <w:between w:val="nil"/>
        </w:pBdr>
        <w:spacing w:after="80"/>
        <w:ind w:left="113" w:right="454" w:hanging="113"/>
        <w:rPr>
          <w:rFonts w:ascii="Verdana" w:eastAsia="Verdana" w:hAnsi="Verdana" w:cs="Verdana"/>
          <w:i/>
          <w:color w:val="000000"/>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6" w14:textId="77777777" w:rsidR="005A1C33" w:rsidRDefault="005A1C33">
    <w:pPr>
      <w:jc w:val="right"/>
    </w:pPr>
  </w:p>
  <w:p w14:paraId="00000017" w14:textId="77777777" w:rsidR="005A1C33" w:rsidRDefault="005A1C33">
    <w:pP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1C33"/>
    <w:rsid w:val="000634B7"/>
    <w:rsid w:val="00433514"/>
    <w:rsid w:val="005A1C3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docId w15:val="{B32C1C8B-9BA2-6248-B591-0E03FE98E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read 2"/>
    <w:next w:val="Brdtextmedfrstaindrag2"/>
    <w:qFormat/>
    <w:rsid w:val="00B5345B"/>
  </w:style>
  <w:style w:type="paragraph" w:styleId="Rubrik1">
    <w:name w:val="heading 1"/>
    <w:aliases w:val="Title"/>
    <w:basedOn w:val="Rubrik"/>
    <w:next w:val="Rubrik8"/>
    <w:uiPriority w:val="9"/>
    <w:qFormat/>
    <w:rsid w:val="0070249D"/>
    <w:pPr>
      <w:keepNext/>
      <w:spacing w:before="0" w:after="0"/>
    </w:pPr>
    <w:rPr>
      <w:rFonts w:ascii="Times New Roman" w:hAnsi="Times New Roman"/>
      <w:b w:val="0"/>
      <w:bCs w:val="0"/>
      <w:sz w:val="44"/>
    </w:rPr>
  </w:style>
  <w:style w:type="paragraph" w:styleId="Rubrik2">
    <w:name w:val="heading 2"/>
    <w:aliases w:val="Head 1"/>
    <w:basedOn w:val="Rubrik"/>
    <w:next w:val="Brdtext"/>
    <w:uiPriority w:val="9"/>
    <w:unhideWhenUsed/>
    <w:qFormat/>
    <w:rsid w:val="0070249D"/>
    <w:pPr>
      <w:keepNext/>
      <w:spacing w:before="360" w:after="0"/>
      <w:jc w:val="left"/>
      <w:outlineLvl w:val="1"/>
    </w:pPr>
    <w:rPr>
      <w:rFonts w:ascii="Times New Roman" w:hAnsi="Times New Roman"/>
      <w:bCs w:val="0"/>
      <w:sz w:val="28"/>
    </w:rPr>
  </w:style>
  <w:style w:type="paragraph" w:styleId="Rubrik3">
    <w:name w:val="heading 3"/>
    <w:aliases w:val="Head 2"/>
    <w:basedOn w:val="Normal"/>
    <w:next w:val="Normal"/>
    <w:uiPriority w:val="9"/>
    <w:semiHidden/>
    <w:unhideWhenUsed/>
    <w:qFormat/>
    <w:rsid w:val="00866094"/>
    <w:pPr>
      <w:keepNext/>
      <w:spacing w:before="240"/>
      <w:outlineLvl w:val="2"/>
    </w:pPr>
    <w:rPr>
      <w:b/>
      <w:bCs/>
    </w:rPr>
  </w:style>
  <w:style w:type="paragraph" w:styleId="Rubrik4">
    <w:name w:val="heading 4"/>
    <w:aliases w:val="Head 3"/>
    <w:basedOn w:val="Rubrik"/>
    <w:next w:val="Brdtext"/>
    <w:link w:val="Rubrik4Char"/>
    <w:uiPriority w:val="9"/>
    <w:semiHidden/>
    <w:unhideWhenUsed/>
    <w:qFormat/>
    <w:rsid w:val="00101D8A"/>
    <w:pPr>
      <w:keepNext/>
      <w:spacing w:before="120" w:after="0"/>
      <w:jc w:val="left"/>
      <w:outlineLvl w:val="3"/>
    </w:pPr>
    <w:rPr>
      <w:rFonts w:ascii="Times New Roman" w:hAnsi="Times New Roman"/>
      <w:bCs w:val="0"/>
      <w:i/>
      <w:sz w:val="26"/>
    </w:rPr>
  </w:style>
  <w:style w:type="paragraph" w:styleId="Rubrik5">
    <w:name w:val="heading 5"/>
    <w:basedOn w:val="Normal"/>
    <w:next w:val="Normal"/>
    <w:uiPriority w:val="9"/>
    <w:semiHidden/>
    <w:unhideWhenUsed/>
    <w:qFormat/>
    <w:pPr>
      <w:keepNext/>
      <w:keepLines/>
      <w:spacing w:before="220" w:after="40"/>
      <w:outlineLvl w:val="4"/>
    </w:pPr>
    <w:rPr>
      <w:b/>
      <w:sz w:val="22"/>
      <w:szCs w:val="22"/>
    </w:rPr>
  </w:style>
  <w:style w:type="paragraph" w:styleId="Rubrik6">
    <w:name w:val="heading 6"/>
    <w:basedOn w:val="Normal"/>
    <w:next w:val="Normal"/>
    <w:uiPriority w:val="9"/>
    <w:semiHidden/>
    <w:unhideWhenUsed/>
    <w:qFormat/>
    <w:pPr>
      <w:keepNext/>
      <w:keepLines/>
      <w:spacing w:before="200" w:after="40"/>
      <w:outlineLvl w:val="5"/>
    </w:pPr>
    <w:rPr>
      <w:b/>
      <w:sz w:val="20"/>
      <w:szCs w:val="20"/>
    </w:rPr>
  </w:style>
  <w:style w:type="paragraph" w:styleId="Rubrik8">
    <w:name w:val="heading 8"/>
    <w:aliases w:val="Authors"/>
    <w:basedOn w:val="Rubrik"/>
    <w:next w:val="Normal"/>
    <w:link w:val="Rubrik8Char"/>
    <w:uiPriority w:val="9"/>
    <w:unhideWhenUsed/>
    <w:qFormat/>
    <w:rsid w:val="000C4CBD"/>
    <w:pPr>
      <w:spacing w:before="360" w:after="0"/>
      <w:outlineLvl w:val="7"/>
    </w:pPr>
    <w:rPr>
      <w:rFonts w:ascii="Times New Roman" w:hAnsi="Times New Roman"/>
      <w:iCs/>
      <w:sz w:val="28"/>
      <w:szCs w:val="24"/>
    </w:rPr>
  </w:style>
  <w:style w:type="paragraph" w:styleId="Rubrik9">
    <w:name w:val="heading 9"/>
    <w:aliases w:val="Institution"/>
    <w:basedOn w:val="Rubrik"/>
    <w:next w:val="Normal"/>
    <w:link w:val="Rubrik9Char"/>
    <w:uiPriority w:val="9"/>
    <w:unhideWhenUsed/>
    <w:qFormat/>
    <w:rsid w:val="000C4CBD"/>
    <w:pPr>
      <w:spacing w:before="0" w:after="720"/>
      <w:outlineLvl w:val="8"/>
    </w:pPr>
    <w:rPr>
      <w:rFonts w:ascii="Times New Roman" w:hAnsi="Times New Roman"/>
      <w:b w:val="0"/>
      <w:sz w:val="28"/>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link w:val="RubrikChar"/>
    <w:uiPriority w:val="10"/>
    <w:qFormat/>
    <w:rsid w:val="009D176C"/>
    <w:pPr>
      <w:spacing w:before="240" w:after="60"/>
      <w:jc w:val="center"/>
      <w:outlineLvl w:val="0"/>
    </w:pPr>
    <w:rPr>
      <w:rFonts w:ascii="Calibri" w:hAnsi="Calibri"/>
      <w:b/>
      <w:bCs/>
      <w:kern w:val="28"/>
      <w:sz w:val="32"/>
      <w:szCs w:val="32"/>
    </w:rPr>
  </w:style>
  <w:style w:type="character" w:customStyle="1" w:styleId="RubrikChar">
    <w:name w:val="Rubrik Char"/>
    <w:link w:val="Rubrik"/>
    <w:uiPriority w:val="10"/>
    <w:rsid w:val="009D176C"/>
    <w:rPr>
      <w:rFonts w:ascii="Calibri" w:eastAsia="Times New Roman" w:hAnsi="Calibri" w:cs="Times New Roman"/>
      <w:b/>
      <w:bCs/>
      <w:kern w:val="28"/>
      <w:sz w:val="32"/>
      <w:szCs w:val="32"/>
      <w:lang w:val="en-GB" w:eastAsia="en-US"/>
    </w:rPr>
  </w:style>
  <w:style w:type="character" w:customStyle="1" w:styleId="Rubrik8Char">
    <w:name w:val="Rubrik 8 Char"/>
    <w:aliases w:val="Authors Char"/>
    <w:link w:val="Rubrik8"/>
    <w:uiPriority w:val="9"/>
    <w:rsid w:val="000C4CBD"/>
    <w:rPr>
      <w:rFonts w:eastAsia="Times New Roman" w:cs="Times New Roman"/>
      <w:b/>
      <w:bCs/>
      <w:iCs/>
      <w:kern w:val="28"/>
      <w:sz w:val="28"/>
      <w:szCs w:val="24"/>
      <w:lang w:val="en-GB" w:eastAsia="en-US"/>
    </w:rPr>
  </w:style>
  <w:style w:type="paragraph" w:styleId="Brdtext">
    <w:name w:val="Body Text"/>
    <w:aliases w:val="Bread 1"/>
    <w:basedOn w:val="Normal"/>
    <w:next w:val="Normal"/>
    <w:link w:val="BrdtextChar"/>
    <w:uiPriority w:val="99"/>
    <w:unhideWhenUsed/>
    <w:qFormat/>
    <w:rsid w:val="00FD5842"/>
  </w:style>
  <w:style w:type="character" w:customStyle="1" w:styleId="BrdtextChar">
    <w:name w:val="Brödtext Char"/>
    <w:aliases w:val="Bread 1 Char"/>
    <w:link w:val="Brdtext"/>
    <w:uiPriority w:val="99"/>
    <w:rsid w:val="00FD5842"/>
    <w:rPr>
      <w:sz w:val="26"/>
      <w:szCs w:val="28"/>
      <w:lang w:val="en-GB" w:eastAsia="en-US"/>
    </w:rPr>
  </w:style>
  <w:style w:type="character" w:customStyle="1" w:styleId="Rubrik4Char">
    <w:name w:val="Rubrik 4 Char"/>
    <w:aliases w:val="Head 3 Char"/>
    <w:link w:val="Rubrik4"/>
    <w:uiPriority w:val="9"/>
    <w:rsid w:val="00101D8A"/>
    <w:rPr>
      <w:rFonts w:eastAsia="Times New Roman" w:cs="Times New Roman"/>
      <w:b/>
      <w:i/>
      <w:kern w:val="28"/>
      <w:sz w:val="26"/>
      <w:szCs w:val="32"/>
      <w:lang w:val="en-GB" w:eastAsia="en-US"/>
    </w:rPr>
  </w:style>
  <w:style w:type="character" w:customStyle="1" w:styleId="Rubrik9Char">
    <w:name w:val="Rubrik 9 Char"/>
    <w:aliases w:val="Institution Char"/>
    <w:link w:val="Rubrik9"/>
    <w:uiPriority w:val="9"/>
    <w:rsid w:val="000C4CBD"/>
    <w:rPr>
      <w:rFonts w:eastAsia="Times New Roman" w:cs="Times New Roman"/>
      <w:bCs/>
      <w:kern w:val="28"/>
      <w:sz w:val="28"/>
      <w:szCs w:val="22"/>
      <w:lang w:val="en-GB" w:eastAsia="en-US"/>
    </w:rPr>
  </w:style>
  <w:style w:type="paragraph" w:customStyle="1" w:styleId="Numberedtranscript">
    <w:name w:val="Numbered transcript"/>
    <w:basedOn w:val="Normal"/>
    <w:qFormat/>
    <w:rsid w:val="00575777"/>
    <w:pPr>
      <w:tabs>
        <w:tab w:val="left" w:pos="1134"/>
      </w:tabs>
      <w:spacing w:before="60" w:after="60" w:line="300" w:lineRule="atLeast"/>
      <w:ind w:left="2693" w:right="425" w:hanging="2268"/>
    </w:pPr>
    <w:rPr>
      <w:szCs w:val="26"/>
    </w:rPr>
  </w:style>
  <w:style w:type="paragraph" w:customStyle="1" w:styleId="Citat1">
    <w:name w:val="Citat1"/>
    <w:basedOn w:val="Brdtext"/>
    <w:qFormat/>
    <w:rsid w:val="00D40F30"/>
    <w:pPr>
      <w:spacing w:before="120" w:after="120"/>
      <w:ind w:left="425" w:right="425"/>
    </w:pPr>
    <w:rPr>
      <w:szCs w:val="26"/>
    </w:rPr>
  </w:style>
  <w:style w:type="paragraph" w:customStyle="1" w:styleId="References">
    <w:name w:val="References"/>
    <w:basedOn w:val="Brdtext"/>
    <w:qFormat/>
    <w:rsid w:val="002A0C36"/>
    <w:pPr>
      <w:spacing w:line="300" w:lineRule="atLeast"/>
      <w:ind w:left="425" w:hanging="425"/>
    </w:pPr>
  </w:style>
  <w:style w:type="paragraph" w:customStyle="1" w:styleId="Endnote">
    <w:name w:val="Endnote"/>
    <w:basedOn w:val="Normal"/>
    <w:qFormat/>
    <w:rsid w:val="002A0C36"/>
    <w:pPr>
      <w:spacing w:line="300" w:lineRule="atLeast"/>
    </w:pPr>
  </w:style>
  <w:style w:type="paragraph" w:styleId="Sidfot">
    <w:name w:val="footer"/>
    <w:basedOn w:val="Normal"/>
    <w:rsid w:val="008914F1"/>
    <w:pPr>
      <w:tabs>
        <w:tab w:val="center" w:pos="4320"/>
        <w:tab w:val="right" w:pos="8640"/>
      </w:tabs>
    </w:pPr>
  </w:style>
  <w:style w:type="paragraph" w:customStyle="1" w:styleId="Transcript">
    <w:name w:val="Transcript"/>
    <w:basedOn w:val="Normal"/>
    <w:qFormat/>
    <w:rsid w:val="00575777"/>
    <w:pPr>
      <w:spacing w:before="60" w:after="60" w:line="300" w:lineRule="atLeast"/>
      <w:ind w:left="1843" w:right="425" w:hanging="1418"/>
    </w:pPr>
    <w:rPr>
      <w:szCs w:val="26"/>
    </w:rPr>
  </w:style>
  <w:style w:type="character" w:styleId="Sidnummer">
    <w:name w:val="page number"/>
    <w:basedOn w:val="Standardstycketeckensnitt"/>
    <w:rsid w:val="008914F1"/>
  </w:style>
  <w:style w:type="character" w:customStyle="1" w:styleId="HeadtableChar">
    <w:name w:val="Head table Char"/>
    <w:link w:val="Headtable"/>
    <w:rsid w:val="008B3B99"/>
    <w:rPr>
      <w:sz w:val="26"/>
      <w:szCs w:val="28"/>
      <w:lang w:val="en-GB" w:eastAsia="en-US"/>
    </w:rPr>
  </w:style>
  <w:style w:type="paragraph" w:customStyle="1" w:styleId="Headtable">
    <w:name w:val="Head table"/>
    <w:basedOn w:val="Normal"/>
    <w:next w:val="Brdtext"/>
    <w:link w:val="HeadtableChar"/>
    <w:qFormat/>
    <w:rsid w:val="008B3B99"/>
    <w:pPr>
      <w:spacing w:before="120" w:after="120"/>
      <w:ind w:left="425" w:right="425"/>
    </w:pPr>
  </w:style>
  <w:style w:type="paragraph" w:customStyle="1" w:styleId="Abstract">
    <w:name w:val="Abstract"/>
    <w:basedOn w:val="Brdtext"/>
    <w:link w:val="AbstractChar"/>
    <w:qFormat/>
    <w:rsid w:val="00084739"/>
    <w:rPr>
      <w:i/>
    </w:rPr>
  </w:style>
  <w:style w:type="character" w:customStyle="1" w:styleId="AbstractChar">
    <w:name w:val="Abstract Char"/>
    <w:basedOn w:val="BrdtextChar"/>
    <w:link w:val="Abstract"/>
    <w:rsid w:val="00084739"/>
    <w:rPr>
      <w:i/>
      <w:sz w:val="26"/>
      <w:szCs w:val="28"/>
      <w:lang w:val="en-GB" w:eastAsia="en-US"/>
    </w:rPr>
  </w:style>
  <w:style w:type="character" w:styleId="Fotnotsreferens">
    <w:name w:val="footnote reference"/>
    <w:uiPriority w:val="99"/>
    <w:unhideWhenUsed/>
    <w:rsid w:val="0014644F"/>
    <w:rPr>
      <w:rFonts w:ascii="Times New Roman" w:hAnsi="Times New Roman"/>
      <w:vertAlign w:val="superscript"/>
    </w:rPr>
  </w:style>
  <w:style w:type="paragraph" w:styleId="Fotnotstext">
    <w:name w:val="footnote text"/>
    <w:basedOn w:val="Normal"/>
    <w:link w:val="FotnotstextChar"/>
    <w:uiPriority w:val="99"/>
    <w:unhideWhenUsed/>
    <w:rsid w:val="0014644F"/>
    <w:pPr>
      <w:spacing w:after="80" w:line="240" w:lineRule="atLeast"/>
      <w:ind w:left="113" w:right="454" w:hanging="113"/>
    </w:pPr>
    <w:rPr>
      <w:rFonts w:ascii="Verdana" w:eastAsia="Calibri" w:hAnsi="Verdana"/>
      <w:i/>
      <w:sz w:val="16"/>
      <w:szCs w:val="20"/>
    </w:rPr>
  </w:style>
  <w:style w:type="character" w:customStyle="1" w:styleId="FotnotstextChar">
    <w:name w:val="Fotnotstext Char"/>
    <w:basedOn w:val="Standardstycketeckensnitt"/>
    <w:link w:val="Fotnotstext"/>
    <w:uiPriority w:val="99"/>
    <w:rsid w:val="0014644F"/>
    <w:rPr>
      <w:rFonts w:ascii="Verdana" w:eastAsia="Calibri" w:hAnsi="Verdana"/>
      <w:i/>
      <w:sz w:val="16"/>
      <w:lang w:eastAsia="en-US"/>
    </w:rPr>
  </w:style>
  <w:style w:type="table" w:styleId="Tabellrutnt">
    <w:name w:val="Table Grid"/>
    <w:basedOn w:val="Normaltabell"/>
    <w:uiPriority w:val="59"/>
    <w:rsid w:val="0014644F"/>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qFormat/>
    <w:rsid w:val="00656111"/>
    <w:pPr>
      <w:ind w:left="720"/>
      <w:contextualSpacing/>
    </w:pPr>
    <w:rPr>
      <w:rFonts w:eastAsia="Calibri"/>
      <w:sz w:val="22"/>
      <w:szCs w:val="22"/>
    </w:rPr>
  </w:style>
  <w:style w:type="character" w:styleId="Kommentarsreferens">
    <w:name w:val="annotation reference"/>
    <w:basedOn w:val="Standardstycketeckensnitt"/>
    <w:semiHidden/>
    <w:unhideWhenUsed/>
    <w:rsid w:val="00747027"/>
    <w:rPr>
      <w:sz w:val="16"/>
      <w:szCs w:val="16"/>
    </w:rPr>
  </w:style>
  <w:style w:type="paragraph" w:styleId="Kommentarer">
    <w:name w:val="annotation text"/>
    <w:basedOn w:val="Normal"/>
    <w:link w:val="KommentarerChar"/>
    <w:semiHidden/>
    <w:unhideWhenUsed/>
    <w:rsid w:val="00747027"/>
    <w:rPr>
      <w:sz w:val="20"/>
      <w:szCs w:val="20"/>
    </w:rPr>
  </w:style>
  <w:style w:type="character" w:customStyle="1" w:styleId="KommentarerChar">
    <w:name w:val="Kommentarer Char"/>
    <w:basedOn w:val="Standardstycketeckensnitt"/>
    <w:link w:val="Kommentarer"/>
    <w:semiHidden/>
    <w:rsid w:val="00747027"/>
    <w:rPr>
      <w:lang w:val="en-GB" w:eastAsia="en-US"/>
    </w:rPr>
  </w:style>
  <w:style w:type="paragraph" w:styleId="Kommentarsmne">
    <w:name w:val="annotation subject"/>
    <w:basedOn w:val="Kommentarer"/>
    <w:next w:val="Kommentarer"/>
    <w:link w:val="KommentarsmneChar"/>
    <w:semiHidden/>
    <w:unhideWhenUsed/>
    <w:rsid w:val="00747027"/>
    <w:rPr>
      <w:b/>
      <w:bCs/>
    </w:rPr>
  </w:style>
  <w:style w:type="character" w:customStyle="1" w:styleId="KommentarsmneChar">
    <w:name w:val="Kommentarsämne Char"/>
    <w:basedOn w:val="KommentarerChar"/>
    <w:link w:val="Kommentarsmne"/>
    <w:semiHidden/>
    <w:rsid w:val="00747027"/>
    <w:rPr>
      <w:b/>
      <w:bCs/>
      <w:lang w:val="en-GB" w:eastAsia="en-US"/>
    </w:rPr>
  </w:style>
  <w:style w:type="paragraph" w:styleId="Beskrivning">
    <w:name w:val="caption"/>
    <w:basedOn w:val="Normal"/>
    <w:next w:val="Normal"/>
    <w:unhideWhenUsed/>
    <w:rsid w:val="00353F90"/>
    <w:pPr>
      <w:spacing w:after="200"/>
    </w:pPr>
    <w:rPr>
      <w:i/>
      <w:iCs/>
      <w:color w:val="1F497D" w:themeColor="text2"/>
      <w:sz w:val="18"/>
      <w:szCs w:val="18"/>
    </w:rPr>
  </w:style>
  <w:style w:type="paragraph" w:styleId="Brdtextmedindrag2">
    <w:name w:val="Body Text Indent 2"/>
    <w:basedOn w:val="Normal"/>
    <w:link w:val="Brdtextmedindrag2Char"/>
    <w:rsid w:val="00CB5B5C"/>
    <w:pPr>
      <w:spacing w:after="120" w:line="480" w:lineRule="auto"/>
      <w:ind w:left="283"/>
    </w:pPr>
  </w:style>
  <w:style w:type="character" w:customStyle="1" w:styleId="Brdtextmedindrag2Char">
    <w:name w:val="Brödtext med indrag 2 Char"/>
    <w:basedOn w:val="Standardstycketeckensnitt"/>
    <w:link w:val="Brdtextmedindrag2"/>
    <w:rsid w:val="00CB5B5C"/>
    <w:rPr>
      <w:sz w:val="26"/>
      <w:szCs w:val="28"/>
      <w:lang w:val="en-GB" w:eastAsia="en-US"/>
    </w:rPr>
  </w:style>
  <w:style w:type="paragraph" w:styleId="Brdtext2">
    <w:name w:val="Body Text 2"/>
    <w:basedOn w:val="Normal"/>
    <w:link w:val="Brdtext2Char"/>
    <w:rsid w:val="00CB5B5C"/>
    <w:pPr>
      <w:spacing w:after="120" w:line="480" w:lineRule="auto"/>
    </w:pPr>
  </w:style>
  <w:style w:type="character" w:customStyle="1" w:styleId="Brdtext2Char">
    <w:name w:val="Brödtext 2 Char"/>
    <w:basedOn w:val="Standardstycketeckensnitt"/>
    <w:link w:val="Brdtext2"/>
    <w:rsid w:val="00CB5B5C"/>
    <w:rPr>
      <w:sz w:val="26"/>
      <w:szCs w:val="28"/>
      <w:lang w:val="en-GB" w:eastAsia="en-US"/>
    </w:rPr>
  </w:style>
  <w:style w:type="paragraph" w:styleId="Normalwebb">
    <w:name w:val="Normal (Web)"/>
    <w:basedOn w:val="Normal"/>
    <w:uiPriority w:val="99"/>
    <w:unhideWhenUsed/>
    <w:rsid w:val="00F412DC"/>
    <w:pPr>
      <w:spacing w:before="100" w:beforeAutospacing="1" w:after="100" w:afterAutospacing="1"/>
    </w:pPr>
  </w:style>
  <w:style w:type="character" w:styleId="Hyperlnk">
    <w:name w:val="Hyperlink"/>
    <w:basedOn w:val="Standardstycketeckensnitt"/>
    <w:uiPriority w:val="99"/>
    <w:unhideWhenUsed/>
    <w:rsid w:val="00B5345B"/>
    <w:rPr>
      <w:color w:val="0000FF"/>
      <w:u w:val="single"/>
    </w:rPr>
  </w:style>
  <w:style w:type="paragraph" w:styleId="Litteraturfrteckning">
    <w:name w:val="Bibliography"/>
    <w:basedOn w:val="Normal"/>
    <w:next w:val="Normal"/>
    <w:semiHidden/>
    <w:unhideWhenUsed/>
    <w:rsid w:val="00E22AD0"/>
  </w:style>
  <w:style w:type="paragraph" w:styleId="Brdtextmedindrag">
    <w:name w:val="Body Text Indent"/>
    <w:basedOn w:val="Normal"/>
    <w:link w:val="BrdtextmedindragChar"/>
    <w:semiHidden/>
    <w:unhideWhenUsed/>
    <w:rsid w:val="00AD5209"/>
    <w:pPr>
      <w:spacing w:after="120"/>
      <w:ind w:left="283"/>
    </w:pPr>
  </w:style>
  <w:style w:type="character" w:customStyle="1" w:styleId="BrdtextmedindragChar">
    <w:name w:val="Brödtext med indrag Char"/>
    <w:basedOn w:val="Standardstycketeckensnitt"/>
    <w:link w:val="Brdtextmedindrag"/>
    <w:semiHidden/>
    <w:rsid w:val="00AD5209"/>
    <w:rPr>
      <w:sz w:val="24"/>
      <w:szCs w:val="24"/>
    </w:rPr>
  </w:style>
  <w:style w:type="paragraph" w:styleId="Brdtextmedfrstaindrag2">
    <w:name w:val="Body Text First Indent 2"/>
    <w:basedOn w:val="Brdtextmedindrag"/>
    <w:link w:val="Brdtextmedfrstaindrag2Char"/>
    <w:unhideWhenUsed/>
    <w:rsid w:val="00AA464E"/>
    <w:pPr>
      <w:spacing w:after="0"/>
      <w:ind w:left="0" w:firstLine="360"/>
    </w:pPr>
  </w:style>
  <w:style w:type="character" w:customStyle="1" w:styleId="Brdtextmedfrstaindrag2Char">
    <w:name w:val="Brödtext med första indrag 2 Char"/>
    <w:basedOn w:val="BrdtextmedindragChar"/>
    <w:link w:val="Brdtextmedfrstaindrag2"/>
    <w:rsid w:val="00AA464E"/>
    <w:rPr>
      <w:sz w:val="24"/>
      <w:szCs w:val="24"/>
      <w:lang w:val="en-US"/>
    </w:rPr>
  </w:style>
  <w:style w:type="character" w:styleId="Olstomnmnande">
    <w:name w:val="Unresolved Mention"/>
    <w:basedOn w:val="Standardstycketeckensnitt"/>
    <w:uiPriority w:val="99"/>
    <w:semiHidden/>
    <w:unhideWhenUsed/>
    <w:rsid w:val="004C7665"/>
    <w:rPr>
      <w:color w:val="605E5C"/>
      <w:shd w:val="clear" w:color="auto" w:fill="E1DFDD"/>
    </w:rPr>
  </w:style>
  <w:style w:type="character" w:styleId="AnvndHyperlnk">
    <w:name w:val="FollowedHyperlink"/>
    <w:basedOn w:val="Standardstycketeckensnitt"/>
    <w:semiHidden/>
    <w:unhideWhenUsed/>
    <w:rsid w:val="004C7665"/>
    <w:rPr>
      <w:color w:val="800080" w:themeColor="followedHyperlink"/>
      <w:u w:val="single"/>
    </w:rPr>
  </w:style>
  <w:style w:type="paragraph" w:styleId="Revision">
    <w:name w:val="Revision"/>
    <w:hidden/>
    <w:semiHidden/>
    <w:rsid w:val="00835145"/>
  </w:style>
  <w:style w:type="paragraph" w:customStyle="1" w:styleId="p1">
    <w:name w:val="p1"/>
    <w:basedOn w:val="Normal"/>
    <w:rsid w:val="0006111D"/>
    <w:pPr>
      <w:spacing w:before="100" w:beforeAutospacing="1" w:after="100" w:afterAutospacing="1"/>
    </w:pPr>
  </w:style>
  <w:style w:type="character" w:customStyle="1" w:styleId="apple-converted-space">
    <w:name w:val="apple-converted-space"/>
    <w:basedOn w:val="Standardstycketeckensnitt"/>
    <w:rsid w:val="0006111D"/>
  </w:style>
  <w:style w:type="paragraph" w:styleId="Underrubrik">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doi.org/10.1080/23322969.2020.1835529"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oi.org/10.48059/uod.v31i1.1866"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wiHwSquU+DdhtjxqGQb8VOBspQ==">CgMxLjA4AHIhMWxTS3dMbmN0UzZRdUZpalJoMW9yYy1aNy15Um4tQVdu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864</Words>
  <Characters>4584</Characters>
  <Application>Microsoft Office Word</Application>
  <DocSecurity>0</DocSecurity>
  <Lines>38</Lines>
  <Paragraphs>10</Paragraphs>
  <ScaleCrop>false</ScaleCrop>
  <Company/>
  <LinksUpToDate>false</LinksUpToDate>
  <CharactersWithSpaces>5438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Hanna Palmér</cp:lastModifiedBy>
  <cp:revision>1</cp:revision>
  <dcterms:created xsi:type="dcterms:W3CDTF">2024-01-25T08:31:00Z</dcterms:created>
  <dcterms:modified xsi:type="dcterms:W3CDTF">2024-01-25T08:55:00Z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c265df2eb0638c41feaa17ee1799eb86aadfd2dfae1f610fa3b81c9b4a8ab774</vt:lpwstr>
  </property>
</Properties>
</file>