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31E74" w14:textId="0DAB5E40" w:rsidR="00E70133" w:rsidRPr="00E70133" w:rsidRDefault="00E70133" w:rsidP="00C127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sz w:val="44"/>
          <w:szCs w:val="44"/>
          <w:lang w:eastAsia="sv-SE"/>
          <w14:ligatures w14:val="none"/>
        </w:rPr>
        <w:t>Lärares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44"/>
          <w:szCs w:val="44"/>
          <w:lang w:eastAsia="sv-SE"/>
          <w14:ligatures w14:val="none"/>
        </w:rPr>
        <w:t xml:space="preserve"> tal om matematiska situationer</w:t>
      </w:r>
    </w:p>
    <w:p w14:paraId="32D3E093" w14:textId="77777777" w:rsidR="00C127C3" w:rsidRDefault="00C127C3" w:rsidP="00C127C3">
      <w:pPr>
        <w:jc w:val="center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</w:pPr>
    </w:p>
    <w:p w14:paraId="453418EA" w14:textId="48EFCE8D" w:rsidR="00E70133" w:rsidRPr="00E70133" w:rsidRDefault="00E70133" w:rsidP="00C127C3">
      <w:pPr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  <w:t>Malin Norberg &amp; Helena Vennberg</w:t>
      </w:r>
    </w:p>
    <w:p w14:paraId="7AAC9B80" w14:textId="25B16468" w:rsidR="00E70133" w:rsidRDefault="00E70133" w:rsidP="00527F04">
      <w:pPr>
        <w:spacing w:after="240"/>
        <w:jc w:val="center"/>
        <w:rPr>
          <w:rFonts w:ascii="TimesNewRomanPSMT" w:eastAsia="Times New Roman" w:hAnsi="TimesNewRomanPSMT" w:cs="Times New Roman"/>
          <w:kern w:val="0"/>
          <w:sz w:val="28"/>
          <w:szCs w:val="28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sz w:val="28"/>
          <w:szCs w:val="28"/>
          <w:lang w:eastAsia="sv-SE"/>
          <w14:ligatures w14:val="none"/>
        </w:rPr>
        <w:t>Umea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8"/>
          <w:szCs w:val="28"/>
          <w:lang w:eastAsia="sv-SE"/>
          <w14:ligatures w14:val="none"/>
        </w:rPr>
        <w:t>̊ universitet</w:t>
      </w:r>
    </w:p>
    <w:p w14:paraId="1F76D2C8" w14:textId="77777777" w:rsidR="00C127C3" w:rsidRPr="00E70133" w:rsidRDefault="00C127C3" w:rsidP="00C127C3">
      <w:pPr>
        <w:jc w:val="center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56886D6A" w14:textId="796DD2E5" w:rsidR="0096310B" w:rsidRPr="00527F04" w:rsidRDefault="0096310B" w:rsidP="00527F04">
      <w:pPr>
        <w:spacing w:before="100" w:beforeAutospacing="1" w:after="360"/>
        <w:jc w:val="both"/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</w:pPr>
      <w:r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D</w:t>
      </w:r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en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här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presentationen </w:t>
      </w:r>
      <w:r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beskriver</w:t>
      </w:r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en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pågående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studie om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arbete i matematikklassrummet. Tillsammans med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̊ verksamma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lågstadielärare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utforskar vi matematiska situationer i matematikundervisningen. Syftet med studien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att bidra med kunskap om vad som villkorar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möjligheter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att utveckla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tillgängliga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matematiska situationer. Studiens datamaterial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består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av videoupptagningar och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lärarnas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reflektionsloggar.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Preliminära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resultat kommer att kunna presenteras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̊ konferensen.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Målsättningen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,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förutom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uppna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̊ studiens syfte,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även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att utveckla ett verktyg som kan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utgöra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stöd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="00E70133" w:rsidRPr="00E70133">
        <w:rPr>
          <w:rFonts w:ascii="TimesNewRomanPS" w:eastAsia="Times New Roman" w:hAnsi="TimesNewRomanPS" w:cs="Times New Roman"/>
          <w:i/>
          <w:iCs/>
          <w:kern w:val="0"/>
          <w:sz w:val="26"/>
          <w:szCs w:val="26"/>
          <w:lang w:eastAsia="sv-SE"/>
          <w14:ligatures w14:val="none"/>
        </w:rPr>
        <w:t xml:space="preserve"> utveckling av matematikundervisning. </w:t>
      </w:r>
    </w:p>
    <w:p w14:paraId="218D14F8" w14:textId="340B2387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  <w:t>Inledning</w:t>
      </w:r>
    </w:p>
    <w:p w14:paraId="3C6A3DF8" w14:textId="26E1973E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Under den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här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presentationen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berättar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vi om 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pågående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studie 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arbete i matematikklassrummet. Studien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delstudien av tre, om elevers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tillgänglighet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till matematiken.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Tillgänglighet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definieras i studien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utifrån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Szönyi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och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Söderqvist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Dunkers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(2018) delaktighetsmodell. Tillsammans med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verksamma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lågstadielärare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utforskar vi matematiska situationer i matematikundervisningen. En matematisk situation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lärsituation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inom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ämnet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matematik. Det kan exempelvis vara en del av en matematiklektion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elever samtalar om matematik eller en introduktion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har 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genomgång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en grupp elever. I denna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delstudie kommer vi inte att studera vad som faktiskt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händer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klassrummet utan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denna delstudie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står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förståelse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den egna praktiken i fokus.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väljer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ut matematiska situationer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från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den egna praktiken som de reflekterar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över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reflektionen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tillhandahålls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ett reflektionsunderlag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stöttning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denna process, ett reflektionsunderlag som vi forskare utformar.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Lärarens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reflektionsunderlag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underlag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efterkommande samtal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genomförs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oss forskare och de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tillsammans.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gemensamma samtal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sedan grund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fortsatta planering och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iscensättning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matematikundervisning och kan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innebära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undervisningen utvecklas och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förändras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</w:p>
    <w:p w14:paraId="52D81EB2" w14:textId="77777777" w:rsidR="00E70133" w:rsidRPr="00E70133" w:rsidRDefault="00E70133" w:rsidP="00C127C3">
      <w:pPr>
        <w:ind w:firstLine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I denna studie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platsen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utövandet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central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vad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möjligt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förändra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ingår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denna studie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ett kollegialt sammanhang, tillsammans med forskare,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diskutera,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och utveckla den egna praktiken. Fokus i studien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inte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individerna i de matematiska situationerna utan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vad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händer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den egna praktiken och hur detta kan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förstås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</w:p>
    <w:p w14:paraId="481E7711" w14:textId="38E7D10B" w:rsidR="00E70133" w:rsidRDefault="00E70133" w:rsidP="00C127C3">
      <w:pPr>
        <w:ind w:firstLine="426"/>
        <w:jc w:val="both"/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</w:pPr>
      <w:r w:rsidRPr="00527F04">
        <w:rPr>
          <w:rFonts w:ascii="TimesNewRomanPS" w:eastAsia="Times New Roman" w:hAnsi="TimesNewRomanPS" w:cs="Times New Roman"/>
          <w:kern w:val="0"/>
          <w:sz w:val="26"/>
          <w:szCs w:val="26"/>
          <w:lang w:eastAsia="sv-SE"/>
          <w14:ligatures w14:val="none"/>
        </w:rPr>
        <w:t>Syftet</w:t>
      </w:r>
      <w:r w:rsidRPr="00E70133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sv-SE"/>
          <w14:ligatures w14:val="none"/>
        </w:rPr>
        <w:t xml:space="preserve"> </w:t>
      </w: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med studien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bidra med kunskap om vad som villkorar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möjligheter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utveckla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tillgängliga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matematiska situationer.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stöd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detta har vi formulerat tre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frågeställningar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rör</w:t>
      </w:r>
      <w:proofErr w:type="spellEnd"/>
      <w:r w:rsidR="0096310B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="00147440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</w:t>
      </w: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ärares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tal om: (1) Val av matematiska situationer, (2) Beskrivningar, tolkningar och analys av valda situationer och (3) Matematiska situationers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begränsande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villkor. </w:t>
      </w:r>
    </w:p>
    <w:p w14:paraId="6EF60120" w14:textId="77777777" w:rsidR="00C127C3" w:rsidRDefault="00C127C3" w:rsidP="00C127C3">
      <w:pPr>
        <w:ind w:firstLine="426"/>
        <w:jc w:val="both"/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</w:pPr>
    </w:p>
    <w:p w14:paraId="79DEF398" w14:textId="77777777" w:rsidR="00C127C3" w:rsidRDefault="00C127C3" w:rsidP="00C127C3">
      <w:pPr>
        <w:ind w:firstLine="426"/>
        <w:jc w:val="both"/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</w:pPr>
    </w:p>
    <w:p w14:paraId="1C915A71" w14:textId="77777777" w:rsidR="00C127C3" w:rsidRPr="00E70133" w:rsidRDefault="00C127C3" w:rsidP="00C127C3">
      <w:pPr>
        <w:ind w:firstLine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53CAB04D" w14:textId="77777777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  <w:t xml:space="preserve">Metod </w:t>
      </w:r>
    </w:p>
    <w:p w14:paraId="21DA4DBF" w14:textId="77777777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Studien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genomförs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tillsammans med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erfarna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lågstadiet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arbetar i parallellklasser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en skola i ett socioekonomiskt utsatt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område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och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under- visning fokuserar en strukturerad undervisning </w:t>
      </w:r>
      <w:proofErr w:type="spellStart"/>
      <w:proofErr w:type="gram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</w:t>
      </w:r>
      <w:proofErr w:type="spellEnd"/>
      <w:proofErr w:type="gram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TRR (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Tänka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, Resonera och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Räkna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)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används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läromedel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</w:t>
      </w:r>
    </w:p>
    <w:p w14:paraId="4EE54EB6" w14:textId="77777777" w:rsidR="00E70133" w:rsidRPr="00E70133" w:rsidRDefault="00E70133" w:rsidP="00C127C3">
      <w:pPr>
        <w:ind w:firstLine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Studiens datamaterial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består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videoupptagningar av ett antal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träffar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vi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tillsammans med de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tva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samt reflektionsloggar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arbetar med mellan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träffarna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. Under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träff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presenterade vi ett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utkast till en reflektionslogg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sedan hade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utgångspunkt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sitt urval av matematiska situationer.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kommer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därefter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genomföra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ett enskilt arbete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 med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hjälp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en reflektionslogg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väljer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ut matematiska situationer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från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sin matematikundervisning och reflekterar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över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dessa.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När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vi sedan ses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samtal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används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loggarna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stöd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samtal. </w:t>
      </w:r>
    </w:p>
    <w:p w14:paraId="4E096A0B" w14:textId="77777777" w:rsidR="00E70133" w:rsidRPr="00E70133" w:rsidRDefault="00E70133" w:rsidP="00C127C3">
      <w:pPr>
        <w:ind w:firstLine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roll som forskare kommer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innebära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vi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följer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process,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samtalspartners under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träffar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samt arbetar med att utveckla reflektionsloggen allt eftersom arbetet fortskrider.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Utifrån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vårt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gemensamma samtal arbetar vi forskare vidare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reflektionsloggen och reviderar den. Den reviderade versionen delas sedan ut till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genomför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nya urval av matematiska situationer med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utgångspunkt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den reviderade reflektionsloggen. Ett antal revideringar kommer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göras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där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målsättningen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utveckla ett verktyg som kan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användas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generellt. </w:t>
      </w:r>
    </w:p>
    <w:p w14:paraId="5A35FE3D" w14:textId="194E922F" w:rsidR="00E70133" w:rsidRPr="00E70133" w:rsidRDefault="00E70133" w:rsidP="00527F04">
      <w:pPr>
        <w:ind w:firstLine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Datamaterialet kommer att analyseras med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hjälp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av tematisk deduktiv analys (Braun &amp; Clarke, 2006) och teorin om praktikarkitektur, TPA (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Kemmis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&amp;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Grootenboer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, 2008). TPA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används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både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teoretisk ram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studera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tillgänglighet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i matematiska situationer men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även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som analysverktyg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första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och hitta utvecklingsbehov. </w:t>
      </w:r>
    </w:p>
    <w:p w14:paraId="400F3EDE" w14:textId="77777777" w:rsidR="00C127C3" w:rsidRDefault="00C127C3" w:rsidP="00C127C3">
      <w:pPr>
        <w:jc w:val="both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</w:pPr>
    </w:p>
    <w:p w14:paraId="6467469F" w14:textId="0F475EDF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r w:rsidRPr="00E7013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  <w:t xml:space="preserve">Avslutning </w:t>
      </w:r>
    </w:p>
    <w:p w14:paraId="690D2125" w14:textId="77777777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Preliminära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resultat kommer att kunna presenteras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pa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konferensen.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Målsättningen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,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förutom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uppna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̊ studiens syfte,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även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att utveckla ett verktyg som kan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utgöra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stöd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för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>lärares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sz w:val="26"/>
          <w:szCs w:val="26"/>
          <w:lang w:eastAsia="sv-SE"/>
          <w14:ligatures w14:val="none"/>
        </w:rPr>
        <w:t xml:space="preserve"> utveckling av matematikundervisning. </w:t>
      </w:r>
    </w:p>
    <w:p w14:paraId="76D2FCDE" w14:textId="77777777" w:rsidR="00C127C3" w:rsidRPr="00147440" w:rsidRDefault="00C127C3" w:rsidP="00C127C3">
      <w:pPr>
        <w:jc w:val="both"/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sv-SE"/>
          <w14:ligatures w14:val="none"/>
        </w:rPr>
      </w:pPr>
    </w:p>
    <w:p w14:paraId="37BD6B0C" w14:textId="75CA8EBE" w:rsidR="00E70133" w:rsidRPr="00C127C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proofErr w:type="spellStart"/>
      <w:r w:rsidRPr="00C127C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val="en-US" w:eastAsia="sv-SE"/>
          <w14:ligatures w14:val="none"/>
        </w:rPr>
        <w:t>Referenser</w:t>
      </w:r>
      <w:proofErr w:type="spellEnd"/>
      <w:r w:rsidRPr="00C127C3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val="en-US" w:eastAsia="sv-SE"/>
          <w14:ligatures w14:val="none"/>
        </w:rPr>
        <w:t xml:space="preserve"> </w:t>
      </w:r>
    </w:p>
    <w:p w14:paraId="78C086B2" w14:textId="3060DF59" w:rsidR="00E70133" w:rsidRPr="00E70133" w:rsidRDefault="00E70133" w:rsidP="00C127C3">
      <w:pPr>
        <w:ind w:left="426" w:hanging="426"/>
        <w:jc w:val="both"/>
        <w:rPr>
          <w:rFonts w:ascii="Times New Roman" w:eastAsia="Times New Roman" w:hAnsi="Times New Roman" w:cs="Times New Roman"/>
          <w:kern w:val="0"/>
          <w:lang w:val="en-US" w:eastAsia="sv-SE"/>
          <w14:ligatures w14:val="none"/>
        </w:rPr>
      </w:pPr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Braun, V. &amp; Clarke, V. (2006)</w:t>
      </w:r>
      <w:r w:rsidR="0096310B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.</w:t>
      </w:r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 Using thematic analysis in psychology. </w:t>
      </w:r>
      <w:r w:rsidRPr="00E70133">
        <w:rPr>
          <w:rFonts w:ascii="TimesNewRomanPS" w:eastAsia="Times New Roman" w:hAnsi="TimesNewRomanPS" w:cs="Times New Roman"/>
          <w:i/>
          <w:iCs/>
          <w:kern w:val="0"/>
          <w:lang w:val="en-US" w:eastAsia="sv-SE"/>
          <w14:ligatures w14:val="none"/>
        </w:rPr>
        <w:t>Qualitative Research in Psychology, 3</w:t>
      </w:r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(2), 77-101. </w:t>
      </w:r>
      <w:hyperlink r:id="rId4" w:history="1">
        <w:r w:rsidR="0096310B" w:rsidRPr="00527F04">
          <w:rPr>
            <w:rStyle w:val="Hyperlnk"/>
            <w:rFonts w:ascii="Times New Roman" w:hAnsi="Times New Roman" w:cs="Times New Roman"/>
            <w:color w:val="000000" w:themeColor="text1"/>
            <w:u w:val="none"/>
            <w:lang w:val="en-US"/>
          </w:rPr>
          <w:t>https://doi.org/10.1191/1478088706qp063oa</w:t>
        </w:r>
      </w:hyperlink>
    </w:p>
    <w:p w14:paraId="0CFC449E" w14:textId="54C40BA4" w:rsidR="00E70133" w:rsidRPr="00E70133" w:rsidRDefault="00E70133" w:rsidP="00C127C3">
      <w:pPr>
        <w:ind w:left="426" w:hanging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Kemmis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, S</w:t>
      </w:r>
      <w:r w:rsidR="00147440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.,</w:t>
      </w:r>
      <w:bookmarkStart w:id="0" w:name="_GoBack"/>
      <w:bookmarkEnd w:id="0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 &amp;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Grootenboer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, P. (2008). Situating praxis in practice: Practice architectures and the cultural, social and material conditions for practice. I S.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>Kemmis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 &amp; T. J. Smith (Red.), </w:t>
      </w:r>
      <w:r w:rsidRPr="00E70133">
        <w:rPr>
          <w:rFonts w:ascii="TimesNewRomanPS" w:eastAsia="Times New Roman" w:hAnsi="TimesNewRomanPS" w:cs="Times New Roman"/>
          <w:i/>
          <w:iCs/>
          <w:kern w:val="0"/>
          <w:lang w:val="en-US" w:eastAsia="sv-SE"/>
          <w14:ligatures w14:val="none"/>
        </w:rPr>
        <w:t xml:space="preserve">Enabling </w:t>
      </w:r>
      <w:r w:rsidR="0096310B">
        <w:rPr>
          <w:rFonts w:ascii="TimesNewRomanPS" w:eastAsia="Times New Roman" w:hAnsi="TimesNewRomanPS" w:cs="Times New Roman"/>
          <w:i/>
          <w:iCs/>
          <w:kern w:val="0"/>
          <w:lang w:val="en-US" w:eastAsia="sv-SE"/>
          <w14:ligatures w14:val="none"/>
        </w:rPr>
        <w:t>p</w:t>
      </w:r>
      <w:r w:rsidRPr="00E70133">
        <w:rPr>
          <w:rFonts w:ascii="TimesNewRomanPS" w:eastAsia="Times New Roman" w:hAnsi="TimesNewRomanPS" w:cs="Times New Roman"/>
          <w:i/>
          <w:iCs/>
          <w:kern w:val="0"/>
          <w:lang w:val="en-US" w:eastAsia="sv-SE"/>
          <w14:ligatures w14:val="none"/>
        </w:rPr>
        <w:t xml:space="preserve">raxis: Challenges for education </w:t>
      </w:r>
      <w:r w:rsidRPr="00E70133">
        <w:rPr>
          <w:rFonts w:ascii="TimesNewRomanPSMT" w:eastAsia="Times New Roman" w:hAnsi="TimesNewRomanPSMT" w:cs="Times New Roman"/>
          <w:kern w:val="0"/>
          <w:lang w:val="en-US" w:eastAsia="sv-SE"/>
          <w14:ligatures w14:val="none"/>
        </w:rPr>
        <w:t xml:space="preserve">(s. 37-64). </w:t>
      </w:r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 xml:space="preserve">Sense Publishers. </w:t>
      </w:r>
    </w:p>
    <w:p w14:paraId="44E10EBB" w14:textId="77777777" w:rsidR="00E70133" w:rsidRPr="00E70133" w:rsidRDefault="00E70133" w:rsidP="00C127C3">
      <w:pPr>
        <w:ind w:left="426" w:hanging="426"/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  <w:proofErr w:type="spellStart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>Szönyi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 xml:space="preserve">, K., &amp;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>Söderqvist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 xml:space="preserve"> </w:t>
      </w:r>
      <w:proofErr w:type="spellStart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>Dunkers</w:t>
      </w:r>
      <w:proofErr w:type="spellEnd"/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 xml:space="preserve">, T. (2018). </w:t>
      </w:r>
      <w:r w:rsidRPr="00527F04">
        <w:rPr>
          <w:rFonts w:ascii="TimesNewRomanPSMT" w:eastAsia="Times New Roman" w:hAnsi="TimesNewRomanPSMT" w:cs="Times New Roman"/>
          <w:i/>
          <w:iCs/>
          <w:kern w:val="0"/>
          <w:lang w:eastAsia="sv-SE"/>
          <w14:ligatures w14:val="none"/>
        </w:rPr>
        <w:t xml:space="preserve">Delaktighet – ett </w:t>
      </w:r>
      <w:proofErr w:type="spellStart"/>
      <w:r w:rsidRPr="00527F04">
        <w:rPr>
          <w:rFonts w:ascii="TimesNewRomanPSMT" w:eastAsia="Times New Roman" w:hAnsi="TimesNewRomanPSMT" w:cs="Times New Roman"/>
          <w:i/>
          <w:iCs/>
          <w:kern w:val="0"/>
          <w:lang w:eastAsia="sv-SE"/>
          <w14:ligatures w14:val="none"/>
        </w:rPr>
        <w:t>arbetssätt</w:t>
      </w:r>
      <w:proofErr w:type="spellEnd"/>
      <w:r w:rsidRPr="00527F04">
        <w:rPr>
          <w:rFonts w:ascii="TimesNewRomanPSMT" w:eastAsia="Times New Roman" w:hAnsi="TimesNewRomanPSMT" w:cs="Times New Roman"/>
          <w:i/>
          <w:iCs/>
          <w:kern w:val="0"/>
          <w:lang w:eastAsia="sv-SE"/>
          <w14:ligatures w14:val="none"/>
        </w:rPr>
        <w:t xml:space="preserve"> i skolan.</w:t>
      </w:r>
      <w:r w:rsidRPr="00E70133">
        <w:rPr>
          <w:rFonts w:ascii="TimesNewRomanPSMT" w:eastAsia="Times New Roman" w:hAnsi="TimesNewRomanPSMT" w:cs="Times New Roman"/>
          <w:kern w:val="0"/>
          <w:lang w:eastAsia="sv-SE"/>
          <w14:ligatures w14:val="none"/>
        </w:rPr>
        <w:t xml:space="preserve"> Specialpedagogiska skolmyndigheten. </w:t>
      </w:r>
    </w:p>
    <w:p w14:paraId="08FEF1A8" w14:textId="7E8B4274" w:rsidR="00E70133" w:rsidRPr="00E70133" w:rsidRDefault="00E70133" w:rsidP="00C127C3">
      <w:pPr>
        <w:jc w:val="both"/>
        <w:rPr>
          <w:rFonts w:ascii="Times New Roman" w:eastAsia="Times New Roman" w:hAnsi="Times New Roman" w:cs="Times New Roman"/>
          <w:kern w:val="0"/>
          <w:lang w:eastAsia="sv-SE"/>
          <w14:ligatures w14:val="none"/>
        </w:rPr>
      </w:pPr>
    </w:p>
    <w:p w14:paraId="7CB28A5A" w14:textId="77777777" w:rsidR="000979B0" w:rsidRDefault="000979B0" w:rsidP="00C127C3">
      <w:pPr>
        <w:jc w:val="both"/>
      </w:pPr>
    </w:p>
    <w:sectPr w:rsidR="0009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33"/>
    <w:rsid w:val="00060478"/>
    <w:rsid w:val="000979B0"/>
    <w:rsid w:val="00117659"/>
    <w:rsid w:val="00147440"/>
    <w:rsid w:val="0028068A"/>
    <w:rsid w:val="00437ADA"/>
    <w:rsid w:val="00444AF0"/>
    <w:rsid w:val="004C43C1"/>
    <w:rsid w:val="00513958"/>
    <w:rsid w:val="00527F04"/>
    <w:rsid w:val="0063342A"/>
    <w:rsid w:val="0069078B"/>
    <w:rsid w:val="00711766"/>
    <w:rsid w:val="00757CAC"/>
    <w:rsid w:val="00925F13"/>
    <w:rsid w:val="0096310B"/>
    <w:rsid w:val="00970596"/>
    <w:rsid w:val="009A5849"/>
    <w:rsid w:val="00A75F62"/>
    <w:rsid w:val="00A842D9"/>
    <w:rsid w:val="00C127C3"/>
    <w:rsid w:val="00D65418"/>
    <w:rsid w:val="00E70133"/>
    <w:rsid w:val="00EF4C7A"/>
    <w:rsid w:val="00F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9761"/>
  <w15:chartTrackingRefBased/>
  <w15:docId w15:val="{B7F0B98E-FEF6-5D4F-90B2-1D8CB5C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7013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evision">
    <w:name w:val="Revision"/>
    <w:hidden/>
    <w:uiPriority w:val="99"/>
    <w:semiHidden/>
    <w:rsid w:val="0096310B"/>
  </w:style>
  <w:style w:type="character" w:styleId="Hyperlnk">
    <w:name w:val="Hyperlink"/>
    <w:basedOn w:val="Standardstycketeckensnitt"/>
    <w:uiPriority w:val="99"/>
    <w:semiHidden/>
    <w:unhideWhenUsed/>
    <w:rsid w:val="00963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91/1478088706qp063o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4837</Characters>
  <Application>Microsoft Office Word</Application>
  <DocSecurity>0</DocSecurity>
  <Lines>75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Norberg</dc:creator>
  <cp:keywords/>
  <dc:description/>
  <cp:lastModifiedBy>Kerstin Pettersson</cp:lastModifiedBy>
  <cp:revision>2</cp:revision>
  <cp:lastPrinted>2024-01-04T09:33:00Z</cp:lastPrinted>
  <dcterms:created xsi:type="dcterms:W3CDTF">2024-01-22T17:41:00Z</dcterms:created>
  <dcterms:modified xsi:type="dcterms:W3CDTF">2024-01-22T17:41:00Z</dcterms:modified>
</cp:coreProperties>
</file>