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2913" w14:textId="77777777" w:rsidR="00235437" w:rsidRDefault="00235437" w:rsidP="00CE6A6A">
      <w:pPr>
        <w:pStyle w:val="Rubrik8"/>
        <w:rPr>
          <w:b w:val="0"/>
          <w:bCs w:val="0"/>
          <w:iCs w:val="0"/>
          <w:sz w:val="44"/>
          <w:szCs w:val="32"/>
        </w:rPr>
      </w:pPr>
      <w:r w:rsidRPr="00235437">
        <w:rPr>
          <w:b w:val="0"/>
          <w:bCs w:val="0"/>
          <w:iCs w:val="0"/>
          <w:sz w:val="44"/>
          <w:szCs w:val="32"/>
        </w:rPr>
        <w:t>Voices from the Field: Implementing New Education Policy in Classrooms and Challenges with Practice-Based Teacher Education Programs in India</w:t>
      </w:r>
    </w:p>
    <w:p w14:paraId="080E0699" w14:textId="54720F14" w:rsidR="00CE6A6A" w:rsidRDefault="00235437" w:rsidP="00CE6A6A">
      <w:pPr>
        <w:pStyle w:val="Rubrik8"/>
      </w:pPr>
      <w:r>
        <w:t>Harita Raval</w:t>
      </w:r>
    </w:p>
    <w:p w14:paraId="65C507C0" w14:textId="09C48E5F" w:rsidR="00ED2199" w:rsidRDefault="00235437" w:rsidP="00EE66AC">
      <w:pPr>
        <w:pStyle w:val="Rubrik9"/>
      </w:pPr>
      <w:r>
        <w:t>Stockholm University, Sweden</w:t>
      </w:r>
    </w:p>
    <w:p w14:paraId="1C474B33" w14:textId="41D8F623" w:rsidR="005508C0" w:rsidRDefault="00B552DF" w:rsidP="004E7029">
      <w:pPr>
        <w:pStyle w:val="Abstract"/>
      </w:pPr>
      <w:r w:rsidRPr="00B552DF">
        <w:t xml:space="preserve">This </w:t>
      </w:r>
      <w:r w:rsidR="000E4C7B">
        <w:t xml:space="preserve">presentation </w:t>
      </w:r>
      <w:r w:rsidRPr="00B552DF">
        <w:t xml:space="preserve">explores challenges in implementing India's 2020 New Education Policy (NEP), focusing on the readiness of two teacher educators and their adaptation to its transformative goals. The study uses </w:t>
      </w:r>
      <w:r w:rsidR="000E4C7B">
        <w:t xml:space="preserve">clinical </w:t>
      </w:r>
      <w:r w:rsidRPr="00B552DF">
        <w:t>interviews and Fairclough's discourse analysis to gain insights into the impact of NEP on practice-based teacher education, highlighting educators' struggles in aligning methodologies that NEP</w:t>
      </w:r>
      <w:r w:rsidR="000E4C7B">
        <w:t xml:space="preserve"> 2020</w:t>
      </w:r>
      <w:r w:rsidRPr="00B552DF">
        <w:t xml:space="preserve"> mandates. The perspectives of these two teacher educators reveal uncertainties, insufficiencies, and </w:t>
      </w:r>
      <w:r w:rsidRPr="00B85A69">
        <w:rPr>
          <w:color w:val="000000" w:themeColor="text1"/>
        </w:rPr>
        <w:t xml:space="preserve">chaos, emphasizing the practical gaps between policy expectations and implementation. The </w:t>
      </w:r>
      <w:r w:rsidR="00046446" w:rsidRPr="00B85A69">
        <w:rPr>
          <w:color w:val="000000" w:themeColor="text1"/>
        </w:rPr>
        <w:t>presentation</w:t>
      </w:r>
      <w:r w:rsidRPr="00B85A69">
        <w:rPr>
          <w:color w:val="000000" w:themeColor="text1"/>
        </w:rPr>
        <w:t xml:space="preserve"> serves as a reflection on the challenges faced in Indian teacher education, underscoring the need for collective efforts to bridge gaps between international benchmarks and contextual </w:t>
      </w:r>
      <w:r w:rsidRPr="00B552DF">
        <w:t>dynamics.</w:t>
      </w:r>
    </w:p>
    <w:p w14:paraId="3E8E0BFF" w14:textId="77777777" w:rsidR="004E7029" w:rsidRDefault="004E7029" w:rsidP="004E7029">
      <w:pPr>
        <w:pStyle w:val="Abstract"/>
      </w:pPr>
    </w:p>
    <w:p w14:paraId="28EAE527" w14:textId="11ACD03E" w:rsidR="00CE6A6A" w:rsidRDefault="00010676" w:rsidP="000761F4">
      <w:pPr>
        <w:pStyle w:val="Brdtext"/>
      </w:pPr>
      <w:r w:rsidRPr="00010676">
        <w:t>With the advent of the New Education Policy 2020 (</w:t>
      </w:r>
      <w:r w:rsidR="000E4C7B">
        <w:t>MHRD</w:t>
      </w:r>
      <w:r w:rsidRPr="00010676">
        <w:t>, 2020), India seeks to meet global standards in the field of education</w:t>
      </w:r>
      <w:r w:rsidR="009A64DA" w:rsidRPr="009A64DA">
        <w:t xml:space="preserve">. Transformation of classrooms and integration of practice-based teacher education programs are at the core of its vision. While these changes may be promising </w:t>
      </w:r>
      <w:r w:rsidR="00AF29BC">
        <w:t xml:space="preserve">regarding their potential impact on society, they also pose </w:t>
      </w:r>
      <w:r w:rsidR="009A64DA" w:rsidRPr="009A64DA">
        <w:t>challenges</w:t>
      </w:r>
      <w:r w:rsidR="006B22AE">
        <w:t xml:space="preserve"> </w:t>
      </w:r>
      <w:r w:rsidR="00B16E06">
        <w:t>in</w:t>
      </w:r>
      <w:r w:rsidR="00335353">
        <w:t xml:space="preserve"> implementation in the diverse context of India </w:t>
      </w:r>
      <w:r w:rsidR="00C21C75">
        <w:fldChar w:fldCharType="begin"/>
      </w:r>
      <w:r w:rsidR="00C21C75">
        <w:instrText xml:space="preserve"> ADDIN ZOTERO_ITEM CSL_CITATION {"citationID":"w1FwXYVM","properties":{"formattedCitation":"(Batra, 2023)","plainCitation":"(Batra, 2023)","noteIndex":0},"citationItems":[{"id":1272,"uris":["http://zotero.org/users/9422928/items/VBLAQQCN"],"itemData":{"id":1272,"type":"chapter","abstract":"Unprepared teachers and a stagnant teacher education sector characterized the landscape of Indian school education when elementary education was declared a fundamental right, more than a decade ago. A large number of teacher vacancies and the sizeable presence of professionally unqualified teachers posed critical challenges to the task of universalizing quality education. Private teacher education institutions (TEIs) increased manifold in the years preceding the Right to Education Act. The Supreme Court’s Justice Verma Commission noted that over 90% teachers were being prepared in private teacher education institutes, while 80% of elementary school children were enrolled in state schools. There has been a 13% rise in private TEIs since then.","container-title":"The Palgrave Handbook of Teacher Education Research","event-place":"Cham","ISBN":"978-3-031-16193-3","language":"en","note":"DOI: 10.1007/978-3-031-16193-3_50","page":"1061-1080","publisher":"Springer International Publishing","publisher-place":"Cham","source":"Springer Link","title":"Teacher Education in India: Virtual Capture of the “Public”","title-short":"Teacher Education in India","URL":"https://doi.org/10.1007/978-3-031-16193-3_50","author":[{"family":"Batra","given":"Poonam"}],"editor":[{"family":"Menter","given":"Ian"}],"accessed":{"date-parts":[["2023",9,11]]},"issued":{"date-parts":[["2023"]]}}}],"schema":"https://github.com/citation-style-language/schema/raw/master/csl-citation.json"} </w:instrText>
      </w:r>
      <w:r w:rsidR="00C21C75">
        <w:fldChar w:fldCharType="separate"/>
      </w:r>
      <w:r w:rsidR="00C21C75">
        <w:rPr>
          <w:noProof/>
        </w:rPr>
        <w:t>(Batra, 2023)</w:t>
      </w:r>
      <w:r w:rsidR="00C21C75">
        <w:fldChar w:fldCharType="end"/>
      </w:r>
      <w:r w:rsidR="009A64DA" w:rsidRPr="009A64DA">
        <w:t xml:space="preserve">. </w:t>
      </w:r>
      <w:r w:rsidR="0058114B" w:rsidRPr="00284CB6">
        <w:t xml:space="preserve">As the NEP policy is </w:t>
      </w:r>
      <w:r w:rsidR="0058114B">
        <w:t xml:space="preserve">being </w:t>
      </w:r>
      <w:r w:rsidR="0058114B" w:rsidRPr="00284CB6">
        <w:t>implemented, it presents numerous challenges for teacher educators who are not adequately prepare</w:t>
      </w:r>
      <w:r w:rsidR="0058114B">
        <w:t xml:space="preserve">d </w:t>
      </w:r>
      <w:r w:rsidR="00C21C75">
        <w:fldChar w:fldCharType="begin"/>
      </w:r>
      <w:r w:rsidR="00C21C75">
        <w:instrText xml:space="preserve"> ADDIN ZOTERO_ITEM CSL_CITATION {"citationID":"gLggnfxc","properties":{"formattedCitation":"(Batra, 2023)","plainCitation":"(Batra, 2023)","noteIndex":0},"citationItems":[{"id":1272,"uris":["http://zotero.org/users/9422928/items/VBLAQQCN"],"itemData":{"id":1272,"type":"chapter","abstract":"Unprepared teachers and a stagnant teacher education sector characterized the landscape of Indian school education when elementary education was declared a fundamental right, more than a decade ago. A large number of teacher vacancies and the sizeable presence of professionally unqualified teachers posed critical challenges to the task of universalizing quality education. Private teacher education institutions (TEIs) increased manifold in the years preceding the Right to Education Act. The Supreme Court’s Justice Verma Commission noted that over 90% teachers were being prepared in private teacher education institutes, while 80% of elementary school children were enrolled in state schools. There has been a 13% rise in private TEIs since then.","container-title":"The Palgrave Handbook of Teacher Education Research","event-place":"Cham","ISBN":"978-3-031-16193-3","language":"en","note":"DOI: 10.1007/978-3-031-16193-3_50","page":"1061-1080","publisher":"Springer International Publishing","publisher-place":"Cham","source":"Springer Link","title":"Teacher Education in India: Virtual Capture of the “Public”","title-short":"Teacher Education in India","URL":"https://doi.org/10.1007/978-3-031-16193-3_50","author":[{"family":"Batra","given":"Poonam"}],"editor":[{"family":"Menter","given":"Ian"}],"accessed":{"date-parts":[["2023",9,11]]},"issued":{"date-parts":[["2023"]]}}}],"schema":"https://github.com/citation-style-language/schema/raw/master/csl-citation.json"} </w:instrText>
      </w:r>
      <w:r w:rsidR="00C21C75">
        <w:fldChar w:fldCharType="separate"/>
      </w:r>
      <w:r w:rsidR="00C21C75">
        <w:rPr>
          <w:noProof/>
        </w:rPr>
        <w:t>(Batra, 2023)</w:t>
      </w:r>
      <w:r w:rsidR="00C21C75">
        <w:fldChar w:fldCharType="end"/>
      </w:r>
      <w:r w:rsidR="0058114B" w:rsidRPr="00284CB6">
        <w:t>.</w:t>
      </w:r>
      <w:r w:rsidR="0058114B">
        <w:t xml:space="preserve"> </w:t>
      </w:r>
      <w:r w:rsidR="00C92D04">
        <w:t xml:space="preserve">This </w:t>
      </w:r>
      <w:r w:rsidR="000E4C7B">
        <w:t xml:space="preserve">presentation </w:t>
      </w:r>
      <w:r w:rsidR="00C92D04">
        <w:t>aims</w:t>
      </w:r>
      <w:r w:rsidR="00C25DCB" w:rsidRPr="00C25DCB">
        <w:t xml:space="preserve"> to investigate </w:t>
      </w:r>
      <w:r w:rsidR="00335353">
        <w:t xml:space="preserve">how </w:t>
      </w:r>
      <w:r w:rsidR="0058114B">
        <w:t xml:space="preserve">teacher educators </w:t>
      </w:r>
      <w:r w:rsidR="00123490">
        <w:t xml:space="preserve">are navigating the system with the agency they have. </w:t>
      </w:r>
      <w:r w:rsidR="00C25DCB" w:rsidRPr="00C25DCB">
        <w:t xml:space="preserve">This examination is based on </w:t>
      </w:r>
      <w:r w:rsidR="000E4C7B">
        <w:t xml:space="preserve">clinical </w:t>
      </w:r>
      <w:r w:rsidR="00C25DCB" w:rsidRPr="00C25DCB">
        <w:t>interviews</w:t>
      </w:r>
      <w:r w:rsidR="0058114B" w:rsidRPr="0058114B">
        <w:t>, and</w:t>
      </w:r>
      <w:r w:rsidR="00BC2692" w:rsidRPr="0058114B">
        <w:t xml:space="preserve"> </w:t>
      </w:r>
      <w:r w:rsidR="0058114B" w:rsidRPr="00E45846">
        <w:t>the</w:t>
      </w:r>
      <w:r w:rsidR="00BC2692" w:rsidRPr="00E45846">
        <w:t xml:space="preserve"> research question</w:t>
      </w:r>
      <w:r w:rsidR="0058114B">
        <w:t>:</w:t>
      </w:r>
      <w:r w:rsidR="00BC2692">
        <w:t xml:space="preserve"> </w:t>
      </w:r>
      <w:r w:rsidR="00CE00EE" w:rsidRPr="00CE00EE">
        <w:t>What insights do the interviews with teacher educators reveal concerning India's NEP implementation and challenges in practice-based teacher education?</w:t>
      </w:r>
    </w:p>
    <w:p w14:paraId="7AAB58C6" w14:textId="4D74CC9A" w:rsidR="005A6C6E" w:rsidRDefault="0058114B" w:rsidP="00E45846">
      <w:r>
        <w:t>D</w:t>
      </w:r>
      <w:r w:rsidR="008C437C" w:rsidRPr="008C437C">
        <w:t xml:space="preserve">iscourse </w:t>
      </w:r>
      <w:r>
        <w:t>analysis</w:t>
      </w:r>
      <w:r w:rsidR="008C437C" w:rsidRPr="008C437C">
        <w:t xml:space="preserve"> provid</w:t>
      </w:r>
      <w:r>
        <w:t>es</w:t>
      </w:r>
      <w:r w:rsidR="008C437C" w:rsidRPr="008C437C">
        <w:t xml:space="preserve"> a tool for critiquing the ideology that manifests at the border of policy and society.</w:t>
      </w:r>
      <w:r w:rsidR="008C437C">
        <w:t xml:space="preserve"> </w:t>
      </w:r>
      <w:r w:rsidR="008C437C" w:rsidRPr="008C437C">
        <w:t>Discourse about any policy is defined by a set of characterizing frameworks created by the authority. Also, these discourses establish the socio</w:t>
      </w:r>
      <w:r w:rsidR="00970946">
        <w:t>-</w:t>
      </w:r>
      <w:r w:rsidR="008C437C" w:rsidRPr="008C437C">
        <w:t xml:space="preserve">political context </w:t>
      </w:r>
      <w:r w:rsidR="009E24E9">
        <w:fldChar w:fldCharType="begin"/>
      </w:r>
      <w:r w:rsidR="009E24E9">
        <w:instrText xml:space="preserve"> ADDIN ZOTERO_ITEM CSL_CITATION {"citationID":"VIafnexl","properties":{"formattedCitation":"(Oudatzis &amp; Tzikas, 2022)","plainCitation":"(Oudatzis &amp; Tzikas, 2022)","noteIndex":0},"citationItems":[{"id":1423,"uris":["http://zotero.org/users/9422928/items/W5V8HUKE"],"itemData":{"id":1423,"type":"article-journal","abstract":"Changing the system allowing access to Tertiary Education is a top priority of Greek governments; it often has a fragmentary character without parallel systemic interventions. The recent (2021) enactment of the 'minimum admission base' to Tertiary Education is a renewed version of a similar reform by the same governing party back in 2005, reflecting the timelessness of the issue and the strong signifying ideological grounds. The urgency for reformation is created using prosaic excuses indicating an educational crisis, with references to a long-standing 'pathology' of symptoms and obsolete obsessions that prevent any prospects for growth in the country. Employing the discourse-historical approach (DHA), we analyse the role of language in constructing and presenting problematics on the quality of students entering Tertiary Education, the establishment of a necessary political initiative and collateral process naturalising and legitimising solutions which superficially reinforce aspects of educational and social inequality. Reframing the argument within a contemporary context highlights their deep roots in given ideological references despite efforts to depoliticise the matter and its The Right to Choose 387 | P a g e consequent, political and social, implications due to the selection and allocation of the student population. We confirmed the attempt to depoliticise the matter by exploiting the rhetorical use of language, the role of texts to convince public and interested masses by constructing a narrative of qualitative upgrading of educational output as a naturalised and self-evident intervention so as to disengage it from related socioeconomic aspects and consequences.","page":"386-431","source":"ResearchGate","title":"The Right to Choose: Political Discourses, Ideological connotations and their impact on Reforms regarding the 'entrance system' to Higher Education, in Greece","title-short":"The Right to Choose","volume":"19","author":[{"family":"Oudatzis","given":"Nikolaos"},{"family":"Tzikas","given":"Konstantinos"}],"issued":{"date-parts":[["2022",2,10]]}}}],"schema":"https://github.com/citation-style-language/schema/raw/master/csl-citation.json"} </w:instrText>
      </w:r>
      <w:r w:rsidR="009E24E9">
        <w:fldChar w:fldCharType="separate"/>
      </w:r>
      <w:r w:rsidR="009E24E9">
        <w:rPr>
          <w:noProof/>
        </w:rPr>
        <w:t>(Oudatzis &amp; Tzikas, 2022)</w:t>
      </w:r>
      <w:r w:rsidR="009E24E9">
        <w:fldChar w:fldCharType="end"/>
      </w:r>
      <w:r w:rsidR="008C437C" w:rsidRPr="008C437C">
        <w:t>.</w:t>
      </w:r>
      <w:r>
        <w:t xml:space="preserve"> </w:t>
      </w:r>
      <w:r w:rsidR="00C21C75">
        <w:fldChar w:fldCharType="begin"/>
      </w:r>
      <w:r w:rsidR="00C21C75">
        <w:instrText xml:space="preserve"> ADDIN ZOTERO_ITEM CSL_CITATION {"citationID":"x93dJMqu","properties":{"formattedCitation":"(Fairclough, 1992)","plainCitation":"(Fairclough, 1992)","noteIndex":0},"citationItems":[{"id":1427,"uris":["http://zotero.org/users/9422928/items/FJ3I35QF"],"itemData":{"id":1427,"type":"article-journal","container-title":"Polity Press","source":"Google Scholar","title":"Discourse and social change","URL":"https://cir.nii.ac.jp/crid/1130282271864346112","author":[{"family":"Fairclough","given":"Norman"}],"accessed":{"date-parts":[["2024",1,26]]},"issued":{"date-parts":[["1992"]]}}}],"schema":"https://github.com/citation-style-language/schema/raw/master/csl-citation.json"} </w:instrText>
      </w:r>
      <w:r w:rsidR="00C21C75">
        <w:fldChar w:fldCharType="separate"/>
      </w:r>
      <w:r w:rsidR="00C21C75">
        <w:rPr>
          <w:noProof/>
        </w:rPr>
        <w:t>(Fairclough, 1992)</w:t>
      </w:r>
      <w:r w:rsidR="00C21C75">
        <w:fldChar w:fldCharType="end"/>
      </w:r>
      <w:r>
        <w:t xml:space="preserve"> </w:t>
      </w:r>
      <w:r w:rsidR="00E93816" w:rsidRPr="00E93816">
        <w:t xml:space="preserve">critical discourse analysis framework offers a nuanced view </w:t>
      </w:r>
      <w:r w:rsidR="00C92D04">
        <w:t>of</w:t>
      </w:r>
      <w:r w:rsidR="00E93816" w:rsidRPr="00E93816">
        <w:t xml:space="preserve"> power structures, ideologies, and social meanings embedded in educational policies and practices.</w:t>
      </w:r>
      <w:r w:rsidR="005A6C6E">
        <w:t xml:space="preserve"> </w:t>
      </w:r>
    </w:p>
    <w:p w14:paraId="1941FD87" w14:textId="6B0505C8" w:rsidR="00284CB6" w:rsidRDefault="00714EB3" w:rsidP="00284CB6">
      <w:r w:rsidRPr="00714EB3">
        <w:t xml:space="preserve">The </w:t>
      </w:r>
      <w:r w:rsidR="0058114B">
        <w:t xml:space="preserve">interviewees confirm how the </w:t>
      </w:r>
      <w:r w:rsidRPr="00714EB3">
        <w:t>implementation of the NEP</w:t>
      </w:r>
      <w:r>
        <w:t xml:space="preserve"> 2020</w:t>
      </w:r>
      <w:r w:rsidRPr="00714EB3">
        <w:t xml:space="preserve"> poses many challenges. </w:t>
      </w:r>
      <w:r w:rsidR="009B1C39">
        <w:t>The included t</w:t>
      </w:r>
      <w:r w:rsidR="005B599C">
        <w:t>eacher educators</w:t>
      </w:r>
      <w:r w:rsidR="00180213">
        <w:t>;</w:t>
      </w:r>
      <w:r w:rsidR="000E4C7B">
        <w:t xml:space="preserve"> from suburb</w:t>
      </w:r>
      <w:r w:rsidR="00180213">
        <w:t>an areas of Maharashtra,</w:t>
      </w:r>
      <w:r w:rsidRPr="00714EB3">
        <w:t xml:space="preserve"> are </w:t>
      </w:r>
      <w:r w:rsidRPr="00714EB3">
        <w:lastRenderedPageBreak/>
        <w:t xml:space="preserve">faced with aligning their teaching methodologies and content with the new policy's objectives, all while grappling with its complexities and demands. A concerted effort is required to bridge the gap between policy expectations and </w:t>
      </w:r>
      <w:r w:rsidR="0037744F">
        <w:t>implementation</w:t>
      </w:r>
      <w:r w:rsidRPr="00714EB3">
        <w:t>.</w:t>
      </w:r>
      <w:r w:rsidR="0093691B">
        <w:t xml:space="preserve"> During an interview one of the teacher educators mentioned:</w:t>
      </w:r>
    </w:p>
    <w:p w14:paraId="440155DB" w14:textId="127CC31A" w:rsidR="00284CB6" w:rsidRDefault="0093691B" w:rsidP="005B599C">
      <w:pPr>
        <w:pStyle w:val="Transcript"/>
      </w:pPr>
      <w:r>
        <w:t>TEd1:</w:t>
      </w:r>
      <w:r>
        <w:tab/>
      </w:r>
      <w:r w:rsidRPr="00853339">
        <w:t>Now, with the NEP coming into play, it is saying that teachers should be delivering curriculum in bilingual or multilingual teaching</w:t>
      </w:r>
      <w:r w:rsidR="00C970E2">
        <w:t>. (Pause) I</w:t>
      </w:r>
      <w:r w:rsidRPr="00853339">
        <w:t>t's a big thing, how and what we don't know</w:t>
      </w:r>
      <w:r w:rsidR="00C970E2">
        <w:t>.</w:t>
      </w:r>
      <w:r w:rsidRPr="00853339">
        <w:t xml:space="preserve"> </w:t>
      </w:r>
    </w:p>
    <w:p w14:paraId="2C1946C4" w14:textId="53FD1C20" w:rsidR="0037744F" w:rsidRDefault="0037744F" w:rsidP="00E45846">
      <w:pPr>
        <w:pStyle w:val="Transcript"/>
        <w:ind w:left="0" w:firstLine="0"/>
      </w:pPr>
      <w:r>
        <w:t>In this quote, TEd</w:t>
      </w:r>
      <w:r w:rsidR="0057602F">
        <w:t>1 acknowledge</w:t>
      </w:r>
      <w:r w:rsidR="009E73C1">
        <w:t xml:space="preserve"> </w:t>
      </w:r>
      <w:r>
        <w:t xml:space="preserve">the sense of not knowing enough </w:t>
      </w:r>
      <w:r w:rsidR="009E73C1">
        <w:t>about what</w:t>
      </w:r>
      <w:r>
        <w:t xml:space="preserve"> comes with </w:t>
      </w:r>
      <w:r w:rsidR="009E73C1">
        <w:t>multilingual teaching</w:t>
      </w:r>
      <w:r w:rsidR="00866ACA">
        <w:t xml:space="preserve"> in the diverse language context of India</w:t>
      </w:r>
      <w:r>
        <w:t xml:space="preserve">. Hence, the </w:t>
      </w:r>
      <w:r w:rsidR="0057602F">
        <w:t>policy discourse</w:t>
      </w:r>
      <w:r w:rsidRPr="00BC13B0">
        <w:t xml:space="preserve"> is more than </w:t>
      </w:r>
      <w:r w:rsidR="00866ACA">
        <w:t xml:space="preserve">a </w:t>
      </w:r>
      <w:r w:rsidRPr="00BC13B0">
        <w:t>mere representation</w:t>
      </w:r>
      <w:r w:rsidR="00866ACA">
        <w:t xml:space="preserve"> of what has been already in practice</w:t>
      </w:r>
      <w:r w:rsidRPr="00BC13B0">
        <w:t xml:space="preserve">; it constructs </w:t>
      </w:r>
      <w:r>
        <w:t>new relations between</w:t>
      </w:r>
      <w:r w:rsidRPr="00BC13B0">
        <w:t xml:space="preserve"> </w:t>
      </w:r>
      <w:r>
        <w:t xml:space="preserve">teacher educators and students. </w:t>
      </w:r>
    </w:p>
    <w:p w14:paraId="2DDDE288" w14:textId="4599002D" w:rsidR="0093691B" w:rsidRDefault="00CE6A6A" w:rsidP="0093691B">
      <w:pPr>
        <w:pStyle w:val="Transcript"/>
      </w:pPr>
      <w:r>
        <w:t>T</w:t>
      </w:r>
      <w:r w:rsidR="005B599C">
        <w:t>Ed2</w:t>
      </w:r>
      <w:r>
        <w:t>:</w:t>
      </w:r>
      <w:r>
        <w:tab/>
      </w:r>
      <w:r w:rsidR="005B599C">
        <w:t>S</w:t>
      </w:r>
      <w:r w:rsidR="00853339" w:rsidRPr="00853339">
        <w:t xml:space="preserve">ince 2014 the practice-based teacher education programme </w:t>
      </w:r>
      <w:r w:rsidR="00032739">
        <w:t>has been</w:t>
      </w:r>
      <w:r w:rsidR="00853339" w:rsidRPr="00853339">
        <w:t xml:space="preserve"> implemented and we are still struggling with the practical issues </w:t>
      </w:r>
      <w:r w:rsidR="005C1991">
        <w:t>of</w:t>
      </w:r>
      <w:r w:rsidR="00853339" w:rsidRPr="00853339">
        <w:t xml:space="preserve"> how to deliver </w:t>
      </w:r>
      <w:r w:rsidR="005C1991">
        <w:t>the course that we have planned due to delays in the admission process for almost 4-6 months. W</w:t>
      </w:r>
      <w:r w:rsidR="00853339" w:rsidRPr="00853339">
        <w:t xml:space="preserve">hat has been expected from us… It is </w:t>
      </w:r>
      <w:r w:rsidR="005C1991">
        <w:t xml:space="preserve">a </w:t>
      </w:r>
      <w:r w:rsidR="00853339" w:rsidRPr="00853339">
        <w:t>chaos</w:t>
      </w:r>
      <w:r w:rsidR="005B599C">
        <w:t>.</w:t>
      </w:r>
      <w:r w:rsidR="00853339" w:rsidRPr="00853339">
        <w:t xml:space="preserve"> </w:t>
      </w:r>
      <w:r w:rsidR="005C1991">
        <w:t xml:space="preserve">(Pause) </w:t>
      </w:r>
      <w:r w:rsidR="005B599C">
        <w:t>E</w:t>
      </w:r>
      <w:r w:rsidR="00853339" w:rsidRPr="00853339">
        <w:t>ventually</w:t>
      </w:r>
      <w:r w:rsidR="005C1991">
        <w:t>,</w:t>
      </w:r>
      <w:r w:rsidR="00853339" w:rsidRPr="00853339">
        <w:t xml:space="preserve"> we </w:t>
      </w:r>
      <w:r w:rsidR="005B599C">
        <w:t>have to</w:t>
      </w:r>
      <w:r w:rsidR="005C1991">
        <w:t xml:space="preserve"> finish</w:t>
      </w:r>
      <w:r w:rsidR="00853339" w:rsidRPr="00853339">
        <w:t>,</w:t>
      </w:r>
      <w:r w:rsidR="005C1991">
        <w:t xml:space="preserve"> and</w:t>
      </w:r>
      <w:r w:rsidR="00853339" w:rsidRPr="00853339">
        <w:t xml:space="preserve"> till the</w:t>
      </w:r>
      <w:r w:rsidR="005B599C">
        <w:t xml:space="preserve">y find a way </w:t>
      </w:r>
      <w:r w:rsidR="00853339" w:rsidRPr="00853339">
        <w:t>we can try our best</w:t>
      </w:r>
      <w:r w:rsidR="005C1991">
        <w:t xml:space="preserve"> for </w:t>
      </w:r>
      <w:r w:rsidR="00272B7B">
        <w:t xml:space="preserve">the </w:t>
      </w:r>
      <w:r w:rsidR="005C1991">
        <w:t>PSTs</w:t>
      </w:r>
      <w:r w:rsidR="00853339" w:rsidRPr="00853339">
        <w:t>.</w:t>
      </w:r>
    </w:p>
    <w:p w14:paraId="093C734E" w14:textId="62FC0B55" w:rsidR="00CE6A6A" w:rsidRDefault="0037744F" w:rsidP="00E45846">
      <w:pPr>
        <w:ind w:firstLine="0"/>
      </w:pPr>
      <w:r>
        <w:t xml:space="preserve">In the second quote, TEd2 comments on the </w:t>
      </w:r>
      <w:r w:rsidR="0057602F">
        <w:t>relationship</w:t>
      </w:r>
      <w:r>
        <w:t xml:space="preserve"> between TE</w:t>
      </w:r>
      <w:r w:rsidR="0057602F">
        <w:t>ds</w:t>
      </w:r>
      <w:r>
        <w:t xml:space="preserve"> and the practical, and political, context of delays, resulting in </w:t>
      </w:r>
      <w:r w:rsidR="0057602F">
        <w:t>a</w:t>
      </w:r>
      <w:r>
        <w:t xml:space="preserve"> sense of chaos. Hence, uncertainty and a sense of insufficiency </w:t>
      </w:r>
      <w:r w:rsidR="0057602F">
        <w:t>are</w:t>
      </w:r>
      <w:r>
        <w:t xml:space="preserve"> found in both interviews. This sense </w:t>
      </w:r>
      <w:r w:rsidR="0057602F">
        <w:t>relates</w:t>
      </w:r>
      <w:r>
        <w:t xml:space="preserve"> both to the demands of TE</w:t>
      </w:r>
      <w:r w:rsidR="0057602F">
        <w:t>ds</w:t>
      </w:r>
      <w:r>
        <w:t xml:space="preserve"> itself, but also to </w:t>
      </w:r>
      <w:r w:rsidR="009E73C1">
        <w:t xml:space="preserve">insufficient preparation and administrative obstacles. </w:t>
      </w:r>
      <w:r>
        <w:t xml:space="preserve"> </w:t>
      </w:r>
      <w:r w:rsidR="00D418AA" w:rsidRPr="00D418AA">
        <w:t xml:space="preserve">Based on Fairclough's critical discourse analysis, this brief communication </w:t>
      </w:r>
      <w:r w:rsidR="009E73C1">
        <w:t>is a testimony of how t</w:t>
      </w:r>
      <w:r w:rsidR="00D418AA" w:rsidRPr="00D418AA">
        <w:t>eacher education in India stands at a juncture</w:t>
      </w:r>
      <w:r w:rsidR="009E73C1">
        <w:t>,</w:t>
      </w:r>
      <w:r w:rsidR="00D418AA" w:rsidRPr="00D418AA">
        <w:t xml:space="preserve"> as it grapples with numerous obstacles, including curriculum design, </w:t>
      </w:r>
      <w:r w:rsidR="0057602F">
        <w:t>practicals</w:t>
      </w:r>
      <w:r w:rsidR="00D418AA" w:rsidRPr="00D418AA">
        <w:t xml:space="preserve"> and the readiness of teacher educators. </w:t>
      </w:r>
      <w:r w:rsidR="009E73C1">
        <w:t>For the conference, the analysis of TE</w:t>
      </w:r>
      <w:r w:rsidR="0057602F">
        <w:t>ds</w:t>
      </w:r>
      <w:r w:rsidR="009E73C1">
        <w:t xml:space="preserve"> together with an analysis of interviews will be presented, to</w:t>
      </w:r>
      <w:r w:rsidR="00D418AA" w:rsidRPr="00D418AA">
        <w:t xml:space="preserve"> highlight the tension between international benchmarks</w:t>
      </w:r>
      <w:r w:rsidR="009E73C1">
        <w:t xml:space="preserve"> for education,</w:t>
      </w:r>
      <w:r w:rsidR="00D418AA" w:rsidRPr="00D418AA">
        <w:t xml:space="preserve"> while being responsive to the cultural, social, and economic dynamics of the society they serve. </w:t>
      </w:r>
    </w:p>
    <w:p w14:paraId="3AEAEC15" w14:textId="01F538E3" w:rsidR="002C7305" w:rsidRPr="002C7305" w:rsidRDefault="00CE6A6A" w:rsidP="002C7305">
      <w:pPr>
        <w:pStyle w:val="Rubrik2"/>
      </w:pPr>
      <w:r>
        <w:t>References</w:t>
      </w:r>
    </w:p>
    <w:p w14:paraId="1EDA59C5" w14:textId="77777777" w:rsidR="00A96132" w:rsidRDefault="002C7305" w:rsidP="00A96132">
      <w:pPr>
        <w:pStyle w:val="References"/>
      </w:pPr>
      <w:r w:rsidRPr="002C7305">
        <w:t xml:space="preserve">Batra, P. (2023). Teacher Education in India: Virtual Capture of the “Public.” In I. </w:t>
      </w:r>
      <w:proofErr w:type="spellStart"/>
      <w:r w:rsidRPr="002C7305">
        <w:t>Menter</w:t>
      </w:r>
      <w:proofErr w:type="spellEnd"/>
      <w:r w:rsidRPr="002C7305">
        <w:t xml:space="preserve"> (Ed.), The Palgrave Handbook of Teacher Education Research (pp. 1061–1080). Springer International Publishing. </w:t>
      </w:r>
      <w:hyperlink r:id="rId7" w:history="1">
        <w:r w:rsidRPr="002C7305">
          <w:rPr>
            <w:rStyle w:val="Hyperlnk"/>
          </w:rPr>
          <w:t>https://doi.org/10.1007/978-3-031-16193-3_50</w:t>
        </w:r>
      </w:hyperlink>
    </w:p>
    <w:p w14:paraId="77A11C5F" w14:textId="77777777" w:rsidR="00A96132" w:rsidRDefault="002C7305" w:rsidP="00A96132">
      <w:pPr>
        <w:pStyle w:val="References"/>
      </w:pPr>
      <w:r w:rsidRPr="002C7305">
        <w:rPr>
          <w:lang w:eastAsia="en-GB"/>
        </w:rPr>
        <w:t xml:space="preserve">Fairclough, N. (1992). Discourse and social change. Polity Press. </w:t>
      </w:r>
      <w:hyperlink r:id="rId8" w:history="1">
        <w:r w:rsidRPr="002C7305">
          <w:rPr>
            <w:rStyle w:val="Hyperlnk"/>
            <w:lang w:eastAsia="en-GB"/>
          </w:rPr>
          <w:t>https://cir.nii.ac.jp/crid/1130282271864346112</w:t>
        </w:r>
      </w:hyperlink>
    </w:p>
    <w:p w14:paraId="37D6EE99" w14:textId="77777777" w:rsidR="00A96132" w:rsidRDefault="002C7305" w:rsidP="00A96132">
      <w:pPr>
        <w:pStyle w:val="References"/>
        <w:rPr>
          <w:lang w:eastAsia="en-GB"/>
        </w:rPr>
      </w:pPr>
      <w:r w:rsidRPr="002C7305">
        <w:rPr>
          <w:lang w:eastAsia="en-GB"/>
        </w:rPr>
        <w:t>MHRD (2020). National Education Policy 2020. Govt. of India, New Delhi.</w:t>
      </w:r>
    </w:p>
    <w:p w14:paraId="2D77C9C5" w14:textId="4ECDE26C" w:rsidR="002C7305" w:rsidRPr="00A96132" w:rsidRDefault="002C7305" w:rsidP="00A96132">
      <w:pPr>
        <w:pStyle w:val="References"/>
      </w:pPr>
      <w:r w:rsidRPr="002C7305">
        <w:rPr>
          <w:lang w:eastAsia="en-GB"/>
        </w:rPr>
        <w:t xml:space="preserve">Oudatzis, N., &amp; Tzikas, K. (2022). The Right to Choose: Political Discourses, Ideological connotations and their impact on Reforms regarding the “entrance system” to Higher Education, in </w:t>
      </w:r>
      <w:r w:rsidRPr="00B85A69">
        <w:rPr>
          <w:color w:val="000000" w:themeColor="text1"/>
          <w:lang w:eastAsia="en-GB"/>
        </w:rPr>
        <w:t xml:space="preserve">Greece. </w:t>
      </w:r>
      <w:r w:rsidRPr="00B85A69">
        <w:rPr>
          <w:i/>
          <w:iCs/>
          <w:color w:val="000000" w:themeColor="text1"/>
          <w:lang w:eastAsia="en-GB"/>
        </w:rPr>
        <w:t>19</w:t>
      </w:r>
      <w:r w:rsidR="00594684" w:rsidRPr="00B85A69">
        <w:rPr>
          <w:color w:val="000000" w:themeColor="text1"/>
          <w:lang w:eastAsia="en-GB"/>
        </w:rPr>
        <w:t>(3)</w:t>
      </w:r>
      <w:r w:rsidRPr="00B85A69">
        <w:rPr>
          <w:color w:val="000000" w:themeColor="text1"/>
          <w:lang w:eastAsia="en-GB"/>
        </w:rPr>
        <w:t>, 386</w:t>
      </w:r>
      <w:r w:rsidRPr="002C7305">
        <w:rPr>
          <w:lang w:eastAsia="en-GB"/>
        </w:rPr>
        <w:t>–431.</w:t>
      </w:r>
    </w:p>
    <w:sectPr w:rsidR="002C7305" w:rsidRPr="00A96132" w:rsidSect="004166B9">
      <w:headerReference w:type="default" r:id="rId9"/>
      <w:footerReference w:type="even" r:id="rId10"/>
      <w:footerReference w:type="default" r:id="rId11"/>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9461" w14:textId="77777777" w:rsidR="004166B9" w:rsidRDefault="004166B9">
      <w:pPr>
        <w:spacing w:line="240" w:lineRule="auto"/>
      </w:pPr>
      <w:r>
        <w:separator/>
      </w:r>
    </w:p>
  </w:endnote>
  <w:endnote w:type="continuationSeparator" w:id="0">
    <w:p w14:paraId="6171417D" w14:textId="77777777" w:rsidR="004166B9" w:rsidRDefault="00416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6370" w14:textId="77777777" w:rsidR="004166B9" w:rsidRDefault="004166B9">
      <w:pPr>
        <w:spacing w:line="240" w:lineRule="auto"/>
      </w:pPr>
      <w:r>
        <w:separator/>
      </w:r>
    </w:p>
  </w:footnote>
  <w:footnote w:type="continuationSeparator" w:id="0">
    <w:p w14:paraId="307E89CF" w14:textId="77777777" w:rsidR="004166B9" w:rsidRDefault="00416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150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02FC8"/>
    <w:rsid w:val="00010676"/>
    <w:rsid w:val="00016C4B"/>
    <w:rsid w:val="00032739"/>
    <w:rsid w:val="00046446"/>
    <w:rsid w:val="0005024D"/>
    <w:rsid w:val="00053461"/>
    <w:rsid w:val="00064A57"/>
    <w:rsid w:val="00066866"/>
    <w:rsid w:val="000761F4"/>
    <w:rsid w:val="00076C13"/>
    <w:rsid w:val="00084739"/>
    <w:rsid w:val="000D2258"/>
    <w:rsid w:val="000E4C7B"/>
    <w:rsid w:val="000F7629"/>
    <w:rsid w:val="000F7BC9"/>
    <w:rsid w:val="00102184"/>
    <w:rsid w:val="00117643"/>
    <w:rsid w:val="00123490"/>
    <w:rsid w:val="00133209"/>
    <w:rsid w:val="00133F5F"/>
    <w:rsid w:val="00180213"/>
    <w:rsid w:val="001908E3"/>
    <w:rsid w:val="001F353D"/>
    <w:rsid w:val="001F3AD0"/>
    <w:rsid w:val="00235437"/>
    <w:rsid w:val="00272B7B"/>
    <w:rsid w:val="002824CB"/>
    <w:rsid w:val="0028310E"/>
    <w:rsid w:val="00284CB6"/>
    <w:rsid w:val="002A38E1"/>
    <w:rsid w:val="002B6780"/>
    <w:rsid w:val="002C65E6"/>
    <w:rsid w:val="002C7305"/>
    <w:rsid w:val="002E03CD"/>
    <w:rsid w:val="002F70F2"/>
    <w:rsid w:val="0032234E"/>
    <w:rsid w:val="00324FF0"/>
    <w:rsid w:val="00335353"/>
    <w:rsid w:val="0037744F"/>
    <w:rsid w:val="003B2647"/>
    <w:rsid w:val="004166B9"/>
    <w:rsid w:val="00461D61"/>
    <w:rsid w:val="004717C9"/>
    <w:rsid w:val="004764B8"/>
    <w:rsid w:val="00482688"/>
    <w:rsid w:val="00490CE4"/>
    <w:rsid w:val="004A3054"/>
    <w:rsid w:val="004C783E"/>
    <w:rsid w:val="004E6BFD"/>
    <w:rsid w:val="004E7029"/>
    <w:rsid w:val="005074E1"/>
    <w:rsid w:val="0052219A"/>
    <w:rsid w:val="0054786B"/>
    <w:rsid w:val="005508C0"/>
    <w:rsid w:val="005710F8"/>
    <w:rsid w:val="0057602F"/>
    <w:rsid w:val="0058114B"/>
    <w:rsid w:val="00594684"/>
    <w:rsid w:val="005A363B"/>
    <w:rsid w:val="005A5A04"/>
    <w:rsid w:val="005A6C6E"/>
    <w:rsid w:val="005B599C"/>
    <w:rsid w:val="005B6220"/>
    <w:rsid w:val="005C1991"/>
    <w:rsid w:val="005C2716"/>
    <w:rsid w:val="005E3911"/>
    <w:rsid w:val="0066569E"/>
    <w:rsid w:val="00672077"/>
    <w:rsid w:val="006B22AE"/>
    <w:rsid w:val="006C5CDF"/>
    <w:rsid w:val="006D3DC9"/>
    <w:rsid w:val="006E084A"/>
    <w:rsid w:val="00714EB3"/>
    <w:rsid w:val="007255A1"/>
    <w:rsid w:val="00737C28"/>
    <w:rsid w:val="00753C33"/>
    <w:rsid w:val="0075497C"/>
    <w:rsid w:val="00766CDF"/>
    <w:rsid w:val="00795358"/>
    <w:rsid w:val="007F132E"/>
    <w:rsid w:val="00835275"/>
    <w:rsid w:val="00842F58"/>
    <w:rsid w:val="00853339"/>
    <w:rsid w:val="0085729E"/>
    <w:rsid w:val="00866ACA"/>
    <w:rsid w:val="00882EBF"/>
    <w:rsid w:val="008C437C"/>
    <w:rsid w:val="008C4C60"/>
    <w:rsid w:val="008F5B6A"/>
    <w:rsid w:val="00901274"/>
    <w:rsid w:val="0091579A"/>
    <w:rsid w:val="00933A03"/>
    <w:rsid w:val="0093691B"/>
    <w:rsid w:val="009658F6"/>
    <w:rsid w:val="00970946"/>
    <w:rsid w:val="00982131"/>
    <w:rsid w:val="009A64DA"/>
    <w:rsid w:val="009B1C39"/>
    <w:rsid w:val="009B785B"/>
    <w:rsid w:val="009C103B"/>
    <w:rsid w:val="009D70FB"/>
    <w:rsid w:val="009E24E9"/>
    <w:rsid w:val="009E63F5"/>
    <w:rsid w:val="009E73C1"/>
    <w:rsid w:val="009F78A1"/>
    <w:rsid w:val="00A047FB"/>
    <w:rsid w:val="00A2654B"/>
    <w:rsid w:val="00A53D50"/>
    <w:rsid w:val="00A61F5E"/>
    <w:rsid w:val="00A96132"/>
    <w:rsid w:val="00AB16A3"/>
    <w:rsid w:val="00AD430D"/>
    <w:rsid w:val="00AF29BC"/>
    <w:rsid w:val="00B13C57"/>
    <w:rsid w:val="00B16E06"/>
    <w:rsid w:val="00B47F0D"/>
    <w:rsid w:val="00B552DF"/>
    <w:rsid w:val="00B620B9"/>
    <w:rsid w:val="00B76EEE"/>
    <w:rsid w:val="00B85A69"/>
    <w:rsid w:val="00BC13B0"/>
    <w:rsid w:val="00BC2692"/>
    <w:rsid w:val="00C21C75"/>
    <w:rsid w:val="00C25DCB"/>
    <w:rsid w:val="00C32D6E"/>
    <w:rsid w:val="00C92D04"/>
    <w:rsid w:val="00C970E2"/>
    <w:rsid w:val="00CA7742"/>
    <w:rsid w:val="00CE00EE"/>
    <w:rsid w:val="00CE6A6A"/>
    <w:rsid w:val="00D04CAF"/>
    <w:rsid w:val="00D14DE0"/>
    <w:rsid w:val="00D21646"/>
    <w:rsid w:val="00D418AA"/>
    <w:rsid w:val="00D827A1"/>
    <w:rsid w:val="00DC0C4B"/>
    <w:rsid w:val="00DC33C5"/>
    <w:rsid w:val="00DE3E7E"/>
    <w:rsid w:val="00E153A2"/>
    <w:rsid w:val="00E20FCB"/>
    <w:rsid w:val="00E347E1"/>
    <w:rsid w:val="00E45846"/>
    <w:rsid w:val="00E82E42"/>
    <w:rsid w:val="00E90B43"/>
    <w:rsid w:val="00E93816"/>
    <w:rsid w:val="00EA00FA"/>
    <w:rsid w:val="00ED2199"/>
    <w:rsid w:val="00ED2D32"/>
    <w:rsid w:val="00EE66AC"/>
    <w:rsid w:val="00F04CC5"/>
    <w:rsid w:val="00F1061A"/>
    <w:rsid w:val="00F42DFA"/>
    <w:rsid w:val="00F5400D"/>
    <w:rsid w:val="00F87141"/>
    <w:rsid w:val="00F91467"/>
    <w:rsid w:val="00F93ECF"/>
    <w:rsid w:val="00FD2CF2"/>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Hyperlnk">
    <w:name w:val="Hyperlink"/>
    <w:basedOn w:val="Standardstycketeckensnitt"/>
    <w:unhideWhenUsed/>
    <w:rsid w:val="00AF29BC"/>
    <w:rPr>
      <w:color w:val="0000FF" w:themeColor="hyperlink"/>
      <w:u w:val="single"/>
    </w:rPr>
  </w:style>
  <w:style w:type="character" w:styleId="Olstomnmnande">
    <w:name w:val="Unresolved Mention"/>
    <w:basedOn w:val="Standardstycketeckensnitt"/>
    <w:uiPriority w:val="99"/>
    <w:semiHidden/>
    <w:unhideWhenUsed/>
    <w:rsid w:val="00AF29BC"/>
    <w:rPr>
      <w:color w:val="605E5C"/>
      <w:shd w:val="clear" w:color="auto" w:fill="E1DFDD"/>
    </w:rPr>
  </w:style>
  <w:style w:type="paragraph" w:styleId="Revision">
    <w:name w:val="Revision"/>
    <w:hidden/>
    <w:semiHidden/>
    <w:rsid w:val="0058114B"/>
    <w:rPr>
      <w:sz w:val="26"/>
      <w:szCs w:val="28"/>
      <w:lang w:val="en-GB" w:eastAsia="en-US"/>
    </w:rPr>
  </w:style>
  <w:style w:type="character" w:styleId="Kommentarsreferens">
    <w:name w:val="annotation reference"/>
    <w:basedOn w:val="Standardstycketeckensnitt"/>
    <w:semiHidden/>
    <w:unhideWhenUsed/>
    <w:rsid w:val="009B1C39"/>
    <w:rPr>
      <w:sz w:val="16"/>
      <w:szCs w:val="16"/>
    </w:rPr>
  </w:style>
  <w:style w:type="paragraph" w:styleId="Kommentarer">
    <w:name w:val="annotation text"/>
    <w:basedOn w:val="Normal"/>
    <w:link w:val="KommentarerChar"/>
    <w:semiHidden/>
    <w:unhideWhenUsed/>
    <w:rsid w:val="009B1C39"/>
    <w:pPr>
      <w:spacing w:line="240" w:lineRule="auto"/>
    </w:pPr>
    <w:rPr>
      <w:sz w:val="20"/>
      <w:szCs w:val="20"/>
    </w:rPr>
  </w:style>
  <w:style w:type="character" w:customStyle="1" w:styleId="KommentarerChar">
    <w:name w:val="Kommentarer Char"/>
    <w:basedOn w:val="Standardstycketeckensnitt"/>
    <w:link w:val="Kommentarer"/>
    <w:semiHidden/>
    <w:rsid w:val="009B1C39"/>
    <w:rPr>
      <w:lang w:val="en-GB" w:eastAsia="en-US"/>
    </w:rPr>
  </w:style>
  <w:style w:type="paragraph" w:styleId="Kommentarsmne">
    <w:name w:val="annotation subject"/>
    <w:basedOn w:val="Kommentarer"/>
    <w:next w:val="Kommentarer"/>
    <w:link w:val="KommentarsmneChar"/>
    <w:semiHidden/>
    <w:unhideWhenUsed/>
    <w:rsid w:val="009B1C39"/>
    <w:rPr>
      <w:b/>
      <w:bCs/>
    </w:rPr>
  </w:style>
  <w:style w:type="character" w:customStyle="1" w:styleId="KommentarsmneChar">
    <w:name w:val="Kommentarsämne Char"/>
    <w:basedOn w:val="KommentarerChar"/>
    <w:link w:val="Kommentarsmne"/>
    <w:semiHidden/>
    <w:rsid w:val="009B1C39"/>
    <w:rPr>
      <w:b/>
      <w:bCs/>
      <w:lang w:val="en-GB" w:eastAsia="en-US"/>
    </w:rPr>
  </w:style>
  <w:style w:type="paragraph" w:styleId="Litteraturfrteckning">
    <w:name w:val="Bibliography"/>
    <w:basedOn w:val="Normal"/>
    <w:next w:val="Normal"/>
    <w:unhideWhenUsed/>
    <w:rsid w:val="009E24E9"/>
    <w:pPr>
      <w:spacing w:line="480" w:lineRule="atLeast"/>
      <w:ind w:left="720" w:hanging="720"/>
    </w:pPr>
  </w:style>
  <w:style w:type="paragraph" w:styleId="Normalwebb">
    <w:name w:val="Normal (Web)"/>
    <w:basedOn w:val="Normal"/>
    <w:uiPriority w:val="99"/>
    <w:semiHidden/>
    <w:unhideWhenUsed/>
    <w:rsid w:val="002C7305"/>
    <w:pPr>
      <w:autoSpaceDE/>
      <w:autoSpaceDN/>
      <w:spacing w:before="100" w:beforeAutospacing="1" w:after="100" w:afterAutospacing="1" w:line="240" w:lineRule="auto"/>
      <w:ind w:firstLine="0"/>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8926">
      <w:bodyDiv w:val="1"/>
      <w:marLeft w:val="0"/>
      <w:marRight w:val="0"/>
      <w:marTop w:val="0"/>
      <w:marBottom w:val="0"/>
      <w:divBdr>
        <w:top w:val="none" w:sz="0" w:space="0" w:color="auto"/>
        <w:left w:val="none" w:sz="0" w:space="0" w:color="auto"/>
        <w:bottom w:val="none" w:sz="0" w:space="0" w:color="auto"/>
        <w:right w:val="none" w:sz="0" w:space="0" w:color="auto"/>
      </w:divBdr>
    </w:div>
    <w:div w:id="2023821643">
      <w:bodyDiv w:val="1"/>
      <w:marLeft w:val="0"/>
      <w:marRight w:val="0"/>
      <w:marTop w:val="0"/>
      <w:marBottom w:val="0"/>
      <w:divBdr>
        <w:top w:val="none" w:sz="0" w:space="0" w:color="auto"/>
        <w:left w:val="none" w:sz="0" w:space="0" w:color="auto"/>
        <w:bottom w:val="none" w:sz="0" w:space="0" w:color="auto"/>
        <w:right w:val="none" w:sz="0" w:space="0" w:color="auto"/>
      </w:divBdr>
    </w:div>
    <w:div w:id="20780866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nii.ac.jp/crid/1130282271864346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978-3-031-16193-3_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1931</Words>
  <Characters>10239</Characters>
  <Application>Microsoft Office Word</Application>
  <DocSecurity>0</DocSecurity>
  <Lines>85</Lines>
  <Paragraphs>24</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12146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2024-01-26T06:57:00Z</dcterms:created>
  <dcterms:modified xsi:type="dcterms:W3CDTF">2024-01-26T07:02:00Z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id="HAMNMdMk"/&gt;&lt;style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