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87219" w14:textId="7581D1C2" w:rsidR="00F5400D" w:rsidRDefault="0066141A" w:rsidP="000761F4">
      <w:pPr>
        <w:pStyle w:val="Rubrik1"/>
      </w:pPr>
      <w:bookmarkStart w:id="0" w:name="_GoBack"/>
      <w:bookmarkEnd w:id="0"/>
      <w:r>
        <w:t xml:space="preserve">Exploring </w:t>
      </w:r>
      <w:r w:rsidR="00F32C0E">
        <w:t>the relationship between students’ background, cognitive activation and mathematical knowledge development</w:t>
      </w:r>
    </w:p>
    <w:p w14:paraId="080E0699" w14:textId="19BE3F48" w:rsidR="00CE6A6A" w:rsidRDefault="001D0F95" w:rsidP="00CE6A6A">
      <w:pPr>
        <w:pStyle w:val="Rubrik8"/>
      </w:pPr>
      <w:r>
        <w:t>Jimmy Karlsson</w:t>
      </w:r>
    </w:p>
    <w:p w14:paraId="1D1FC312" w14:textId="01F1B642" w:rsidR="00CE6A6A" w:rsidRDefault="001D0F95" w:rsidP="00CE6A6A">
      <w:pPr>
        <w:pStyle w:val="Rubrik9"/>
      </w:pPr>
      <w:r>
        <w:t>Karlstad University</w:t>
      </w:r>
    </w:p>
    <w:p w14:paraId="0F3ADE74" w14:textId="0932AA26" w:rsidR="00CE6A6A" w:rsidRPr="00933A03" w:rsidRDefault="00DA79AB" w:rsidP="005710F8">
      <w:pPr>
        <w:pStyle w:val="Abstract"/>
      </w:pPr>
      <w:r>
        <w:t xml:space="preserve">This presentation reports on parts of a project </w:t>
      </w:r>
      <w:r w:rsidR="00480434">
        <w:t>with a focus on</w:t>
      </w:r>
      <w:r w:rsidR="001D1EBF">
        <w:t xml:space="preserve"> </w:t>
      </w:r>
      <w:r w:rsidR="00480434">
        <w:t>c</w:t>
      </w:r>
      <w:r w:rsidR="001D1EBF">
        <w:t xml:space="preserve">ognitive activation </w:t>
      </w:r>
      <w:r w:rsidR="00480434">
        <w:t xml:space="preserve">which </w:t>
      </w:r>
      <w:r w:rsidR="001D1EBF">
        <w:t xml:space="preserve">is a construct aiming at exploring how students </w:t>
      </w:r>
      <w:r w:rsidR="0080309A">
        <w:t>potentially can</w:t>
      </w:r>
      <w:r w:rsidR="001D1EBF">
        <w:t xml:space="preserve"> engage in mathematical thinking to develop conceptual understanding. Previous research provides mixed results regarding the relationship between </w:t>
      </w:r>
      <w:r w:rsidR="00480434">
        <w:t xml:space="preserve">potential </w:t>
      </w:r>
      <w:r w:rsidR="001D1EBF">
        <w:t xml:space="preserve">cognitive activation, students disposition, </w:t>
      </w:r>
      <w:r w:rsidR="00480434">
        <w:t>background</w:t>
      </w:r>
      <w:r w:rsidR="001D1EBF">
        <w:t xml:space="preserve"> and knowledge development. Preliminary results do not support </w:t>
      </w:r>
      <w:r w:rsidR="00F26691">
        <w:t>a</w:t>
      </w:r>
      <w:r w:rsidR="001D1EBF">
        <w:t xml:space="preserve"> hypothesis that cognitive activation</w:t>
      </w:r>
      <w:r w:rsidR="001E3B21">
        <w:t xml:space="preserve"> is more beneficial for students with more advantaged background</w:t>
      </w:r>
      <w:r w:rsidR="00F620BF">
        <w:t>s</w:t>
      </w:r>
      <w:r w:rsidR="001E3B21">
        <w:t xml:space="preserve">. Further, the presentation aims to elicit </w:t>
      </w:r>
      <w:r w:rsidR="0065714E">
        <w:t xml:space="preserve">and discuss </w:t>
      </w:r>
      <w:r w:rsidR="001E3B21">
        <w:t>aspects of cognitive activation</w:t>
      </w:r>
      <w:r w:rsidR="00F94AEC">
        <w:t xml:space="preserve">, </w:t>
      </w:r>
      <w:r w:rsidR="00964DD4">
        <w:t>students’</w:t>
      </w:r>
      <w:r w:rsidR="00F94AEC">
        <w:t xml:space="preserve"> disposition</w:t>
      </w:r>
      <w:r w:rsidR="00276D40">
        <w:t>, background</w:t>
      </w:r>
      <w:r w:rsidR="001E3B21">
        <w:t xml:space="preserve"> and the relationship with knowledge development.</w:t>
      </w:r>
    </w:p>
    <w:p w14:paraId="3F62CDDC" w14:textId="77777777" w:rsidR="00547EC3" w:rsidRDefault="0051742F" w:rsidP="00547EC3">
      <w:pPr>
        <w:pStyle w:val="Rubrik2"/>
      </w:pPr>
      <w:r>
        <w:t>Introduction</w:t>
      </w:r>
    </w:p>
    <w:p w14:paraId="6C7A29BC" w14:textId="1E8F4711" w:rsidR="003C548A" w:rsidRDefault="00547EC3" w:rsidP="001634AD">
      <w:pPr>
        <w:ind w:firstLine="0"/>
      </w:pPr>
      <w:r>
        <w:t xml:space="preserve">Mathematical tasks and classroom discourse are critical elements for students engaging in mathematical thinking and developing mathematical knowledge. The construct of cognitive activation place the </w:t>
      </w:r>
      <w:r w:rsidR="0077701F">
        <w:t>focus</w:t>
      </w:r>
      <w:r>
        <w:t xml:space="preserve"> on these two aspects and how it relates to developing conceptual understanding</w:t>
      </w:r>
      <w:r w:rsidR="00E5381A">
        <w:t xml:space="preserve"> </w:t>
      </w:r>
      <w:r w:rsidR="00E5381A">
        <w:fldChar w:fldCharType="begin"/>
      </w:r>
      <w:r w:rsidR="00E5381A">
        <w:instrText xml:space="preserve"> ADDIN ZOTERO_ITEM CSL_CITATION {"citationID":"Juvh8n7O","properties":{"formattedCitation":"(Praetorius et al., 2018)","plainCitation":"(Praetorius et al., 2018)","noteIndex":0},"citationItems":[{"id":671,"uris":["http://zotero.org/users/5472253/items/W8LP2VM7"],"itemData":{"id":671,"type":"article-journal","abstract":"In this paper, we argue that classroom management, student support, and cognitive activation are generic aspects of classroom teaching, forming Three Basic Dimensions of teaching quality. The conceptual framework was developed in research on mathematics instruction but it is supposed to generalize across subjects. It is based on general theories of schooling and teaching as well as established theories and research traditions from educational psychology. Although used frequently in German-speaking countries, no comprehensive overview of the theoretical foundation as well as the existing evidence regarding the framework, including its strengths and weaknesses, exists so far. The present paper therefore presents first an overview of the theoretical rationale of the framework. Second, it gives an overview of differences and commonalities in the operationalizations of the Three Basic Dimensions in different studies, including a comprehensive set of sub-dimensions. Third, evidence on the reliability and validity of the dimensions is reviewed, with good results for reliability and mixed results for predictive validity. Fourth, an analysis of three mathematics lessons using observer ratings illustrates how the framework of the Three Basic Dimensions can be used for investigating instructional quality. Finally, strengths and limitations of the framework for capturing instructional quality are discussed and we elaborate on the framework’s potential for further development.","container-title":"ZDM","DOI":"10.1007/s11858-018-0918-4","ISSN":"1863-9704","issue":"3","journalAbbreviation":"ZDM Mathematics Education","language":"en","page":"407-426","source":"Springer Link","title":"Generic dimensions of teaching quality: the German framework of Three Basic Dimensions","title-short":"Generic dimensions of teaching quality","volume":"50","author":[{"family":"Praetorius","given":"Anna-Katharina"},{"family":"Klieme","given":"Eckhard"},{"family":"Herbert","given":"Benjamin"},{"family":"Pinger","given":"Petra"}],"issued":{"date-parts":[["2018"]]},"citation-key":"praetoriusGenericDimensionsTeaching2018"}}],"schema":"https://github.com/citation-style-language/schema/raw/master/csl-citation.json"} </w:instrText>
      </w:r>
      <w:r w:rsidR="00E5381A">
        <w:fldChar w:fldCharType="separate"/>
      </w:r>
      <w:r w:rsidR="00E5381A">
        <w:rPr>
          <w:noProof/>
        </w:rPr>
        <w:t>(Praetorius et al., 2018)</w:t>
      </w:r>
      <w:r w:rsidR="00E5381A">
        <w:fldChar w:fldCharType="end"/>
      </w:r>
      <w:r w:rsidR="0069046D">
        <w:t xml:space="preserve"> and as such plays an important part in the relationship between teaching and learning of mathematics</w:t>
      </w:r>
      <w:r>
        <w:t>.</w:t>
      </w:r>
      <w:r w:rsidR="00D53CDD">
        <w:t xml:space="preserve"> Previous research</w:t>
      </w:r>
      <w:r w:rsidR="00A443BA">
        <w:t xml:space="preserve"> </w:t>
      </w:r>
      <w:r w:rsidR="00A443BA">
        <w:fldChar w:fldCharType="begin"/>
      </w:r>
      <w:r w:rsidR="00A443BA">
        <w:instrText xml:space="preserve"> ADDIN ZOTERO_ITEM CSL_CITATION {"citationID":"oAG2lKXu","properties":{"formattedCitation":"(Atlay et al., 2019)","plainCitation":"(Atlay et al., 2019)","noteIndex":0},"citationItems":[{"id":5967,"uris":["http://zotero.org/users/5472253/items/CBCJZ83R"],"itemData":{"id":5967,"type":"article-journal","abstract":"Previous empirical studies have shown that there is an association between parental socioeconomic status (SES) and educational achievement. Research has also shown that although teaching quality contributes to overall student achievement, it may have differential effects on the learning outcomes of students from lower and higher socioeconomic backgrounds. In this paper, we investigate if teaching quality is associated with the student achievement among students from low and high socioeconomic backgrounds. Using German panel data and multilevel modelling, we examined the interaction between three dimensions of teaching quality (cognitive activation, classroom management and supportive climate) and student background. Our results suggest that, overall, classroom management is positively associated with student performance. Students with high socioeconomic backgrounds seem to profit more from cognitive activation and supportive climate compared to their peers with middle and low socio-economic backgrounds: These two indicators of teaching positively moderated the association between socioeconomic background and achievement levels, thus leading to a larger achievement gap.","container-title":"Learning and Instruction","DOI":"10.1016/j.learninstruc.2019.05.008","ISSN":"0959-4752","journalAbbreviation":"Learning and Instruction","language":"en","page":"101211","source":"ScienceDirect","title":"Instructional quality and achievement inequality: How effective is teaching in closing the social achievement gap?","title-short":"Instructional quality and achievement inequality","volume":"63","author":[{"family":"Atlay","given":"Cansu"},{"family":"Tieben","given":"Nicole"},{"family":"Hillmert","given":"Steffen"},{"family":"Fauth","given":"Benjamin"}],"issued":{"date-parts":[["2019",10,1]]},"citation-key":"atlayInstructionalQualityAchievement2019"}}],"schema":"https://github.com/citation-style-language/schema/raw/master/csl-citation.json"} </w:instrText>
      </w:r>
      <w:r w:rsidR="00A443BA">
        <w:fldChar w:fldCharType="separate"/>
      </w:r>
      <w:r w:rsidR="00A443BA">
        <w:rPr>
          <w:noProof/>
        </w:rPr>
        <w:t>(e.g., Atlay et al., 2019)</w:t>
      </w:r>
      <w:r w:rsidR="00A443BA">
        <w:fldChar w:fldCharType="end"/>
      </w:r>
      <w:r w:rsidR="00C7037E">
        <w:t xml:space="preserve"> </w:t>
      </w:r>
      <w:r w:rsidR="004E692F">
        <w:t>suggests</w:t>
      </w:r>
      <w:r w:rsidR="00D53CDD">
        <w:t xml:space="preserve"> that cognitive activation is more beneficial for</w:t>
      </w:r>
      <w:r>
        <w:t xml:space="preserve"> </w:t>
      </w:r>
      <w:r w:rsidR="00D53CDD">
        <w:t xml:space="preserve">students </w:t>
      </w:r>
      <w:r w:rsidR="00FF1C9E">
        <w:t>with</w:t>
      </w:r>
      <w:r w:rsidR="00D53CDD">
        <w:t xml:space="preserve"> more advantaged backgroun</w:t>
      </w:r>
      <w:r w:rsidR="0045593D">
        <w:t xml:space="preserve">ds, </w:t>
      </w:r>
      <w:r w:rsidR="00D53CDD">
        <w:t xml:space="preserve">and </w:t>
      </w:r>
      <w:r w:rsidR="005366D1">
        <w:t>potentially</w:t>
      </w:r>
      <w:r w:rsidR="00D53CDD">
        <w:t xml:space="preserve"> could enhance a</w:t>
      </w:r>
      <w:r w:rsidR="005366D1">
        <w:t>n</w:t>
      </w:r>
      <w:r w:rsidR="00D53CDD">
        <w:t xml:space="preserve"> educational gap. </w:t>
      </w:r>
      <w:r w:rsidR="001634AD">
        <w:t>Also</w:t>
      </w:r>
      <w:r w:rsidR="00D53CDD">
        <w:t xml:space="preserve">, </w:t>
      </w:r>
      <w:r w:rsidR="00746A67">
        <w:t xml:space="preserve">there is still a need to explore </w:t>
      </w:r>
      <w:r w:rsidR="001634AD">
        <w:t xml:space="preserve">potentially </w:t>
      </w:r>
      <w:r w:rsidR="00B14DE4">
        <w:t xml:space="preserve">mediating processes </w:t>
      </w:r>
      <w:r w:rsidR="00746A67">
        <w:t>involved</w:t>
      </w:r>
      <w:r w:rsidR="00B14DE4">
        <w:t xml:space="preserve"> </w:t>
      </w:r>
      <w:r w:rsidR="00B14DE4">
        <w:fldChar w:fldCharType="begin"/>
      </w:r>
      <w:r w:rsidR="00B14DE4">
        <w:instrText xml:space="preserve"> ADDIN ZOTERO_ITEM CSL_CITATION {"citationID":"m6slQbnw","properties":{"formattedCitation":"(Praetorius et al., 2018)","plainCitation":"(Praetorius et al., 2018)","noteIndex":0},"citationItems":[{"id":671,"uris":["http://zotero.org/users/5472253/items/W8LP2VM7"],"itemData":{"id":671,"type":"article-journal","abstract":"In this paper, we argue that classroom management, student support, and cognitive activation are generic aspects of classroom teaching, forming Three Basic Dimensions of teaching quality. The conceptual framework was developed in research on mathematics instruction but it is supposed to generalize across subjects. It is based on general theories of schooling and teaching as well as established theories and research traditions from educational psychology. Although used frequently in German-speaking countries, no comprehensive overview of the theoretical foundation as well as the existing evidence regarding the framework, including its strengths and weaknesses, exists so far. The present paper therefore presents first an overview of the theoretical rationale of the framework. Second, it gives an overview of differences and commonalities in the operationalizations of the Three Basic Dimensions in different studies, including a comprehensive set of sub-dimensions. Third, evidence on the reliability and validity of the dimensions is reviewed, with good results for reliability and mixed results for predictive validity. Fourth, an analysis of three mathematics lessons using observer ratings illustrates how the framework of the Three Basic Dimensions can be used for investigating instructional quality. Finally, strengths and limitations of the framework for capturing instructional quality are discussed and we elaborate on the framework’s potential for further development.","container-title":"ZDM","DOI":"10.1007/s11858-018-0918-4","ISSN":"1863-9704","issue":"3","journalAbbreviation":"ZDM Mathematics Education","language":"en","page":"407-426","source":"Springer Link","title":"Generic dimensions of teaching quality: the German framework of Three Basic Dimensions","title-short":"Generic dimensions of teaching quality","volume":"50","author":[{"family":"Praetorius","given":"Anna-Katharina"},{"family":"Klieme","given":"Eckhard"},{"family":"Herbert","given":"Benjamin"},{"family":"Pinger","given":"Petra"}],"issued":{"date-parts":[["2018"]]},"citation-key":"praetoriusGenericDimensionsTeaching2018"}}],"schema":"https://github.com/citation-style-language/schema/raw/master/csl-citation.json"} </w:instrText>
      </w:r>
      <w:r w:rsidR="00B14DE4">
        <w:fldChar w:fldCharType="separate"/>
      </w:r>
      <w:r w:rsidR="00B14DE4">
        <w:rPr>
          <w:noProof/>
        </w:rPr>
        <w:t>(Praetorius et al., 2018)</w:t>
      </w:r>
      <w:r w:rsidR="00B14DE4">
        <w:fldChar w:fldCharType="end"/>
      </w:r>
      <w:r w:rsidR="00B14DE4">
        <w:t>.</w:t>
      </w:r>
      <w:r w:rsidR="00EF5934">
        <w:t xml:space="preserve"> </w:t>
      </w:r>
      <w:r w:rsidR="001F65A8">
        <w:t>Hence, t</w:t>
      </w:r>
      <w:r w:rsidR="003C548A">
        <w:t>he guiding question is:</w:t>
      </w:r>
      <w:r w:rsidR="001634AD">
        <w:t xml:space="preserve"> </w:t>
      </w:r>
      <w:r w:rsidR="003C548A">
        <w:t xml:space="preserve">What is the relationship between </w:t>
      </w:r>
      <w:r w:rsidR="00B941C9">
        <w:t>students’</w:t>
      </w:r>
      <w:r w:rsidR="003C548A">
        <w:t xml:space="preserve"> </w:t>
      </w:r>
      <w:r w:rsidR="00FF1C9E">
        <w:t>background</w:t>
      </w:r>
      <w:r w:rsidR="003C548A">
        <w:t xml:space="preserve">, cognitive activation and </w:t>
      </w:r>
      <w:r w:rsidR="0073281A">
        <w:t xml:space="preserve">mathematical </w:t>
      </w:r>
      <w:r w:rsidR="00013145">
        <w:t>achievement</w:t>
      </w:r>
      <w:r w:rsidR="003C548A">
        <w:t>?</w:t>
      </w:r>
    </w:p>
    <w:p w14:paraId="735D2700" w14:textId="47616BA9" w:rsidR="004E692F" w:rsidRDefault="00682F46" w:rsidP="004E692F">
      <w:pPr>
        <w:ind w:firstLine="0"/>
      </w:pPr>
      <w:r>
        <w:t xml:space="preserve">   </w:t>
      </w:r>
      <w:r w:rsidR="004E692F">
        <w:t xml:space="preserve">Due to limitations of this format, only relationships regarding </w:t>
      </w:r>
      <w:r w:rsidR="00600643">
        <w:t>parents’</w:t>
      </w:r>
      <w:r w:rsidR="004E692F">
        <w:t xml:space="preserve"> educational level </w:t>
      </w:r>
      <w:r w:rsidR="004C048E">
        <w:t>are</w:t>
      </w:r>
      <w:r w:rsidR="004E692F">
        <w:t xml:space="preserve"> presented in this </w:t>
      </w:r>
      <w:r w:rsidR="001634AD">
        <w:t>text</w:t>
      </w:r>
      <w:r w:rsidR="000A258B">
        <w:t>, but will be extended during the conference.</w:t>
      </w:r>
      <w:r w:rsidR="004E692F">
        <w:t xml:space="preserve"> </w:t>
      </w:r>
    </w:p>
    <w:p w14:paraId="446CACD6" w14:textId="744C4C3B" w:rsidR="0051742F" w:rsidRDefault="0051742F" w:rsidP="0051742F">
      <w:pPr>
        <w:pStyle w:val="Rubrik2"/>
      </w:pPr>
      <w:r>
        <w:t>Method</w:t>
      </w:r>
    </w:p>
    <w:p w14:paraId="075B6561" w14:textId="773646AB" w:rsidR="000873E5" w:rsidRDefault="00785DCB" w:rsidP="00547EC3">
      <w:pPr>
        <w:ind w:firstLine="0"/>
      </w:pPr>
      <w:r>
        <w:t>The study includes upper secondary students (</w:t>
      </w:r>
      <m:oMath>
        <m:sSub>
          <m:sSubPr>
            <m:ctrlPr>
              <w:rPr>
                <w:rFonts w:ascii="Cambria Math" w:hAnsi="Cambria Math"/>
                <w:i/>
              </w:rPr>
            </m:ctrlPr>
          </m:sSubPr>
          <m:e>
            <m:r>
              <w:rPr>
                <w:rFonts w:ascii="Cambria Math" w:hAnsi="Cambria Math"/>
              </w:rPr>
              <m:t>n</m:t>
            </m:r>
          </m:e>
          <m:sub>
            <m:r>
              <w:rPr>
                <w:rFonts w:ascii="Cambria Math" w:hAnsi="Cambria Math"/>
              </w:rPr>
              <m:t>students</m:t>
            </m:r>
          </m:sub>
        </m:sSub>
        <m:r>
          <w:rPr>
            <w:rFonts w:ascii="Cambria Math" w:hAnsi="Cambria Math"/>
          </w:rPr>
          <m:t xml:space="preserve"> = 1007,  </m:t>
        </m:r>
        <m:sSub>
          <m:sSubPr>
            <m:ctrlPr>
              <w:rPr>
                <w:rFonts w:ascii="Cambria Math" w:hAnsi="Cambria Math"/>
                <w:i/>
              </w:rPr>
            </m:ctrlPr>
          </m:sSubPr>
          <m:e>
            <m:r>
              <w:rPr>
                <w:rFonts w:ascii="Cambria Math" w:hAnsi="Cambria Math"/>
              </w:rPr>
              <m:t>n</m:t>
            </m:r>
          </m:e>
          <m:sub>
            <m:r>
              <w:rPr>
                <w:rFonts w:ascii="Cambria Math" w:hAnsi="Cambria Math"/>
              </w:rPr>
              <m:t>groups</m:t>
            </m:r>
          </m:sub>
        </m:sSub>
        <m:r>
          <w:rPr>
            <w:rFonts w:ascii="Cambria Math" w:hAnsi="Cambria Math"/>
          </w:rPr>
          <m:t>=49</m:t>
        </m:r>
      </m:oMath>
      <w:r>
        <w:t xml:space="preserve">) </w:t>
      </w:r>
      <w:r w:rsidR="00626CB4">
        <w:t xml:space="preserve">studying their second math course </w:t>
      </w:r>
      <w:r>
        <w:t xml:space="preserve">enrolled in two separate academic </w:t>
      </w:r>
      <w:r w:rsidR="00626CB4">
        <w:t xml:space="preserve">math </w:t>
      </w:r>
      <w:r>
        <w:t xml:space="preserve">tracks, b and c, </w:t>
      </w:r>
      <w:r w:rsidR="00A67385">
        <w:t>where the latter is for student</w:t>
      </w:r>
      <w:r w:rsidR="009F4CEE">
        <w:t>s at more mathematical</w:t>
      </w:r>
      <w:r w:rsidR="00C15CC6">
        <w:t>ly</w:t>
      </w:r>
      <w:r w:rsidR="009F4CEE">
        <w:t xml:space="preserve"> </w:t>
      </w:r>
      <w:r w:rsidR="00521FC0">
        <w:t>oriented</w:t>
      </w:r>
      <w:r w:rsidR="009F4CEE">
        <w:t xml:space="preserve"> programs</w:t>
      </w:r>
      <w:r w:rsidR="00A67385">
        <w:t xml:space="preserve">. </w:t>
      </w:r>
      <w:r w:rsidR="00E66363">
        <w:t xml:space="preserve"> </w:t>
      </w:r>
      <w:r w:rsidR="00626CB4">
        <w:t>Achievement measures includes national tests in their first and second course</w:t>
      </w:r>
      <w:r w:rsidR="001634AD">
        <w:t>.</w:t>
      </w:r>
      <w:r w:rsidR="00912BCA">
        <w:t xml:space="preserve"> </w:t>
      </w:r>
      <w:r w:rsidR="001634AD">
        <w:t>O</w:t>
      </w:r>
      <w:r w:rsidR="00912BCA">
        <w:t>ther variables stem from a questionnaire</w:t>
      </w:r>
      <w:r w:rsidR="001634AD">
        <w:t xml:space="preserve"> briefly explained in the following</w:t>
      </w:r>
      <w:r w:rsidR="00912BCA">
        <w:t>.</w:t>
      </w:r>
      <w:r w:rsidR="009B5F84">
        <w:t xml:space="preserve"> </w:t>
      </w:r>
      <w:r w:rsidR="00B051CE">
        <w:t xml:space="preserve">Parents education, </w:t>
      </w:r>
      <w:r w:rsidR="00B051CE" w:rsidRPr="00B53801">
        <w:rPr>
          <w:i/>
          <w:iCs/>
        </w:rPr>
        <w:t>ParEdu</w:t>
      </w:r>
      <w:r w:rsidR="00B051CE">
        <w:t>,</w:t>
      </w:r>
      <w:r w:rsidR="00C15CC6">
        <w:t xml:space="preserve"> </w:t>
      </w:r>
      <w:r w:rsidR="000873E5">
        <w:t>longest education of parent (or caregiver)</w:t>
      </w:r>
      <w:r w:rsidR="00F40EE6">
        <w:t xml:space="preserve"> in household</w:t>
      </w:r>
      <w:r w:rsidR="00DE0405">
        <w:t xml:space="preserve"> (Scale 1</w:t>
      </w:r>
      <w:r w:rsidR="007C5537">
        <w:t>-</w:t>
      </w:r>
      <w:r w:rsidR="00DE0405">
        <w:t xml:space="preserve">7 based on ISCED). </w:t>
      </w:r>
      <w:r w:rsidR="00F87CC4" w:rsidRPr="00B53801">
        <w:rPr>
          <w:i/>
          <w:iCs/>
        </w:rPr>
        <w:t>ParEduLong</w:t>
      </w:r>
      <w:r w:rsidR="00DE0405">
        <w:t>, dichotomized (</w:t>
      </w:r>
      <w:r w:rsidR="00E16DD8">
        <w:t>0</w:t>
      </w:r>
      <w:r w:rsidR="00DE0405">
        <w:t xml:space="preserve"> </w:t>
      </w:r>
      <w:r w:rsidR="00E16DD8">
        <w:t>=</w:t>
      </w:r>
      <w:r w:rsidR="00246C0A">
        <w:t xml:space="preserve"> </w:t>
      </w:r>
      <w:r w:rsidR="00E16DD8">
        <w:t>less</w:t>
      </w:r>
      <w:r w:rsidR="00DE0405">
        <w:t xml:space="preserve"> than 3 years university studies)</w:t>
      </w:r>
      <w:r w:rsidR="00F87CC4">
        <w:t xml:space="preserve">. </w:t>
      </w:r>
      <w:r w:rsidR="00F87CC4">
        <w:lastRenderedPageBreak/>
        <w:t xml:space="preserve">ParEduLong.G is an aggregate to group level representing the percentage of parents with long university </w:t>
      </w:r>
      <w:r w:rsidR="00B8654E">
        <w:t>educatio</w:t>
      </w:r>
      <w:r w:rsidR="006844FC">
        <w:t>n.</w:t>
      </w:r>
      <w:r w:rsidR="00F87CC4">
        <w:t xml:space="preserve"> </w:t>
      </w:r>
      <w:r w:rsidR="006158A8">
        <w:t xml:space="preserve">Cognitive Activation, </w:t>
      </w:r>
      <w:r w:rsidR="006158A8" w:rsidRPr="00B53801">
        <w:rPr>
          <w:i/>
          <w:iCs/>
        </w:rPr>
        <w:t>CogAct</w:t>
      </w:r>
      <w:r w:rsidR="006158A8">
        <w:t>, is based on nine questions (e.g., “The teacher gives us problems which require that we think for an extended amount of time”) and aggregated as a level 2 variable</w:t>
      </w:r>
      <w:r w:rsidR="00E85F05">
        <w:t xml:space="preserve"> (</w:t>
      </w:r>
      <w:r w:rsidR="00E85F05" w:rsidRPr="003F7DA3">
        <w:t xml:space="preserve">Cronbach </w:t>
      </w:r>
      <m:oMath>
        <m:r>
          <w:rPr>
            <w:rFonts w:ascii="Cambria Math" w:hAnsi="Cambria Math"/>
          </w:rPr>
          <m:t>⍺=0.86</m:t>
        </m:r>
      </m:oMath>
      <w:r w:rsidR="00E85F05" w:rsidRPr="003F7DA3">
        <w:t xml:space="preserve">, </w:t>
      </w:r>
      <m:oMath>
        <m:r>
          <m:rPr>
            <m:sty m:val="p"/>
          </m:rPr>
          <w:rPr>
            <w:rFonts w:ascii="Cambria Math" w:hAnsi="Cambria Math"/>
          </w:rPr>
          <m:t>ICC</m:t>
        </m:r>
        <m:d>
          <m:dPr>
            <m:ctrlPr>
              <w:rPr>
                <w:rFonts w:ascii="Cambria Math" w:hAnsi="Cambria Math"/>
                <w:i/>
              </w:rPr>
            </m:ctrlPr>
          </m:dPr>
          <m:e>
            <m:r>
              <w:rPr>
                <w:rFonts w:ascii="Cambria Math" w:hAnsi="Cambria Math"/>
              </w:rPr>
              <m:t>1</m:t>
            </m:r>
          </m:e>
        </m:d>
        <m:r>
          <w:rPr>
            <w:rFonts w:ascii="Cambria Math" w:hAnsi="Cambria Math"/>
          </w:rPr>
          <m:t>=0.21,</m:t>
        </m:r>
      </m:oMath>
      <w:r w:rsidR="00E85F05" w:rsidRPr="003F7DA3">
        <w:t xml:space="preserve"> </w:t>
      </w:r>
      <m:oMath>
        <m:r>
          <m:rPr>
            <m:sty m:val="p"/>
          </m:rPr>
          <w:rPr>
            <w:rFonts w:ascii="Cambria Math" w:hAnsi="Cambria Math"/>
          </w:rPr>
          <m:t>ICC</m:t>
        </m:r>
        <m:d>
          <m:dPr>
            <m:ctrlPr>
              <w:rPr>
                <w:rFonts w:ascii="Cambria Math" w:hAnsi="Cambria Math"/>
                <w:i/>
              </w:rPr>
            </m:ctrlPr>
          </m:dPr>
          <m:e>
            <m:r>
              <w:rPr>
                <w:rFonts w:ascii="Cambria Math" w:hAnsi="Cambria Math"/>
              </w:rPr>
              <m:t>2</m:t>
            </m:r>
          </m:e>
        </m:d>
        <m:r>
          <w:rPr>
            <w:rFonts w:ascii="Cambria Math" w:hAnsi="Cambria Math"/>
          </w:rPr>
          <m:t>=0.83</m:t>
        </m:r>
      </m:oMath>
      <w:r w:rsidR="00E85F05">
        <w:t>)</w:t>
      </w:r>
      <w:r w:rsidR="006158A8">
        <w:t xml:space="preserve">. </w:t>
      </w:r>
      <w:r w:rsidR="00515787">
        <w:t xml:space="preserve">Multilevel analysis </w:t>
      </w:r>
      <w:r w:rsidR="00573624">
        <w:t>i</w:t>
      </w:r>
      <w:r w:rsidR="00515787">
        <w:t xml:space="preserve">s utilized </w:t>
      </w:r>
      <w:r w:rsidR="00023E47">
        <w:t>where students (level 1) is nested within groups (level 2</w:t>
      </w:r>
      <w:r w:rsidR="00E52B3A">
        <w:t>).</w:t>
      </w:r>
    </w:p>
    <w:p w14:paraId="7B043B9F" w14:textId="7F87CFBA" w:rsidR="0051742F" w:rsidRDefault="0051742F" w:rsidP="0051742F">
      <w:pPr>
        <w:pStyle w:val="Rubrik2"/>
      </w:pPr>
      <w:r>
        <w:t>Results</w:t>
      </w:r>
    </w:p>
    <w:p w14:paraId="1E6225E6" w14:textId="3B5EFE0A" w:rsidR="00D156BB" w:rsidRDefault="00975EE9" w:rsidP="000E7E06">
      <w:pPr>
        <w:pStyle w:val="Brdtext"/>
      </w:pPr>
      <w:r>
        <w:t xml:space="preserve">Table 1 presents some preliminary results where model 2 and model 4 show no significant interaction between </w:t>
      </w:r>
      <w:r w:rsidR="00FB4865">
        <w:t>parents’</w:t>
      </w:r>
      <w:r>
        <w:t xml:space="preserve"> education</w:t>
      </w:r>
      <w:r w:rsidR="00FB4865">
        <w:t>al level</w:t>
      </w:r>
      <w:r>
        <w:t xml:space="preserve"> and cognitive activation </w:t>
      </w:r>
      <w:r w:rsidR="00FB4865">
        <w:t xml:space="preserve">on mathematics achievement. Model 1 and model </w:t>
      </w:r>
      <w:r w:rsidR="00DD5AA2">
        <w:t>3</w:t>
      </w:r>
      <w:r w:rsidR="00FB4865">
        <w:t xml:space="preserve"> provide support for the positive association between cognitive activation and mathematics achievement</w:t>
      </w:r>
      <w:r w:rsidR="007B1AF5">
        <w:t>.</w:t>
      </w:r>
      <w:r w:rsidR="00FB4865">
        <w:t xml:space="preserve"> </w:t>
      </w:r>
      <w:r w:rsidR="007B1AF5">
        <w:t>Further, model 1 and 3</w:t>
      </w:r>
      <w:r w:rsidR="00125855">
        <w:t xml:space="preserve"> also show significant </w:t>
      </w:r>
      <w:r w:rsidR="00583038">
        <w:t>relationship</w:t>
      </w:r>
      <w:r w:rsidR="00003230">
        <w:t>s</w:t>
      </w:r>
      <w:r w:rsidR="00583038">
        <w:t xml:space="preserve"> between length o</w:t>
      </w:r>
      <w:r w:rsidR="00864006">
        <w:t xml:space="preserve">f </w:t>
      </w:r>
      <w:r w:rsidR="00003230">
        <w:t>parents’</w:t>
      </w:r>
      <w:r w:rsidR="00583038">
        <w:t xml:space="preserve"> education and achievement, acknowledging the educational gap related to </w:t>
      </w:r>
      <w:r w:rsidR="00003230">
        <w:t>students’</w:t>
      </w:r>
      <w:r w:rsidR="00583038">
        <w:t xml:space="preserve"> home environment.</w:t>
      </w:r>
      <w:r w:rsidR="00125855">
        <w:t xml:space="preserve"> </w:t>
      </w:r>
    </w:p>
    <w:p w14:paraId="492324E5" w14:textId="77777777" w:rsidR="00157962" w:rsidRPr="000E7E06" w:rsidRDefault="0000181B" w:rsidP="000E7E06">
      <w:pPr>
        <w:pStyle w:val="Brdtext"/>
      </w:pPr>
      <w:r>
        <w:t xml:space="preserve"> </w:t>
      </w:r>
    </w:p>
    <w:tbl>
      <w:tblPr>
        <w:tblW w:w="0" w:type="auto"/>
        <w:jc w:val="center"/>
        <w:tblLayout w:type="fixed"/>
        <w:tblLook w:val="0420" w:firstRow="1" w:lastRow="0" w:firstColumn="0" w:lastColumn="0" w:noHBand="0" w:noVBand="1"/>
      </w:tblPr>
      <w:tblGrid>
        <w:gridCol w:w="2694"/>
        <w:gridCol w:w="1321"/>
        <w:gridCol w:w="1208"/>
        <w:gridCol w:w="1417"/>
        <w:gridCol w:w="1269"/>
        <w:gridCol w:w="7"/>
      </w:tblGrid>
      <w:tr w:rsidR="000E0755" w:rsidRPr="00975EE9" w14:paraId="02AF0EF4" w14:textId="77777777" w:rsidTr="00D959F7">
        <w:trPr>
          <w:tblHeader/>
          <w:jc w:val="center"/>
        </w:trPr>
        <w:tc>
          <w:tcPr>
            <w:tcW w:w="2694" w:type="dxa"/>
            <w:tcBorders>
              <w:top w:val="single" w:sz="12" w:space="0" w:color="666666"/>
            </w:tcBorders>
            <w:shd w:val="clear" w:color="auto" w:fill="FFFFFF"/>
            <w:tcMar>
              <w:top w:w="0" w:type="dxa"/>
              <w:left w:w="0" w:type="dxa"/>
              <w:bottom w:w="0" w:type="dxa"/>
              <w:right w:w="0" w:type="dxa"/>
            </w:tcMar>
            <w:vAlign w:val="center"/>
          </w:tcPr>
          <w:p w14:paraId="1DE68D0C" w14:textId="77777777" w:rsidR="000E0755" w:rsidRPr="000E0755" w:rsidRDefault="000E0755" w:rsidP="00975EE9">
            <w:pPr>
              <w:pStyle w:val="Brdtext"/>
              <w:spacing w:line="240" w:lineRule="auto"/>
              <w:rPr>
                <w:sz w:val="22"/>
                <w:szCs w:val="22"/>
                <w:lang w:val="en-US"/>
              </w:rPr>
            </w:pPr>
          </w:p>
        </w:tc>
        <w:tc>
          <w:tcPr>
            <w:tcW w:w="1321" w:type="dxa"/>
            <w:tcBorders>
              <w:top w:val="single" w:sz="12" w:space="0" w:color="666666"/>
              <w:left w:val="nil"/>
              <w:right w:val="none" w:sz="0" w:space="0" w:color="000000"/>
            </w:tcBorders>
            <w:shd w:val="clear" w:color="auto" w:fill="FFFFFF"/>
            <w:tcMar>
              <w:top w:w="0" w:type="dxa"/>
              <w:left w:w="0" w:type="dxa"/>
              <w:bottom w:w="0" w:type="dxa"/>
              <w:right w:w="0" w:type="dxa"/>
            </w:tcMar>
            <w:vAlign w:val="center"/>
          </w:tcPr>
          <w:p w14:paraId="30BDBAC9" w14:textId="40B7B660" w:rsidR="000E0755" w:rsidRPr="000E0755" w:rsidRDefault="000E0755" w:rsidP="00975EE9">
            <w:pPr>
              <w:pStyle w:val="Brdtext"/>
              <w:spacing w:line="240" w:lineRule="auto"/>
              <w:rPr>
                <w:sz w:val="22"/>
                <w:szCs w:val="22"/>
                <w:lang w:val="en-US"/>
              </w:rPr>
            </w:pPr>
            <w:r w:rsidRPr="000E0755">
              <w:rPr>
                <w:sz w:val="22"/>
                <w:szCs w:val="22"/>
                <w:lang w:val="en-US"/>
              </w:rPr>
              <w:t>M</w:t>
            </w:r>
            <w:r w:rsidR="00975EE9">
              <w:rPr>
                <w:sz w:val="22"/>
                <w:szCs w:val="22"/>
                <w:lang w:val="en-US"/>
              </w:rPr>
              <w:t xml:space="preserve">odel </w:t>
            </w:r>
            <w:r w:rsidRPr="000E0755">
              <w:rPr>
                <w:sz w:val="22"/>
                <w:szCs w:val="22"/>
                <w:lang w:val="en-US"/>
              </w:rPr>
              <w:t>1</w:t>
            </w:r>
          </w:p>
        </w:tc>
        <w:tc>
          <w:tcPr>
            <w:tcW w:w="1208" w:type="dxa"/>
            <w:tcBorders>
              <w:top w:val="single" w:sz="12" w:space="0" w:color="666666"/>
              <w:left w:val="none" w:sz="0" w:space="0" w:color="000000"/>
              <w:right w:val="none" w:sz="0" w:space="0" w:color="000000"/>
            </w:tcBorders>
            <w:shd w:val="clear" w:color="auto" w:fill="FFFFFF"/>
            <w:tcMar>
              <w:top w:w="0" w:type="dxa"/>
              <w:left w:w="0" w:type="dxa"/>
              <w:bottom w:w="0" w:type="dxa"/>
              <w:right w:w="0" w:type="dxa"/>
            </w:tcMar>
            <w:vAlign w:val="center"/>
          </w:tcPr>
          <w:p w14:paraId="79B3780C" w14:textId="2ED42380" w:rsidR="000E0755" w:rsidRPr="000E0755" w:rsidRDefault="000E0755" w:rsidP="00975EE9">
            <w:pPr>
              <w:pStyle w:val="Brdtext"/>
              <w:spacing w:line="240" w:lineRule="auto"/>
              <w:rPr>
                <w:sz w:val="22"/>
                <w:szCs w:val="22"/>
                <w:lang w:val="en-US"/>
              </w:rPr>
            </w:pPr>
            <w:r w:rsidRPr="000E0755">
              <w:rPr>
                <w:sz w:val="22"/>
                <w:szCs w:val="22"/>
                <w:lang w:val="en-US"/>
              </w:rPr>
              <w:t>M</w:t>
            </w:r>
            <w:r w:rsidR="00975EE9">
              <w:rPr>
                <w:sz w:val="22"/>
                <w:szCs w:val="22"/>
                <w:lang w:val="en-US"/>
              </w:rPr>
              <w:t xml:space="preserve">odel </w:t>
            </w:r>
            <w:r w:rsidRPr="000E0755">
              <w:rPr>
                <w:sz w:val="22"/>
                <w:szCs w:val="22"/>
                <w:lang w:val="en-US"/>
              </w:rPr>
              <w:t>2</w:t>
            </w:r>
          </w:p>
        </w:tc>
        <w:tc>
          <w:tcPr>
            <w:tcW w:w="1417" w:type="dxa"/>
            <w:tcBorders>
              <w:top w:val="single" w:sz="12" w:space="0" w:color="666666"/>
              <w:left w:val="none" w:sz="0" w:space="0" w:color="000000"/>
              <w:right w:val="none" w:sz="0" w:space="0" w:color="000000"/>
            </w:tcBorders>
            <w:shd w:val="clear" w:color="auto" w:fill="FFFFFF"/>
            <w:tcMar>
              <w:top w:w="0" w:type="dxa"/>
              <w:left w:w="0" w:type="dxa"/>
              <w:bottom w:w="0" w:type="dxa"/>
              <w:right w:w="0" w:type="dxa"/>
            </w:tcMar>
            <w:vAlign w:val="center"/>
          </w:tcPr>
          <w:p w14:paraId="75116C0D" w14:textId="1CEF9CEC" w:rsidR="000E0755" w:rsidRPr="000E0755" w:rsidRDefault="000E0755" w:rsidP="00975EE9">
            <w:pPr>
              <w:pStyle w:val="Brdtext"/>
              <w:spacing w:line="240" w:lineRule="auto"/>
              <w:rPr>
                <w:sz w:val="22"/>
                <w:szCs w:val="22"/>
                <w:lang w:val="en-US"/>
              </w:rPr>
            </w:pPr>
            <w:r w:rsidRPr="000E0755">
              <w:rPr>
                <w:sz w:val="22"/>
                <w:szCs w:val="22"/>
                <w:lang w:val="en-US"/>
              </w:rPr>
              <w:t>M</w:t>
            </w:r>
            <w:r w:rsidR="00975EE9">
              <w:rPr>
                <w:sz w:val="22"/>
                <w:szCs w:val="22"/>
                <w:lang w:val="en-US"/>
              </w:rPr>
              <w:t xml:space="preserve">odel </w:t>
            </w:r>
            <w:r w:rsidRPr="000E0755">
              <w:rPr>
                <w:sz w:val="22"/>
                <w:szCs w:val="22"/>
                <w:lang w:val="en-US"/>
              </w:rPr>
              <w:t>3</w:t>
            </w:r>
          </w:p>
        </w:tc>
        <w:tc>
          <w:tcPr>
            <w:tcW w:w="1276" w:type="dxa"/>
            <w:gridSpan w:val="2"/>
            <w:tcBorders>
              <w:top w:val="single" w:sz="12" w:space="0" w:color="666666"/>
              <w:left w:val="none" w:sz="0" w:space="0" w:color="000000"/>
            </w:tcBorders>
            <w:shd w:val="clear" w:color="auto" w:fill="FFFFFF"/>
            <w:tcMar>
              <w:top w:w="0" w:type="dxa"/>
              <w:left w:w="0" w:type="dxa"/>
              <w:bottom w:w="0" w:type="dxa"/>
              <w:right w:w="0" w:type="dxa"/>
            </w:tcMar>
            <w:vAlign w:val="center"/>
          </w:tcPr>
          <w:p w14:paraId="386B2D21" w14:textId="5C5043C2" w:rsidR="000E0755" w:rsidRPr="000E0755" w:rsidRDefault="000E0755" w:rsidP="00975EE9">
            <w:pPr>
              <w:pStyle w:val="Brdtext"/>
              <w:spacing w:line="240" w:lineRule="auto"/>
              <w:rPr>
                <w:sz w:val="22"/>
                <w:szCs w:val="22"/>
                <w:lang w:val="en-US"/>
              </w:rPr>
            </w:pPr>
            <w:r w:rsidRPr="000E0755">
              <w:rPr>
                <w:sz w:val="22"/>
                <w:szCs w:val="22"/>
                <w:lang w:val="en-US"/>
              </w:rPr>
              <w:t>M</w:t>
            </w:r>
            <w:r w:rsidR="00975EE9">
              <w:rPr>
                <w:sz w:val="22"/>
                <w:szCs w:val="22"/>
                <w:lang w:val="en-US"/>
              </w:rPr>
              <w:t>odel 4</w:t>
            </w:r>
          </w:p>
        </w:tc>
      </w:tr>
      <w:tr w:rsidR="00DD5AA2" w:rsidRPr="00975EE9" w14:paraId="5FD6E218" w14:textId="77777777" w:rsidTr="000E0755">
        <w:trPr>
          <w:jc w:val="center"/>
        </w:trPr>
        <w:tc>
          <w:tcPr>
            <w:tcW w:w="2694"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DD5074" w14:textId="77777777" w:rsidR="00DD5AA2" w:rsidRPr="000E0755" w:rsidRDefault="00DD5AA2" w:rsidP="00DD5AA2">
            <w:pPr>
              <w:pStyle w:val="Brdtext"/>
              <w:spacing w:line="240" w:lineRule="auto"/>
              <w:rPr>
                <w:sz w:val="22"/>
                <w:szCs w:val="22"/>
                <w:lang w:val="en-US"/>
              </w:rPr>
            </w:pPr>
            <w:r w:rsidRPr="000E0755">
              <w:rPr>
                <w:sz w:val="22"/>
                <w:szCs w:val="22"/>
                <w:lang w:val="en-US"/>
              </w:rPr>
              <w:t>ParEdu</w:t>
            </w:r>
          </w:p>
        </w:tc>
        <w:tc>
          <w:tcPr>
            <w:tcW w:w="1321"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643342" w14:textId="77777777" w:rsidR="00DD5AA2" w:rsidRPr="000E0755" w:rsidRDefault="00DD5AA2" w:rsidP="00DD5AA2">
            <w:pPr>
              <w:pStyle w:val="Brdtext"/>
              <w:spacing w:line="240" w:lineRule="auto"/>
              <w:rPr>
                <w:sz w:val="22"/>
                <w:szCs w:val="22"/>
                <w:lang w:val="en-US"/>
              </w:rPr>
            </w:pPr>
            <w:r w:rsidRPr="000E0755">
              <w:rPr>
                <w:sz w:val="22"/>
                <w:szCs w:val="22"/>
                <w:lang w:val="en-US"/>
              </w:rPr>
              <w:t>1.038***</w:t>
            </w:r>
          </w:p>
        </w:tc>
        <w:tc>
          <w:tcPr>
            <w:tcW w:w="1208"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0F2F89" w14:textId="77777777" w:rsidR="00DD5AA2" w:rsidRPr="000E0755" w:rsidRDefault="00DD5AA2" w:rsidP="00DD5AA2">
            <w:pPr>
              <w:pStyle w:val="Brdtext"/>
              <w:spacing w:line="240" w:lineRule="auto"/>
              <w:rPr>
                <w:sz w:val="22"/>
                <w:szCs w:val="22"/>
                <w:lang w:val="en-US"/>
              </w:rPr>
            </w:pPr>
            <w:r w:rsidRPr="000E0755">
              <w:rPr>
                <w:sz w:val="22"/>
                <w:szCs w:val="22"/>
                <w:lang w:val="en-US"/>
              </w:rPr>
              <w:t>3.073</w:t>
            </w:r>
          </w:p>
        </w:tc>
        <w:tc>
          <w:tcPr>
            <w:tcW w:w="1417" w:type="dxa"/>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9F7C54" w14:textId="77777777" w:rsidR="00DD5AA2" w:rsidRPr="000E0755" w:rsidRDefault="00DD5AA2" w:rsidP="00DD5AA2">
            <w:pPr>
              <w:pStyle w:val="Brdtext"/>
              <w:spacing w:line="240" w:lineRule="auto"/>
              <w:rPr>
                <w:sz w:val="22"/>
                <w:szCs w:val="22"/>
                <w:lang w:val="en-US"/>
              </w:rPr>
            </w:pPr>
          </w:p>
        </w:tc>
        <w:tc>
          <w:tcPr>
            <w:tcW w:w="1276" w:type="dxa"/>
            <w:gridSpan w:val="2"/>
            <w:tcBorders>
              <w:top w:val="single" w:sz="12" w:space="0" w:color="666666"/>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716905" w14:textId="77777777" w:rsidR="00DD5AA2" w:rsidRPr="000E0755" w:rsidRDefault="00DD5AA2" w:rsidP="00DD5AA2">
            <w:pPr>
              <w:pStyle w:val="Brdtext"/>
              <w:spacing w:line="240" w:lineRule="auto"/>
              <w:rPr>
                <w:sz w:val="22"/>
                <w:szCs w:val="22"/>
                <w:lang w:val="en-US"/>
              </w:rPr>
            </w:pPr>
          </w:p>
        </w:tc>
      </w:tr>
      <w:tr w:rsidR="00DD5AA2" w:rsidRPr="00975EE9" w14:paraId="59532FC9" w14:textId="77777777" w:rsidTr="000E0755">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ACA788" w14:textId="77777777" w:rsidR="00DD5AA2" w:rsidRPr="000E0755" w:rsidRDefault="00DD5AA2" w:rsidP="00DD5AA2">
            <w:pPr>
              <w:pStyle w:val="Brdtext"/>
              <w:spacing w:line="240" w:lineRule="auto"/>
              <w:rPr>
                <w:sz w:val="22"/>
                <w:szCs w:val="22"/>
                <w:lang w:val="en-US"/>
              </w:rPr>
            </w:pPr>
          </w:p>
        </w:tc>
        <w:tc>
          <w:tcPr>
            <w:tcW w:w="132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A3ED10" w14:textId="77777777" w:rsidR="00DD5AA2" w:rsidRPr="000E0755" w:rsidRDefault="00DD5AA2" w:rsidP="00DD5AA2">
            <w:pPr>
              <w:pStyle w:val="Brdtext"/>
              <w:spacing w:line="240" w:lineRule="auto"/>
              <w:rPr>
                <w:sz w:val="22"/>
                <w:szCs w:val="22"/>
                <w:lang w:val="en-US"/>
              </w:rPr>
            </w:pPr>
            <w:r w:rsidRPr="000E0755">
              <w:rPr>
                <w:sz w:val="22"/>
                <w:szCs w:val="22"/>
                <w:lang w:val="en-US"/>
              </w:rPr>
              <w:t>(0.270)</w:t>
            </w:r>
          </w:p>
        </w:tc>
        <w:tc>
          <w:tcPr>
            <w:tcW w:w="12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CA64CB" w14:textId="77777777" w:rsidR="00DD5AA2" w:rsidRPr="000E0755" w:rsidRDefault="00DD5AA2" w:rsidP="00DD5AA2">
            <w:pPr>
              <w:pStyle w:val="Brdtext"/>
              <w:spacing w:line="240" w:lineRule="auto"/>
              <w:rPr>
                <w:sz w:val="22"/>
                <w:szCs w:val="22"/>
                <w:lang w:val="en-US"/>
              </w:rPr>
            </w:pPr>
            <w:r w:rsidRPr="000E0755">
              <w:rPr>
                <w:sz w:val="22"/>
                <w:szCs w:val="22"/>
                <w:lang w:val="en-US"/>
              </w:rPr>
              <w:t>(2.868)</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897B63" w14:textId="77777777" w:rsidR="00DD5AA2" w:rsidRPr="000E0755" w:rsidRDefault="00DD5AA2" w:rsidP="00DD5AA2">
            <w:pPr>
              <w:pStyle w:val="Brdtext"/>
              <w:spacing w:line="240" w:lineRule="auto"/>
              <w:rPr>
                <w:sz w:val="22"/>
                <w:szCs w:val="22"/>
                <w:lang w:val="en-US"/>
              </w:rPr>
            </w:pPr>
          </w:p>
        </w:tc>
        <w:tc>
          <w:tcPr>
            <w:tcW w:w="1276"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4F7548" w14:textId="77777777" w:rsidR="00DD5AA2" w:rsidRPr="000E0755" w:rsidRDefault="00DD5AA2" w:rsidP="00DD5AA2">
            <w:pPr>
              <w:pStyle w:val="Brdtext"/>
              <w:spacing w:line="240" w:lineRule="auto"/>
              <w:rPr>
                <w:sz w:val="22"/>
                <w:szCs w:val="22"/>
                <w:lang w:val="en-US"/>
              </w:rPr>
            </w:pPr>
          </w:p>
        </w:tc>
      </w:tr>
      <w:tr w:rsidR="00DD5AA2" w:rsidRPr="00975EE9" w14:paraId="1B27EB64" w14:textId="77777777" w:rsidTr="000E0755">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5D09AF" w14:textId="77777777" w:rsidR="00DD5AA2" w:rsidRPr="000E0755" w:rsidRDefault="00DD5AA2" w:rsidP="00DD5AA2">
            <w:pPr>
              <w:pStyle w:val="Brdtext"/>
              <w:spacing w:line="240" w:lineRule="auto"/>
              <w:rPr>
                <w:sz w:val="22"/>
                <w:szCs w:val="22"/>
                <w:lang w:val="en-US"/>
              </w:rPr>
            </w:pPr>
            <w:r w:rsidRPr="000E0755">
              <w:rPr>
                <w:sz w:val="22"/>
                <w:szCs w:val="22"/>
                <w:lang w:val="en-US"/>
              </w:rPr>
              <w:t>CogAct</w:t>
            </w:r>
          </w:p>
        </w:tc>
        <w:tc>
          <w:tcPr>
            <w:tcW w:w="132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496C57" w14:textId="77777777" w:rsidR="00DD5AA2" w:rsidRPr="000E0755" w:rsidRDefault="00DD5AA2" w:rsidP="00DD5AA2">
            <w:pPr>
              <w:pStyle w:val="Brdtext"/>
              <w:spacing w:line="240" w:lineRule="auto"/>
              <w:rPr>
                <w:sz w:val="22"/>
                <w:szCs w:val="22"/>
                <w:lang w:val="en-US"/>
              </w:rPr>
            </w:pPr>
            <w:r w:rsidRPr="000E0755">
              <w:rPr>
                <w:sz w:val="22"/>
                <w:szCs w:val="22"/>
                <w:lang w:val="en-US"/>
              </w:rPr>
              <w:t>7.223**</w:t>
            </w:r>
          </w:p>
        </w:tc>
        <w:tc>
          <w:tcPr>
            <w:tcW w:w="12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CE49C7" w14:textId="77777777" w:rsidR="00DD5AA2" w:rsidRPr="000E0755" w:rsidRDefault="00DD5AA2" w:rsidP="00DD5AA2">
            <w:pPr>
              <w:pStyle w:val="Brdtext"/>
              <w:spacing w:line="240" w:lineRule="auto"/>
              <w:rPr>
                <w:sz w:val="22"/>
                <w:szCs w:val="22"/>
                <w:lang w:val="en-US"/>
              </w:rPr>
            </w:pPr>
            <w:r w:rsidRPr="000E0755">
              <w:rPr>
                <w:sz w:val="22"/>
                <w:szCs w:val="22"/>
                <w:lang w:val="en-US"/>
              </w:rPr>
              <w:t>10.994+</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F14104" w14:textId="77777777" w:rsidR="00DD5AA2" w:rsidRPr="000E0755" w:rsidRDefault="00DD5AA2" w:rsidP="00DD5AA2">
            <w:pPr>
              <w:pStyle w:val="Brdtext"/>
              <w:spacing w:line="240" w:lineRule="auto"/>
              <w:rPr>
                <w:sz w:val="22"/>
                <w:szCs w:val="22"/>
                <w:lang w:val="en-US"/>
              </w:rPr>
            </w:pPr>
            <w:r w:rsidRPr="000E0755">
              <w:rPr>
                <w:sz w:val="22"/>
                <w:szCs w:val="22"/>
                <w:lang w:val="en-US"/>
              </w:rPr>
              <w:t>5.619*</w:t>
            </w:r>
          </w:p>
        </w:tc>
        <w:tc>
          <w:tcPr>
            <w:tcW w:w="1276"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581B9B" w14:textId="77777777" w:rsidR="00DD5AA2" w:rsidRPr="000E0755" w:rsidRDefault="00DD5AA2" w:rsidP="00DD5AA2">
            <w:pPr>
              <w:pStyle w:val="Brdtext"/>
              <w:spacing w:line="240" w:lineRule="auto"/>
              <w:rPr>
                <w:sz w:val="22"/>
                <w:szCs w:val="22"/>
                <w:lang w:val="en-US"/>
              </w:rPr>
            </w:pPr>
            <w:r w:rsidRPr="000E0755">
              <w:rPr>
                <w:sz w:val="22"/>
                <w:szCs w:val="22"/>
                <w:lang w:val="en-US"/>
              </w:rPr>
              <w:t>12.049</w:t>
            </w:r>
          </w:p>
        </w:tc>
      </w:tr>
      <w:tr w:rsidR="00DD5AA2" w:rsidRPr="00975EE9" w14:paraId="68F287D1" w14:textId="77777777" w:rsidTr="000E0755">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7E2C40" w14:textId="77777777" w:rsidR="00DD5AA2" w:rsidRPr="000E0755" w:rsidRDefault="00DD5AA2" w:rsidP="00DD5AA2">
            <w:pPr>
              <w:pStyle w:val="Brdtext"/>
              <w:spacing w:line="240" w:lineRule="auto"/>
              <w:rPr>
                <w:sz w:val="22"/>
                <w:szCs w:val="22"/>
                <w:lang w:val="en-US"/>
              </w:rPr>
            </w:pPr>
          </w:p>
        </w:tc>
        <w:tc>
          <w:tcPr>
            <w:tcW w:w="132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7473AF" w14:textId="77777777" w:rsidR="00DD5AA2" w:rsidRPr="000E0755" w:rsidRDefault="00DD5AA2" w:rsidP="00DD5AA2">
            <w:pPr>
              <w:pStyle w:val="Brdtext"/>
              <w:spacing w:line="240" w:lineRule="auto"/>
              <w:rPr>
                <w:sz w:val="22"/>
                <w:szCs w:val="22"/>
                <w:lang w:val="en-US"/>
              </w:rPr>
            </w:pPr>
            <w:r w:rsidRPr="000E0755">
              <w:rPr>
                <w:sz w:val="22"/>
                <w:szCs w:val="22"/>
                <w:lang w:val="en-US"/>
              </w:rPr>
              <w:t>(2.243)</w:t>
            </w:r>
          </w:p>
        </w:tc>
        <w:tc>
          <w:tcPr>
            <w:tcW w:w="12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86D1A5" w14:textId="77777777" w:rsidR="00DD5AA2" w:rsidRPr="000E0755" w:rsidRDefault="00DD5AA2" w:rsidP="00DD5AA2">
            <w:pPr>
              <w:pStyle w:val="Brdtext"/>
              <w:spacing w:line="240" w:lineRule="auto"/>
              <w:rPr>
                <w:sz w:val="22"/>
                <w:szCs w:val="22"/>
                <w:lang w:val="en-US"/>
              </w:rPr>
            </w:pPr>
            <w:r w:rsidRPr="000E0755">
              <w:rPr>
                <w:sz w:val="22"/>
                <w:szCs w:val="22"/>
                <w:lang w:val="en-US"/>
              </w:rPr>
              <w:t>(5.745)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259550" w14:textId="77777777" w:rsidR="00DD5AA2" w:rsidRPr="000E0755" w:rsidRDefault="00DD5AA2" w:rsidP="00DD5AA2">
            <w:pPr>
              <w:pStyle w:val="Brdtext"/>
              <w:spacing w:line="240" w:lineRule="auto"/>
              <w:rPr>
                <w:sz w:val="22"/>
                <w:szCs w:val="22"/>
                <w:lang w:val="en-US"/>
              </w:rPr>
            </w:pPr>
            <w:r w:rsidRPr="000E0755">
              <w:rPr>
                <w:sz w:val="22"/>
                <w:szCs w:val="22"/>
                <w:lang w:val="en-US"/>
              </w:rPr>
              <w:t>(2.292)</w:t>
            </w:r>
          </w:p>
        </w:tc>
        <w:tc>
          <w:tcPr>
            <w:tcW w:w="1276"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DDE6F7" w14:textId="77777777" w:rsidR="00DD5AA2" w:rsidRPr="000E0755" w:rsidRDefault="00DD5AA2" w:rsidP="00DD5AA2">
            <w:pPr>
              <w:pStyle w:val="Brdtext"/>
              <w:spacing w:line="240" w:lineRule="auto"/>
              <w:rPr>
                <w:sz w:val="22"/>
                <w:szCs w:val="22"/>
                <w:lang w:val="en-US"/>
              </w:rPr>
            </w:pPr>
            <w:r w:rsidRPr="000E0755">
              <w:rPr>
                <w:sz w:val="22"/>
                <w:szCs w:val="22"/>
                <w:lang w:val="en-US"/>
              </w:rPr>
              <w:t>(11.749)</w:t>
            </w:r>
          </w:p>
        </w:tc>
      </w:tr>
      <w:tr w:rsidR="00DD5AA2" w:rsidRPr="00975EE9" w14:paraId="5F4F23BB" w14:textId="77777777" w:rsidTr="000E0755">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5140F5" w14:textId="77777777" w:rsidR="00DD5AA2" w:rsidRPr="000E0755" w:rsidRDefault="00DD5AA2" w:rsidP="00DD5AA2">
            <w:pPr>
              <w:pStyle w:val="Brdtext"/>
              <w:spacing w:line="240" w:lineRule="auto"/>
              <w:rPr>
                <w:sz w:val="22"/>
                <w:szCs w:val="22"/>
                <w:lang w:val="en-US"/>
              </w:rPr>
            </w:pPr>
            <w:r w:rsidRPr="000E0755">
              <w:rPr>
                <w:sz w:val="22"/>
                <w:szCs w:val="22"/>
                <w:lang w:val="en-US"/>
              </w:rPr>
              <w:t>ParEdu × CogAct</w:t>
            </w:r>
          </w:p>
        </w:tc>
        <w:tc>
          <w:tcPr>
            <w:tcW w:w="132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35BD4A" w14:textId="77777777" w:rsidR="00DD5AA2" w:rsidRPr="000E0755" w:rsidRDefault="00DD5AA2" w:rsidP="00DD5AA2">
            <w:pPr>
              <w:pStyle w:val="Brdtext"/>
              <w:spacing w:line="240" w:lineRule="auto"/>
              <w:rPr>
                <w:sz w:val="22"/>
                <w:szCs w:val="22"/>
                <w:lang w:val="en-US"/>
              </w:rPr>
            </w:pPr>
          </w:p>
        </w:tc>
        <w:tc>
          <w:tcPr>
            <w:tcW w:w="12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B81E6" w14:textId="77777777" w:rsidR="00DD5AA2" w:rsidRPr="000E0755" w:rsidRDefault="00DD5AA2" w:rsidP="00DD5AA2">
            <w:pPr>
              <w:pStyle w:val="Brdtext"/>
              <w:spacing w:line="240" w:lineRule="auto"/>
              <w:rPr>
                <w:sz w:val="22"/>
                <w:szCs w:val="22"/>
                <w:lang w:val="en-US"/>
              </w:rPr>
            </w:pPr>
            <w:r w:rsidRPr="000E0755">
              <w:rPr>
                <w:sz w:val="22"/>
                <w:szCs w:val="22"/>
                <w:lang w:val="en-US"/>
              </w:rPr>
              <w:t>-0.715</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A30902" w14:textId="77777777" w:rsidR="00DD5AA2" w:rsidRPr="000E0755" w:rsidRDefault="00DD5AA2" w:rsidP="00DD5AA2">
            <w:pPr>
              <w:pStyle w:val="Brdtext"/>
              <w:spacing w:line="240" w:lineRule="auto"/>
              <w:rPr>
                <w:sz w:val="22"/>
                <w:szCs w:val="22"/>
                <w:lang w:val="en-US"/>
              </w:rPr>
            </w:pPr>
          </w:p>
        </w:tc>
        <w:tc>
          <w:tcPr>
            <w:tcW w:w="1276"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9D4AE5" w14:textId="77777777" w:rsidR="00DD5AA2" w:rsidRPr="000E0755" w:rsidRDefault="00DD5AA2" w:rsidP="00DD5AA2">
            <w:pPr>
              <w:pStyle w:val="Brdtext"/>
              <w:spacing w:line="240" w:lineRule="auto"/>
              <w:rPr>
                <w:sz w:val="22"/>
                <w:szCs w:val="22"/>
                <w:lang w:val="en-US"/>
              </w:rPr>
            </w:pPr>
          </w:p>
        </w:tc>
      </w:tr>
      <w:tr w:rsidR="00DD5AA2" w:rsidRPr="00975EE9" w14:paraId="762286A9" w14:textId="77777777" w:rsidTr="000E0755">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1AB664" w14:textId="77777777" w:rsidR="00DD5AA2" w:rsidRPr="000E0755" w:rsidRDefault="00DD5AA2" w:rsidP="00DD5AA2">
            <w:pPr>
              <w:pStyle w:val="Brdtext"/>
              <w:spacing w:line="240" w:lineRule="auto"/>
              <w:rPr>
                <w:sz w:val="22"/>
                <w:szCs w:val="22"/>
                <w:lang w:val="en-US"/>
              </w:rPr>
            </w:pPr>
          </w:p>
        </w:tc>
        <w:tc>
          <w:tcPr>
            <w:tcW w:w="132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D40506" w14:textId="77777777" w:rsidR="00DD5AA2" w:rsidRPr="000E0755" w:rsidRDefault="00DD5AA2" w:rsidP="00DD5AA2">
            <w:pPr>
              <w:pStyle w:val="Brdtext"/>
              <w:spacing w:line="240" w:lineRule="auto"/>
              <w:rPr>
                <w:sz w:val="22"/>
                <w:szCs w:val="22"/>
                <w:lang w:val="en-US"/>
              </w:rPr>
            </w:pPr>
          </w:p>
        </w:tc>
        <w:tc>
          <w:tcPr>
            <w:tcW w:w="12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D1AA31" w14:textId="77777777" w:rsidR="00DD5AA2" w:rsidRPr="000E0755" w:rsidRDefault="00DD5AA2" w:rsidP="00DD5AA2">
            <w:pPr>
              <w:pStyle w:val="Brdtext"/>
              <w:spacing w:line="240" w:lineRule="auto"/>
              <w:rPr>
                <w:sz w:val="22"/>
                <w:szCs w:val="22"/>
                <w:lang w:val="en-US"/>
              </w:rPr>
            </w:pPr>
            <w:r w:rsidRPr="000E0755">
              <w:rPr>
                <w:sz w:val="22"/>
                <w:szCs w:val="22"/>
                <w:lang w:val="en-US"/>
              </w:rPr>
              <w:t>(1.004)</w:t>
            </w: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7B131B" w14:textId="77777777" w:rsidR="00DD5AA2" w:rsidRPr="000E0755" w:rsidRDefault="00DD5AA2" w:rsidP="00DD5AA2">
            <w:pPr>
              <w:pStyle w:val="Brdtext"/>
              <w:spacing w:line="240" w:lineRule="auto"/>
              <w:rPr>
                <w:sz w:val="22"/>
                <w:szCs w:val="22"/>
                <w:lang w:val="en-US"/>
              </w:rPr>
            </w:pPr>
          </w:p>
        </w:tc>
        <w:tc>
          <w:tcPr>
            <w:tcW w:w="1276"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98F602" w14:textId="77777777" w:rsidR="00DD5AA2" w:rsidRPr="000E0755" w:rsidRDefault="00DD5AA2" w:rsidP="00DD5AA2">
            <w:pPr>
              <w:pStyle w:val="Brdtext"/>
              <w:spacing w:line="240" w:lineRule="auto"/>
              <w:rPr>
                <w:sz w:val="22"/>
                <w:szCs w:val="22"/>
                <w:lang w:val="en-US"/>
              </w:rPr>
            </w:pPr>
          </w:p>
        </w:tc>
      </w:tr>
      <w:tr w:rsidR="00DD5AA2" w:rsidRPr="00975EE9" w14:paraId="2281CEBC" w14:textId="77777777" w:rsidTr="000E0755">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4FCBA" w14:textId="77777777" w:rsidR="00DD5AA2" w:rsidRPr="000E0755" w:rsidRDefault="00DD5AA2" w:rsidP="00DD5AA2">
            <w:pPr>
              <w:pStyle w:val="Brdtext"/>
              <w:spacing w:line="240" w:lineRule="auto"/>
              <w:rPr>
                <w:sz w:val="22"/>
                <w:szCs w:val="22"/>
                <w:lang w:val="en-US"/>
              </w:rPr>
            </w:pPr>
            <w:r w:rsidRPr="000E0755">
              <w:rPr>
                <w:sz w:val="22"/>
                <w:szCs w:val="22"/>
                <w:lang w:val="en-US"/>
              </w:rPr>
              <w:t>ParEduLong</w:t>
            </w:r>
          </w:p>
        </w:tc>
        <w:tc>
          <w:tcPr>
            <w:tcW w:w="132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B044A9" w14:textId="77777777" w:rsidR="00DD5AA2" w:rsidRPr="000E0755" w:rsidRDefault="00DD5AA2" w:rsidP="00DD5AA2">
            <w:pPr>
              <w:pStyle w:val="Brdtext"/>
              <w:spacing w:line="240" w:lineRule="auto"/>
              <w:rPr>
                <w:sz w:val="22"/>
                <w:szCs w:val="22"/>
                <w:lang w:val="en-US"/>
              </w:rPr>
            </w:pPr>
          </w:p>
        </w:tc>
        <w:tc>
          <w:tcPr>
            <w:tcW w:w="12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46E01D" w14:textId="77777777" w:rsidR="00DD5AA2" w:rsidRPr="000E0755" w:rsidRDefault="00DD5AA2" w:rsidP="00DD5AA2">
            <w:pPr>
              <w:pStyle w:val="Brdtext"/>
              <w:spacing w:line="240" w:lineRule="auto"/>
              <w:rPr>
                <w:sz w:val="22"/>
                <w:szCs w:val="22"/>
                <w:lang w:val="en-US"/>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106E69" w14:textId="77777777" w:rsidR="00DD5AA2" w:rsidRPr="000E0755" w:rsidRDefault="00DD5AA2" w:rsidP="00DD5AA2">
            <w:pPr>
              <w:pStyle w:val="Brdtext"/>
              <w:spacing w:line="240" w:lineRule="auto"/>
              <w:rPr>
                <w:sz w:val="22"/>
                <w:szCs w:val="22"/>
                <w:lang w:val="en-US"/>
              </w:rPr>
            </w:pPr>
            <w:r w:rsidRPr="000E0755">
              <w:rPr>
                <w:sz w:val="22"/>
                <w:szCs w:val="22"/>
                <w:lang w:val="en-US"/>
              </w:rPr>
              <w:t>2.517***</w:t>
            </w:r>
          </w:p>
        </w:tc>
        <w:tc>
          <w:tcPr>
            <w:tcW w:w="1276"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687C9F" w14:textId="77777777" w:rsidR="00DD5AA2" w:rsidRPr="000E0755" w:rsidRDefault="00DD5AA2" w:rsidP="00DD5AA2">
            <w:pPr>
              <w:pStyle w:val="Brdtext"/>
              <w:spacing w:line="240" w:lineRule="auto"/>
              <w:rPr>
                <w:sz w:val="22"/>
                <w:szCs w:val="22"/>
                <w:lang w:val="en-US"/>
              </w:rPr>
            </w:pPr>
            <w:r w:rsidRPr="000E0755">
              <w:rPr>
                <w:sz w:val="22"/>
                <w:szCs w:val="22"/>
                <w:lang w:val="en-US"/>
              </w:rPr>
              <w:t>2.519***</w:t>
            </w:r>
          </w:p>
        </w:tc>
      </w:tr>
      <w:tr w:rsidR="00DD5AA2" w:rsidRPr="00975EE9" w14:paraId="738F36BF" w14:textId="77777777" w:rsidTr="000E0755">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E4B638" w14:textId="77777777" w:rsidR="00DD5AA2" w:rsidRPr="000E0755" w:rsidRDefault="00DD5AA2" w:rsidP="00DD5AA2">
            <w:pPr>
              <w:pStyle w:val="Brdtext"/>
              <w:spacing w:line="240" w:lineRule="auto"/>
              <w:rPr>
                <w:sz w:val="22"/>
                <w:szCs w:val="22"/>
                <w:lang w:val="en-US"/>
              </w:rPr>
            </w:pPr>
          </w:p>
        </w:tc>
        <w:tc>
          <w:tcPr>
            <w:tcW w:w="132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2F7DD4" w14:textId="77777777" w:rsidR="00DD5AA2" w:rsidRPr="000E0755" w:rsidRDefault="00DD5AA2" w:rsidP="00DD5AA2">
            <w:pPr>
              <w:pStyle w:val="Brdtext"/>
              <w:spacing w:line="240" w:lineRule="auto"/>
              <w:rPr>
                <w:sz w:val="22"/>
                <w:szCs w:val="22"/>
                <w:lang w:val="en-US"/>
              </w:rPr>
            </w:pPr>
          </w:p>
        </w:tc>
        <w:tc>
          <w:tcPr>
            <w:tcW w:w="12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FAEEAE" w14:textId="77777777" w:rsidR="00DD5AA2" w:rsidRPr="000E0755" w:rsidRDefault="00DD5AA2" w:rsidP="00DD5AA2">
            <w:pPr>
              <w:pStyle w:val="Brdtext"/>
              <w:spacing w:line="240" w:lineRule="auto"/>
              <w:rPr>
                <w:sz w:val="22"/>
                <w:szCs w:val="22"/>
                <w:lang w:val="en-US"/>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A359AF" w14:textId="77777777" w:rsidR="00DD5AA2" w:rsidRPr="000E0755" w:rsidRDefault="00DD5AA2" w:rsidP="00DD5AA2">
            <w:pPr>
              <w:pStyle w:val="Brdtext"/>
              <w:spacing w:line="240" w:lineRule="auto"/>
              <w:rPr>
                <w:sz w:val="22"/>
                <w:szCs w:val="22"/>
                <w:lang w:val="en-US"/>
              </w:rPr>
            </w:pPr>
            <w:r w:rsidRPr="000E0755">
              <w:rPr>
                <w:sz w:val="22"/>
                <w:szCs w:val="22"/>
                <w:lang w:val="en-US"/>
              </w:rPr>
              <w:t>(0.709)</w:t>
            </w:r>
          </w:p>
        </w:tc>
        <w:tc>
          <w:tcPr>
            <w:tcW w:w="1276"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B46B90" w14:textId="77777777" w:rsidR="00DD5AA2" w:rsidRPr="000E0755" w:rsidRDefault="00DD5AA2" w:rsidP="00DD5AA2">
            <w:pPr>
              <w:pStyle w:val="Brdtext"/>
              <w:spacing w:line="240" w:lineRule="auto"/>
              <w:rPr>
                <w:sz w:val="22"/>
                <w:szCs w:val="22"/>
                <w:lang w:val="en-US"/>
              </w:rPr>
            </w:pPr>
            <w:r w:rsidRPr="000E0755">
              <w:rPr>
                <w:sz w:val="22"/>
                <w:szCs w:val="22"/>
                <w:lang w:val="en-US"/>
              </w:rPr>
              <w:t>(0.709)</w:t>
            </w:r>
          </w:p>
        </w:tc>
      </w:tr>
      <w:tr w:rsidR="00DD5AA2" w:rsidRPr="00975EE9" w14:paraId="5228AA3D" w14:textId="77777777" w:rsidTr="000E0755">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342982" w14:textId="77777777" w:rsidR="00DD5AA2" w:rsidRPr="000E0755" w:rsidRDefault="00DD5AA2" w:rsidP="00DD5AA2">
            <w:pPr>
              <w:pStyle w:val="Brdtext"/>
              <w:spacing w:line="240" w:lineRule="auto"/>
              <w:rPr>
                <w:sz w:val="22"/>
                <w:szCs w:val="22"/>
                <w:lang w:val="en-US"/>
              </w:rPr>
            </w:pPr>
            <w:r w:rsidRPr="000E0755">
              <w:rPr>
                <w:sz w:val="22"/>
                <w:szCs w:val="22"/>
                <w:lang w:val="en-US"/>
              </w:rPr>
              <w:t>ParEduLong.G</w:t>
            </w:r>
          </w:p>
        </w:tc>
        <w:tc>
          <w:tcPr>
            <w:tcW w:w="132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293E42" w14:textId="77777777" w:rsidR="00DD5AA2" w:rsidRPr="000E0755" w:rsidRDefault="00DD5AA2" w:rsidP="00DD5AA2">
            <w:pPr>
              <w:pStyle w:val="Brdtext"/>
              <w:spacing w:line="240" w:lineRule="auto"/>
              <w:rPr>
                <w:sz w:val="22"/>
                <w:szCs w:val="22"/>
                <w:lang w:val="en-US"/>
              </w:rPr>
            </w:pPr>
          </w:p>
        </w:tc>
        <w:tc>
          <w:tcPr>
            <w:tcW w:w="12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46689C" w14:textId="77777777" w:rsidR="00DD5AA2" w:rsidRPr="000E0755" w:rsidRDefault="00DD5AA2" w:rsidP="00DD5AA2">
            <w:pPr>
              <w:pStyle w:val="Brdtext"/>
              <w:spacing w:line="240" w:lineRule="auto"/>
              <w:rPr>
                <w:sz w:val="22"/>
                <w:szCs w:val="22"/>
                <w:lang w:val="en-US"/>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7DB1A" w14:textId="77777777" w:rsidR="00DD5AA2" w:rsidRPr="000E0755" w:rsidRDefault="00DD5AA2" w:rsidP="00DD5AA2">
            <w:pPr>
              <w:pStyle w:val="Brdtext"/>
              <w:spacing w:line="240" w:lineRule="auto"/>
              <w:rPr>
                <w:sz w:val="22"/>
                <w:szCs w:val="22"/>
                <w:lang w:val="en-US"/>
              </w:rPr>
            </w:pPr>
            <w:r w:rsidRPr="000E0755">
              <w:rPr>
                <w:sz w:val="22"/>
                <w:szCs w:val="22"/>
                <w:lang w:val="en-US"/>
              </w:rPr>
              <w:t>11.086+</w:t>
            </w:r>
          </w:p>
        </w:tc>
        <w:tc>
          <w:tcPr>
            <w:tcW w:w="1276"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0D3149" w14:textId="77777777" w:rsidR="00DD5AA2" w:rsidRPr="000E0755" w:rsidRDefault="00DD5AA2" w:rsidP="00DD5AA2">
            <w:pPr>
              <w:pStyle w:val="Brdtext"/>
              <w:spacing w:line="240" w:lineRule="auto"/>
              <w:rPr>
                <w:sz w:val="22"/>
                <w:szCs w:val="22"/>
                <w:lang w:val="en-US"/>
              </w:rPr>
            </w:pPr>
            <w:r w:rsidRPr="000E0755">
              <w:rPr>
                <w:sz w:val="22"/>
                <w:szCs w:val="22"/>
                <w:lang w:val="en-US"/>
              </w:rPr>
              <w:t>41.603</w:t>
            </w:r>
          </w:p>
        </w:tc>
      </w:tr>
      <w:tr w:rsidR="00DD5AA2" w:rsidRPr="00975EE9" w14:paraId="4B4A075B" w14:textId="77777777" w:rsidTr="000E0755">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17D580" w14:textId="77777777" w:rsidR="00DD5AA2" w:rsidRPr="000E0755" w:rsidRDefault="00DD5AA2" w:rsidP="00DD5AA2">
            <w:pPr>
              <w:pStyle w:val="Brdtext"/>
              <w:spacing w:line="240" w:lineRule="auto"/>
              <w:rPr>
                <w:sz w:val="22"/>
                <w:szCs w:val="22"/>
                <w:lang w:val="en-US"/>
              </w:rPr>
            </w:pPr>
          </w:p>
        </w:tc>
        <w:tc>
          <w:tcPr>
            <w:tcW w:w="132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668C8F" w14:textId="77777777" w:rsidR="00DD5AA2" w:rsidRPr="000E0755" w:rsidRDefault="00DD5AA2" w:rsidP="00DD5AA2">
            <w:pPr>
              <w:pStyle w:val="Brdtext"/>
              <w:spacing w:line="240" w:lineRule="auto"/>
              <w:rPr>
                <w:sz w:val="22"/>
                <w:szCs w:val="22"/>
                <w:lang w:val="en-US"/>
              </w:rPr>
            </w:pPr>
          </w:p>
        </w:tc>
        <w:tc>
          <w:tcPr>
            <w:tcW w:w="12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2B0391" w14:textId="77777777" w:rsidR="00DD5AA2" w:rsidRPr="000E0755" w:rsidRDefault="00DD5AA2" w:rsidP="00DD5AA2">
            <w:pPr>
              <w:pStyle w:val="Brdtext"/>
              <w:spacing w:line="240" w:lineRule="auto"/>
              <w:rPr>
                <w:sz w:val="22"/>
                <w:szCs w:val="22"/>
                <w:lang w:val="en-US"/>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34C5AA" w14:textId="77777777" w:rsidR="00DD5AA2" w:rsidRPr="000E0755" w:rsidRDefault="00DD5AA2" w:rsidP="00DD5AA2">
            <w:pPr>
              <w:pStyle w:val="Brdtext"/>
              <w:spacing w:line="240" w:lineRule="auto"/>
              <w:rPr>
                <w:sz w:val="22"/>
                <w:szCs w:val="22"/>
                <w:lang w:val="en-US"/>
              </w:rPr>
            </w:pPr>
            <w:r w:rsidRPr="000E0755">
              <w:rPr>
                <w:sz w:val="22"/>
                <w:szCs w:val="22"/>
                <w:lang w:val="en-US"/>
              </w:rPr>
              <w:t>(5.767)</w:t>
            </w:r>
          </w:p>
        </w:tc>
        <w:tc>
          <w:tcPr>
            <w:tcW w:w="1276"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8FEB7E" w14:textId="77777777" w:rsidR="00DD5AA2" w:rsidRPr="000E0755" w:rsidRDefault="00DD5AA2" w:rsidP="00DD5AA2">
            <w:pPr>
              <w:pStyle w:val="Brdtext"/>
              <w:spacing w:line="240" w:lineRule="auto"/>
              <w:rPr>
                <w:sz w:val="22"/>
                <w:szCs w:val="22"/>
                <w:lang w:val="en-US"/>
              </w:rPr>
            </w:pPr>
            <w:r w:rsidRPr="000E0755">
              <w:rPr>
                <w:sz w:val="22"/>
                <w:szCs w:val="22"/>
                <w:lang w:val="en-US"/>
              </w:rPr>
              <w:t>(55.038)</w:t>
            </w:r>
          </w:p>
        </w:tc>
      </w:tr>
      <w:tr w:rsidR="00DD5AA2" w:rsidRPr="00975EE9" w14:paraId="1B6B49E2" w14:textId="77777777" w:rsidTr="000E0755">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090BF1" w14:textId="708FDD35" w:rsidR="00DD5AA2" w:rsidRPr="000E0755" w:rsidRDefault="00DD5AA2" w:rsidP="00DD5AA2">
            <w:pPr>
              <w:pStyle w:val="Brdtext"/>
              <w:spacing w:line="240" w:lineRule="auto"/>
              <w:rPr>
                <w:sz w:val="22"/>
                <w:szCs w:val="22"/>
                <w:lang w:val="en-US"/>
              </w:rPr>
            </w:pPr>
            <w:r w:rsidRPr="000E0755">
              <w:rPr>
                <w:sz w:val="22"/>
                <w:szCs w:val="22"/>
                <w:lang w:val="en-US"/>
              </w:rPr>
              <w:t>ParEduLong.G</w:t>
            </w:r>
            <w:r w:rsidRPr="00975EE9">
              <w:rPr>
                <w:sz w:val="22"/>
                <w:szCs w:val="22"/>
                <w:lang w:val="en-US"/>
              </w:rPr>
              <w:t xml:space="preserve"> </w:t>
            </w:r>
            <w:r w:rsidRPr="000E0755">
              <w:rPr>
                <w:sz w:val="22"/>
                <w:szCs w:val="22"/>
                <w:lang w:val="en-US"/>
              </w:rPr>
              <w:t>× CogAct</w:t>
            </w:r>
          </w:p>
        </w:tc>
        <w:tc>
          <w:tcPr>
            <w:tcW w:w="132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1C0D3E" w14:textId="77777777" w:rsidR="00DD5AA2" w:rsidRPr="000E0755" w:rsidRDefault="00DD5AA2" w:rsidP="00DD5AA2">
            <w:pPr>
              <w:pStyle w:val="Brdtext"/>
              <w:spacing w:line="240" w:lineRule="auto"/>
              <w:rPr>
                <w:sz w:val="22"/>
                <w:szCs w:val="22"/>
                <w:lang w:val="en-US"/>
              </w:rPr>
            </w:pPr>
          </w:p>
        </w:tc>
        <w:tc>
          <w:tcPr>
            <w:tcW w:w="12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34E48F" w14:textId="77777777" w:rsidR="00DD5AA2" w:rsidRPr="000E0755" w:rsidRDefault="00DD5AA2" w:rsidP="00DD5AA2">
            <w:pPr>
              <w:pStyle w:val="Brdtext"/>
              <w:spacing w:line="240" w:lineRule="auto"/>
              <w:rPr>
                <w:sz w:val="22"/>
                <w:szCs w:val="22"/>
                <w:lang w:val="en-US"/>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30FE0B" w14:textId="77777777" w:rsidR="00DD5AA2" w:rsidRPr="000E0755" w:rsidRDefault="00DD5AA2" w:rsidP="00DD5AA2">
            <w:pPr>
              <w:pStyle w:val="Brdtext"/>
              <w:spacing w:line="240" w:lineRule="auto"/>
              <w:rPr>
                <w:sz w:val="22"/>
                <w:szCs w:val="22"/>
                <w:lang w:val="en-US"/>
              </w:rPr>
            </w:pPr>
          </w:p>
        </w:tc>
        <w:tc>
          <w:tcPr>
            <w:tcW w:w="1276"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8EB966" w14:textId="77777777" w:rsidR="00DD5AA2" w:rsidRPr="000E0755" w:rsidRDefault="00DD5AA2" w:rsidP="00DD5AA2">
            <w:pPr>
              <w:pStyle w:val="Brdtext"/>
              <w:spacing w:line="240" w:lineRule="auto"/>
              <w:rPr>
                <w:sz w:val="22"/>
                <w:szCs w:val="22"/>
                <w:lang w:val="en-US"/>
              </w:rPr>
            </w:pPr>
            <w:r w:rsidRPr="000E0755">
              <w:rPr>
                <w:sz w:val="22"/>
                <w:szCs w:val="22"/>
                <w:lang w:val="en-US"/>
              </w:rPr>
              <w:t>-10.992</w:t>
            </w:r>
          </w:p>
        </w:tc>
      </w:tr>
      <w:tr w:rsidR="00DD5AA2" w:rsidRPr="00975EE9" w14:paraId="4E895C30" w14:textId="77777777" w:rsidTr="000E0755">
        <w:trPr>
          <w:jc w:val="center"/>
        </w:trPr>
        <w:tc>
          <w:tcPr>
            <w:tcW w:w="2694"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FE360B" w14:textId="77777777" w:rsidR="00DD5AA2" w:rsidRPr="000E0755" w:rsidRDefault="00DD5AA2" w:rsidP="00DD5AA2">
            <w:pPr>
              <w:pStyle w:val="Brdtext"/>
              <w:spacing w:line="240" w:lineRule="auto"/>
              <w:rPr>
                <w:sz w:val="22"/>
                <w:szCs w:val="22"/>
                <w:lang w:val="en-US"/>
              </w:rPr>
            </w:pPr>
          </w:p>
        </w:tc>
        <w:tc>
          <w:tcPr>
            <w:tcW w:w="132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6C4720" w14:textId="77777777" w:rsidR="00DD5AA2" w:rsidRPr="000E0755" w:rsidRDefault="00DD5AA2" w:rsidP="00DD5AA2">
            <w:pPr>
              <w:pStyle w:val="Brdtext"/>
              <w:spacing w:line="240" w:lineRule="auto"/>
              <w:rPr>
                <w:sz w:val="22"/>
                <w:szCs w:val="22"/>
                <w:lang w:val="en-US"/>
              </w:rPr>
            </w:pPr>
          </w:p>
        </w:tc>
        <w:tc>
          <w:tcPr>
            <w:tcW w:w="120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14529" w14:textId="77777777" w:rsidR="00DD5AA2" w:rsidRPr="000E0755" w:rsidRDefault="00DD5AA2" w:rsidP="00DD5AA2">
            <w:pPr>
              <w:pStyle w:val="Brdtext"/>
              <w:spacing w:line="240" w:lineRule="auto"/>
              <w:rPr>
                <w:sz w:val="22"/>
                <w:szCs w:val="22"/>
                <w:lang w:val="en-US"/>
              </w:rPr>
            </w:pPr>
          </w:p>
        </w:tc>
        <w:tc>
          <w:tcPr>
            <w:tcW w:w="1417"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F6E1A7" w14:textId="77777777" w:rsidR="00DD5AA2" w:rsidRPr="000E0755" w:rsidRDefault="00DD5AA2" w:rsidP="00DD5AA2">
            <w:pPr>
              <w:pStyle w:val="Brdtext"/>
              <w:spacing w:line="240" w:lineRule="auto"/>
              <w:rPr>
                <w:sz w:val="22"/>
                <w:szCs w:val="22"/>
                <w:lang w:val="en-US"/>
              </w:rPr>
            </w:pPr>
          </w:p>
        </w:tc>
        <w:tc>
          <w:tcPr>
            <w:tcW w:w="1276" w:type="dxa"/>
            <w:gridSpan w:val="2"/>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3BA082" w14:textId="77777777" w:rsidR="00DD5AA2" w:rsidRPr="000E0755" w:rsidRDefault="00DD5AA2" w:rsidP="00DD5AA2">
            <w:pPr>
              <w:pStyle w:val="Brdtext"/>
              <w:spacing w:line="240" w:lineRule="auto"/>
              <w:rPr>
                <w:sz w:val="22"/>
                <w:szCs w:val="22"/>
                <w:lang w:val="en-US"/>
              </w:rPr>
            </w:pPr>
            <w:r w:rsidRPr="000E0755">
              <w:rPr>
                <w:sz w:val="22"/>
                <w:szCs w:val="22"/>
                <w:lang w:val="en-US"/>
              </w:rPr>
              <w:t>(19.711)</w:t>
            </w:r>
          </w:p>
        </w:tc>
      </w:tr>
      <w:tr w:rsidR="00DD5AA2" w:rsidRPr="000E0755" w14:paraId="248CB086" w14:textId="77777777" w:rsidTr="000E0755">
        <w:trPr>
          <w:gridAfter w:val="1"/>
          <w:wAfter w:w="7" w:type="dxa"/>
          <w:jc w:val="center"/>
        </w:trPr>
        <w:tc>
          <w:tcPr>
            <w:tcW w:w="7909" w:type="dxa"/>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6A289CA" w14:textId="7220D43B" w:rsidR="00DD5AA2" w:rsidRPr="000E0755" w:rsidRDefault="00DD5AA2" w:rsidP="00DD5AA2">
            <w:pPr>
              <w:pStyle w:val="Brdtext"/>
              <w:spacing w:line="240" w:lineRule="auto"/>
              <w:rPr>
                <w:sz w:val="22"/>
                <w:szCs w:val="22"/>
                <w:lang w:val="en-US"/>
              </w:rPr>
            </w:pPr>
            <w:r w:rsidRPr="000E0755">
              <w:rPr>
                <w:sz w:val="22"/>
                <w:szCs w:val="22"/>
                <w:lang w:val="en-US"/>
              </w:rPr>
              <w:t>+ p &lt; 0.1, * p &lt; 0.05, ** p &lt; 0.01, *** p &lt; 0.001</w:t>
            </w:r>
            <w:r w:rsidRPr="00975EE9">
              <w:rPr>
                <w:sz w:val="22"/>
                <w:szCs w:val="22"/>
                <w:lang w:val="en-US"/>
              </w:rPr>
              <w:t xml:space="preserve">. </w:t>
            </w:r>
            <w:r>
              <w:rPr>
                <w:sz w:val="22"/>
                <w:szCs w:val="22"/>
                <w:lang w:val="en-US"/>
              </w:rPr>
              <w:t>Math t</w:t>
            </w:r>
            <w:r w:rsidRPr="00975EE9">
              <w:rPr>
                <w:sz w:val="22"/>
                <w:szCs w:val="22"/>
                <w:lang w:val="en-US"/>
              </w:rPr>
              <w:t>rack is included as covariate</w:t>
            </w:r>
            <w:r>
              <w:rPr>
                <w:sz w:val="22"/>
                <w:szCs w:val="22"/>
                <w:lang w:val="en-US"/>
              </w:rPr>
              <w:t xml:space="preserve"> in all models</w:t>
            </w:r>
            <w:r w:rsidRPr="00975EE9">
              <w:rPr>
                <w:sz w:val="22"/>
                <w:szCs w:val="22"/>
                <w:lang w:val="en-US"/>
              </w:rPr>
              <w:t>.</w:t>
            </w:r>
          </w:p>
        </w:tc>
      </w:tr>
    </w:tbl>
    <w:p w14:paraId="3530AFBA" w14:textId="6A93D1A7" w:rsidR="008430C2" w:rsidRDefault="008430C2" w:rsidP="008430C2">
      <w:pPr>
        <w:pStyle w:val="Headtable"/>
      </w:pPr>
      <w:r>
        <w:t xml:space="preserve">Table 1. </w:t>
      </w:r>
      <w:r w:rsidR="00147A96">
        <w:t>Multilevel r</w:t>
      </w:r>
      <w:r w:rsidR="00226EF9">
        <w:t xml:space="preserve">egression analysis of </w:t>
      </w:r>
      <w:r w:rsidR="00147A96">
        <w:t xml:space="preserve">mathematics achievement on </w:t>
      </w:r>
      <w:r w:rsidR="00226EF9">
        <w:t xml:space="preserve">cognitive activation and </w:t>
      </w:r>
      <w:r w:rsidR="00276D40">
        <w:t>parents’</w:t>
      </w:r>
      <w:r w:rsidR="00147A96">
        <w:t xml:space="preserve"> educational level</w:t>
      </w:r>
      <w:r w:rsidR="00226EF9">
        <w:t>.</w:t>
      </w:r>
    </w:p>
    <w:p w14:paraId="61B9DD47" w14:textId="65CE3AD1" w:rsidR="00157962" w:rsidRDefault="00A4392D" w:rsidP="00157962">
      <w:pPr>
        <w:pStyle w:val="Brdtext"/>
      </w:pPr>
      <w:r>
        <w:t xml:space="preserve">Further results will be presented </w:t>
      </w:r>
      <w:r w:rsidR="00D959F7">
        <w:t xml:space="preserve">at the conference, </w:t>
      </w:r>
      <w:r>
        <w:t>including other factors related to students’ disposition and background which will be discussed in light of current research pertaining mathematical knowledge development.</w:t>
      </w:r>
    </w:p>
    <w:p w14:paraId="6F203C91" w14:textId="4E8CCC11" w:rsidR="00480434" w:rsidRPr="009C103B" w:rsidRDefault="00CE6A6A" w:rsidP="00480434">
      <w:pPr>
        <w:pStyle w:val="Rubrik2"/>
      </w:pPr>
      <w:r>
        <w:t>References</w:t>
      </w:r>
      <w:r w:rsidR="009C103B">
        <w:t xml:space="preserve"> </w:t>
      </w:r>
    </w:p>
    <w:p w14:paraId="4BEAB8FC" w14:textId="77777777" w:rsidR="00A443BA" w:rsidRPr="00A443BA" w:rsidRDefault="00182C3E" w:rsidP="009E785A">
      <w:pPr>
        <w:pStyle w:val="References"/>
      </w:pPr>
      <w:r>
        <w:fldChar w:fldCharType="begin"/>
      </w:r>
      <w:r>
        <w:instrText xml:space="preserve"> ADDIN ZOTERO_BIBL {"uncited":[],"omitted":[],"custom":[]} CSL_BIBLIOGRAPHY </w:instrText>
      </w:r>
      <w:r>
        <w:fldChar w:fldCharType="separate"/>
      </w:r>
      <w:r w:rsidR="00A443BA" w:rsidRPr="00A443BA">
        <w:t xml:space="preserve">Atlay, C., Tieben, N., Hillmert, S., &amp; Fauth, B. (2019). Instructional quality and achievement inequality: How effective is teaching in closing the social achievement gap? </w:t>
      </w:r>
      <w:r w:rsidR="00A443BA" w:rsidRPr="00A443BA">
        <w:rPr>
          <w:i/>
          <w:iCs/>
        </w:rPr>
        <w:t>Learning and Instruction</w:t>
      </w:r>
      <w:r w:rsidR="00A443BA" w:rsidRPr="00A443BA">
        <w:t xml:space="preserve">, </w:t>
      </w:r>
      <w:r w:rsidR="00A443BA" w:rsidRPr="00A443BA">
        <w:rPr>
          <w:i/>
          <w:iCs/>
        </w:rPr>
        <w:t>63</w:t>
      </w:r>
      <w:r w:rsidR="00A443BA" w:rsidRPr="00A443BA">
        <w:t>, 101211. https://doi.org/10.1016/j.learninstruc.2019.05.008</w:t>
      </w:r>
    </w:p>
    <w:p w14:paraId="06C78A98" w14:textId="77777777" w:rsidR="00A443BA" w:rsidRPr="00A443BA" w:rsidRDefault="00A443BA" w:rsidP="009E785A">
      <w:pPr>
        <w:pStyle w:val="References"/>
      </w:pPr>
      <w:r w:rsidRPr="00A443BA">
        <w:t xml:space="preserve">Praetorius, A.-K., Klieme, E., Herbert, B., &amp; Pinger, P. (2018). Generic dimensions of teaching quality: The German framework of Three Basic Dimensions. </w:t>
      </w:r>
      <w:r w:rsidRPr="00A443BA">
        <w:rPr>
          <w:i/>
          <w:iCs/>
        </w:rPr>
        <w:t>ZDM</w:t>
      </w:r>
      <w:r w:rsidRPr="00A443BA">
        <w:t xml:space="preserve">, </w:t>
      </w:r>
      <w:r w:rsidRPr="00A443BA">
        <w:rPr>
          <w:i/>
          <w:iCs/>
        </w:rPr>
        <w:t>50</w:t>
      </w:r>
      <w:r w:rsidRPr="00A443BA">
        <w:t>(3), 407–426. https://doi.org/10.1007/s11858-018-0918-4</w:t>
      </w:r>
    </w:p>
    <w:p w14:paraId="1078BEE7" w14:textId="55CDDDA9" w:rsidR="00CE6A6A" w:rsidRPr="009C103B" w:rsidRDefault="00182C3E" w:rsidP="009E785A">
      <w:pPr>
        <w:pStyle w:val="References"/>
      </w:pPr>
      <w:r>
        <w:fldChar w:fldCharType="end"/>
      </w:r>
    </w:p>
    <w:sectPr w:rsidR="00CE6A6A" w:rsidRPr="009C103B" w:rsidSect="000761F4">
      <w:headerReference w:type="default" r:id="rId7"/>
      <w:footerReference w:type="even" r:id="rId8"/>
      <w:footerReference w:type="default" r:id="rId9"/>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8F6ED" w14:textId="77777777" w:rsidR="004207B7" w:rsidRDefault="004207B7">
      <w:pPr>
        <w:spacing w:line="240" w:lineRule="auto"/>
      </w:pPr>
      <w:r>
        <w:separator/>
      </w:r>
    </w:p>
  </w:endnote>
  <w:endnote w:type="continuationSeparator" w:id="0">
    <w:p w14:paraId="7C89E56F" w14:textId="77777777" w:rsidR="004207B7" w:rsidRDefault="00420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251D" w14:textId="15A0A733"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4207B7">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F0E8" w14:textId="77777777" w:rsidR="004207B7" w:rsidRDefault="004207B7">
      <w:pPr>
        <w:spacing w:line="240" w:lineRule="auto"/>
      </w:pPr>
      <w:r>
        <w:separator/>
      </w:r>
    </w:p>
  </w:footnote>
  <w:footnote w:type="continuationSeparator" w:id="0">
    <w:p w14:paraId="72A3CC4D" w14:textId="77777777" w:rsidR="004207B7" w:rsidRDefault="004207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090189"/>
    <w:multiLevelType w:val="hybridMultilevel"/>
    <w:tmpl w:val="3E4EB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57"/>
    <w:rsid w:val="0000181B"/>
    <w:rsid w:val="00003230"/>
    <w:rsid w:val="00013145"/>
    <w:rsid w:val="00023E47"/>
    <w:rsid w:val="00032A21"/>
    <w:rsid w:val="00053461"/>
    <w:rsid w:val="00064A57"/>
    <w:rsid w:val="000761F4"/>
    <w:rsid w:val="00084739"/>
    <w:rsid w:val="000861B1"/>
    <w:rsid w:val="000873E5"/>
    <w:rsid w:val="0009140F"/>
    <w:rsid w:val="000A258B"/>
    <w:rsid w:val="000D2258"/>
    <w:rsid w:val="000D227E"/>
    <w:rsid w:val="000E0755"/>
    <w:rsid w:val="000E7E06"/>
    <w:rsid w:val="000F192D"/>
    <w:rsid w:val="000F7629"/>
    <w:rsid w:val="000F7BC9"/>
    <w:rsid w:val="00117643"/>
    <w:rsid w:val="00125855"/>
    <w:rsid w:val="00133F5F"/>
    <w:rsid w:val="00147A96"/>
    <w:rsid w:val="001508C4"/>
    <w:rsid w:val="00157962"/>
    <w:rsid w:val="001634AD"/>
    <w:rsid w:val="00171D78"/>
    <w:rsid w:val="00182C3E"/>
    <w:rsid w:val="001A11C1"/>
    <w:rsid w:val="001C473B"/>
    <w:rsid w:val="001C734E"/>
    <w:rsid w:val="001C7808"/>
    <w:rsid w:val="001D0F95"/>
    <w:rsid w:val="001D1EBF"/>
    <w:rsid w:val="001D47E7"/>
    <w:rsid w:val="001E1FE7"/>
    <w:rsid w:val="001E3B21"/>
    <w:rsid w:val="001F65A8"/>
    <w:rsid w:val="00226EF9"/>
    <w:rsid w:val="00246C0A"/>
    <w:rsid w:val="00255BF3"/>
    <w:rsid w:val="00276D40"/>
    <w:rsid w:val="002824CB"/>
    <w:rsid w:val="002A38E1"/>
    <w:rsid w:val="002C4013"/>
    <w:rsid w:val="002C65E6"/>
    <w:rsid w:val="002F1F6A"/>
    <w:rsid w:val="002F20B0"/>
    <w:rsid w:val="00314DB8"/>
    <w:rsid w:val="0031723F"/>
    <w:rsid w:val="00384EA4"/>
    <w:rsid w:val="003A3B4C"/>
    <w:rsid w:val="003A662D"/>
    <w:rsid w:val="003B2647"/>
    <w:rsid w:val="003C2F3B"/>
    <w:rsid w:val="003C548A"/>
    <w:rsid w:val="003F7DA3"/>
    <w:rsid w:val="004207B7"/>
    <w:rsid w:val="0045593D"/>
    <w:rsid w:val="00461D61"/>
    <w:rsid w:val="00480434"/>
    <w:rsid w:val="00496E9B"/>
    <w:rsid w:val="004C048E"/>
    <w:rsid w:val="004C3CFD"/>
    <w:rsid w:val="004D4CF0"/>
    <w:rsid w:val="004E692F"/>
    <w:rsid w:val="004E6BFD"/>
    <w:rsid w:val="004F1AF0"/>
    <w:rsid w:val="00515787"/>
    <w:rsid w:val="0051742F"/>
    <w:rsid w:val="00521FC0"/>
    <w:rsid w:val="005366D1"/>
    <w:rsid w:val="00541D88"/>
    <w:rsid w:val="00547EC3"/>
    <w:rsid w:val="00554A91"/>
    <w:rsid w:val="00562B90"/>
    <w:rsid w:val="005710F8"/>
    <w:rsid w:val="00573179"/>
    <w:rsid w:val="00573624"/>
    <w:rsid w:val="00583038"/>
    <w:rsid w:val="005A363B"/>
    <w:rsid w:val="005C6B60"/>
    <w:rsid w:val="005C73D8"/>
    <w:rsid w:val="005D3628"/>
    <w:rsid w:val="005D68D5"/>
    <w:rsid w:val="005E18B2"/>
    <w:rsid w:val="005E3911"/>
    <w:rsid w:val="005E43A3"/>
    <w:rsid w:val="006005FA"/>
    <w:rsid w:val="00600643"/>
    <w:rsid w:val="006158A8"/>
    <w:rsid w:val="00626CB4"/>
    <w:rsid w:val="00633A40"/>
    <w:rsid w:val="00646917"/>
    <w:rsid w:val="0065714E"/>
    <w:rsid w:val="0066141A"/>
    <w:rsid w:val="00672077"/>
    <w:rsid w:val="0068115B"/>
    <w:rsid w:val="00682F46"/>
    <w:rsid w:val="006844FC"/>
    <w:rsid w:val="0069046D"/>
    <w:rsid w:val="006E5044"/>
    <w:rsid w:val="0073281A"/>
    <w:rsid w:val="00737C28"/>
    <w:rsid w:val="00746A67"/>
    <w:rsid w:val="0075497C"/>
    <w:rsid w:val="007677DE"/>
    <w:rsid w:val="0077701F"/>
    <w:rsid w:val="00785DCB"/>
    <w:rsid w:val="00791A5D"/>
    <w:rsid w:val="00791E68"/>
    <w:rsid w:val="007A66C9"/>
    <w:rsid w:val="007B1AF5"/>
    <w:rsid w:val="007B3EEC"/>
    <w:rsid w:val="007C5537"/>
    <w:rsid w:val="007E5DC1"/>
    <w:rsid w:val="0080309A"/>
    <w:rsid w:val="0080616A"/>
    <w:rsid w:val="00842F58"/>
    <w:rsid w:val="008430C2"/>
    <w:rsid w:val="00845A6A"/>
    <w:rsid w:val="00846B9B"/>
    <w:rsid w:val="00864006"/>
    <w:rsid w:val="0086792A"/>
    <w:rsid w:val="008934D3"/>
    <w:rsid w:val="008C4C60"/>
    <w:rsid w:val="008D3FF4"/>
    <w:rsid w:val="00912BCA"/>
    <w:rsid w:val="0091579A"/>
    <w:rsid w:val="00921CA9"/>
    <w:rsid w:val="00933A03"/>
    <w:rsid w:val="009476F5"/>
    <w:rsid w:val="00964DD4"/>
    <w:rsid w:val="00975EE9"/>
    <w:rsid w:val="00987218"/>
    <w:rsid w:val="00992B87"/>
    <w:rsid w:val="009B5F84"/>
    <w:rsid w:val="009C103B"/>
    <w:rsid w:val="009E785A"/>
    <w:rsid w:val="009F4CEE"/>
    <w:rsid w:val="00A01B38"/>
    <w:rsid w:val="00A143F7"/>
    <w:rsid w:val="00A25227"/>
    <w:rsid w:val="00A2654B"/>
    <w:rsid w:val="00A37769"/>
    <w:rsid w:val="00A4392D"/>
    <w:rsid w:val="00A443BA"/>
    <w:rsid w:val="00A67385"/>
    <w:rsid w:val="00A76A22"/>
    <w:rsid w:val="00AE56D5"/>
    <w:rsid w:val="00AE5C41"/>
    <w:rsid w:val="00B051CE"/>
    <w:rsid w:val="00B13C57"/>
    <w:rsid w:val="00B14DE4"/>
    <w:rsid w:val="00B24441"/>
    <w:rsid w:val="00B50018"/>
    <w:rsid w:val="00B53801"/>
    <w:rsid w:val="00B8654E"/>
    <w:rsid w:val="00B941C9"/>
    <w:rsid w:val="00BA101D"/>
    <w:rsid w:val="00BC0E1E"/>
    <w:rsid w:val="00BD3137"/>
    <w:rsid w:val="00BE1BE9"/>
    <w:rsid w:val="00C15CC6"/>
    <w:rsid w:val="00C32D6E"/>
    <w:rsid w:val="00C56046"/>
    <w:rsid w:val="00C60FBF"/>
    <w:rsid w:val="00C7037E"/>
    <w:rsid w:val="00CB01D1"/>
    <w:rsid w:val="00CE6A6A"/>
    <w:rsid w:val="00CF63A3"/>
    <w:rsid w:val="00D00066"/>
    <w:rsid w:val="00D156BB"/>
    <w:rsid w:val="00D16F47"/>
    <w:rsid w:val="00D402F0"/>
    <w:rsid w:val="00D53CDD"/>
    <w:rsid w:val="00D73D26"/>
    <w:rsid w:val="00D827A1"/>
    <w:rsid w:val="00D959F7"/>
    <w:rsid w:val="00D967BF"/>
    <w:rsid w:val="00DA79AB"/>
    <w:rsid w:val="00DB337A"/>
    <w:rsid w:val="00DC375F"/>
    <w:rsid w:val="00DD5AA2"/>
    <w:rsid w:val="00DE0405"/>
    <w:rsid w:val="00E03916"/>
    <w:rsid w:val="00E16DD8"/>
    <w:rsid w:val="00E3536A"/>
    <w:rsid w:val="00E52B3A"/>
    <w:rsid w:val="00E5381A"/>
    <w:rsid w:val="00E66363"/>
    <w:rsid w:val="00E85F05"/>
    <w:rsid w:val="00E90B43"/>
    <w:rsid w:val="00ED2199"/>
    <w:rsid w:val="00ED418E"/>
    <w:rsid w:val="00EF5934"/>
    <w:rsid w:val="00F016CB"/>
    <w:rsid w:val="00F238DC"/>
    <w:rsid w:val="00F26691"/>
    <w:rsid w:val="00F32C0E"/>
    <w:rsid w:val="00F40EE6"/>
    <w:rsid w:val="00F42DFA"/>
    <w:rsid w:val="00F46E0B"/>
    <w:rsid w:val="00F52394"/>
    <w:rsid w:val="00F5400D"/>
    <w:rsid w:val="00F620BF"/>
    <w:rsid w:val="00F732B7"/>
    <w:rsid w:val="00F87CC4"/>
    <w:rsid w:val="00F94AEC"/>
    <w:rsid w:val="00FB0BF5"/>
    <w:rsid w:val="00FB4865"/>
    <w:rsid w:val="00FC3D17"/>
    <w:rsid w:val="00FD2CF2"/>
    <w:rsid w:val="00FF1C9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link w:val="ReferencesChar"/>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paragraph" w:customStyle="1" w:styleId="Litteraturfrteckning1">
    <w:name w:val="Litteraturförteckning1"/>
    <w:basedOn w:val="Normal"/>
    <w:link w:val="BibliographyChar"/>
    <w:rsid w:val="00E5381A"/>
    <w:pPr>
      <w:spacing w:line="480" w:lineRule="atLeast"/>
      <w:ind w:left="720" w:hanging="720"/>
    </w:pPr>
  </w:style>
  <w:style w:type="character" w:customStyle="1" w:styleId="ReferencesChar">
    <w:name w:val="References Char"/>
    <w:basedOn w:val="BrdtextChar"/>
    <w:link w:val="References"/>
    <w:rsid w:val="00E5381A"/>
    <w:rPr>
      <w:sz w:val="24"/>
      <w:szCs w:val="28"/>
      <w:lang w:val="en-GB" w:eastAsia="en-US"/>
    </w:rPr>
  </w:style>
  <w:style w:type="character" w:customStyle="1" w:styleId="BibliographyChar">
    <w:name w:val="Bibliography Char"/>
    <w:basedOn w:val="ReferencesChar"/>
    <w:link w:val="Litteraturfrteckning1"/>
    <w:rsid w:val="00E5381A"/>
    <w:rPr>
      <w:sz w:val="26"/>
      <w:szCs w:val="28"/>
      <w:lang w:val="en-GB" w:eastAsia="en-US"/>
    </w:rPr>
  </w:style>
  <w:style w:type="paragraph" w:styleId="Liststycke">
    <w:name w:val="List Paragraph"/>
    <w:basedOn w:val="Normal"/>
    <w:rsid w:val="00E5381A"/>
    <w:pPr>
      <w:ind w:left="720"/>
      <w:contextualSpacing/>
    </w:pPr>
  </w:style>
  <w:style w:type="character" w:styleId="Platshllartext">
    <w:name w:val="Placeholder Text"/>
    <w:basedOn w:val="Standardstycketeckensnitt"/>
    <w:semiHidden/>
    <w:rsid w:val="006158A8"/>
    <w:rPr>
      <w:color w:val="808080"/>
    </w:rPr>
  </w:style>
  <w:style w:type="paragraph" w:styleId="Revision">
    <w:name w:val="Revision"/>
    <w:hidden/>
    <w:semiHidden/>
    <w:rsid w:val="005D3628"/>
    <w:rPr>
      <w:sz w:val="2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1930</Words>
  <Characters>10230</Characters>
  <Application>Microsoft Office Word</Application>
  <DocSecurity>0</DocSecurity>
  <Lines>85</Lines>
  <Paragraphs>24</Paragraphs>
  <ScaleCrop>false</ScaleCrop>
  <HeadingPairs>
    <vt:vector size="6" baseType="variant">
      <vt:variant>
        <vt:lpstr>Rubrik</vt:lpstr>
      </vt:variant>
      <vt:variant>
        <vt:i4>1</vt:i4>
      </vt:variant>
      <vt:variant>
        <vt:lpstr>Titel</vt:lpstr>
      </vt:variant>
      <vt:variant>
        <vt:i4>1</vt:i4>
      </vt:variant>
      <vt:variant>
        <vt:lpstr>Headings</vt:lpstr>
      </vt:variant>
      <vt:variant>
        <vt:i4>9</vt:i4>
      </vt:variant>
    </vt:vector>
  </HeadingPairs>
  <TitlesOfParts>
    <vt:vector size="11" baseType="lpstr">
      <vt:lpstr>MADIF8 PROCEEDINGS STYLE TEMPLATE</vt: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12136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2024-01-22T13:22:00Z</dcterms:created>
  <dcterms:modified xsi:type="dcterms:W3CDTF">2024-01-22T13:22:00Z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id="pXSqg55C"/&gt;&lt;style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