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9E2A" w14:textId="77777777" w:rsidR="00084739" w:rsidRPr="00084739" w:rsidRDefault="00084739" w:rsidP="00084739">
      <w:pPr>
        <w:pStyle w:val="Brdtext"/>
      </w:pPr>
    </w:p>
    <w:p w14:paraId="550830CA" w14:textId="759F28CB" w:rsidR="00DF5CFC" w:rsidRDefault="00DF5CFC" w:rsidP="00CE6A6A">
      <w:pPr>
        <w:pStyle w:val="Rubrik8"/>
        <w:rPr>
          <w:rStyle w:val="rynqvb"/>
          <w:b w:val="0"/>
          <w:bCs w:val="0"/>
          <w:iCs w:val="0"/>
          <w:sz w:val="44"/>
          <w:szCs w:val="32"/>
          <w:lang w:val="en"/>
        </w:rPr>
      </w:pPr>
      <w:r w:rsidRPr="00DF5CFC">
        <w:rPr>
          <w:rStyle w:val="rynqvb"/>
          <w:b w:val="0"/>
          <w:bCs w:val="0"/>
          <w:iCs w:val="0"/>
          <w:sz w:val="44"/>
          <w:szCs w:val="32"/>
          <w:lang w:val="en"/>
        </w:rPr>
        <w:t>Does students' knowledge of mode correspond to what textbook tasks a</w:t>
      </w:r>
      <w:r>
        <w:rPr>
          <w:rStyle w:val="rynqvb"/>
          <w:b w:val="0"/>
          <w:bCs w:val="0"/>
          <w:iCs w:val="0"/>
          <w:sz w:val="44"/>
          <w:szCs w:val="32"/>
          <w:lang w:val="en"/>
        </w:rPr>
        <w:t>fford</w:t>
      </w:r>
      <w:r w:rsidRPr="00DF5CFC">
        <w:rPr>
          <w:rStyle w:val="rynqvb"/>
          <w:b w:val="0"/>
          <w:bCs w:val="0"/>
          <w:iCs w:val="0"/>
          <w:sz w:val="44"/>
          <w:szCs w:val="32"/>
          <w:lang w:val="en"/>
        </w:rPr>
        <w:t>?</w:t>
      </w:r>
    </w:p>
    <w:p w14:paraId="080E0699" w14:textId="6DFB1958" w:rsidR="00CE6A6A" w:rsidRPr="0074553F" w:rsidRDefault="005A24BE" w:rsidP="00CE6A6A">
      <w:pPr>
        <w:pStyle w:val="Rubrik8"/>
        <w:rPr>
          <w:lang w:val="sv-SE"/>
        </w:rPr>
      </w:pPr>
      <w:r w:rsidRPr="0074553F">
        <w:rPr>
          <w:lang w:val="sv-SE"/>
        </w:rPr>
        <w:t>Karin Landtblom</w:t>
      </w:r>
    </w:p>
    <w:p w14:paraId="65C507C0" w14:textId="0AB83416" w:rsidR="00ED2199" w:rsidRPr="00302B84" w:rsidRDefault="005A24BE" w:rsidP="00302B84">
      <w:pPr>
        <w:pStyle w:val="Rubrik9"/>
        <w:rPr>
          <w:lang w:val="sv-SE"/>
        </w:rPr>
      </w:pPr>
      <w:r w:rsidRPr="005A24BE">
        <w:rPr>
          <w:lang w:val="sv-SE"/>
        </w:rPr>
        <w:t>Institutionen för Ämnesdidaktik, Stockholms universitet</w:t>
      </w:r>
    </w:p>
    <w:p w14:paraId="506980BF" w14:textId="1015B0A9" w:rsidR="00E46C65" w:rsidRDefault="00E46C65" w:rsidP="00DF1776">
      <w:pPr>
        <w:pStyle w:val="Abstract"/>
      </w:pPr>
      <w:r w:rsidRPr="00E46C65">
        <w:t xml:space="preserve">This presentation discusses the concept mode and includes findings from two studies. One study involved 130 students between the ages of 12 and 13 (school year 6). The students completed an online questionnaire in which they explained the meaning of the term mode and whether or not they thought mode was useful. According to the findings, pupils have a poor conceptual understanding of mode with little linkages to usability. The textbook analysis study involved seven Swedish textbook series. </w:t>
      </w:r>
      <w:r>
        <w:t xml:space="preserve">The tasks about mode were analysed based on </w:t>
      </w:r>
      <w:r w:rsidRPr="00664ED4">
        <w:t>input and output objects, and transformations. These categories allow for a</w:t>
      </w:r>
      <w:r>
        <w:t>n</w:t>
      </w:r>
      <w:r w:rsidRPr="00664ED4">
        <w:t xml:space="preserve"> analysis of the opportunities </w:t>
      </w:r>
      <w:r>
        <w:t>affor</w:t>
      </w:r>
      <w:r w:rsidRPr="00664ED4">
        <w:t>ded</w:t>
      </w:r>
      <w:r>
        <w:t xml:space="preserve"> to students to learn about the</w:t>
      </w:r>
      <w:r w:rsidRPr="00664ED4">
        <w:t xml:space="preserve"> m</w:t>
      </w:r>
      <w:r>
        <w:t>ode</w:t>
      </w:r>
      <w:r w:rsidRPr="00664ED4">
        <w:t xml:space="preserve">. </w:t>
      </w:r>
      <w:r>
        <w:t>F</w:t>
      </w:r>
      <w:r w:rsidRPr="00664ED4">
        <w:t xml:space="preserve">indings suggest that the textbooks do not </w:t>
      </w:r>
      <w:r>
        <w:t>afford</w:t>
      </w:r>
      <w:r w:rsidRPr="00664ED4">
        <w:t xml:space="preserve"> enough </w:t>
      </w:r>
      <w:r>
        <w:t xml:space="preserve">possibilities to develop a </w:t>
      </w:r>
      <w:r w:rsidRPr="00664ED4">
        <w:t xml:space="preserve">deep understanding of </w:t>
      </w:r>
      <w:r>
        <w:t>the mode.</w:t>
      </w:r>
    </w:p>
    <w:p w14:paraId="6074C7E7" w14:textId="4328A832" w:rsidR="00CE6A6A" w:rsidRPr="00455B78" w:rsidRDefault="005808DB" w:rsidP="00CE6A6A">
      <w:pPr>
        <w:pStyle w:val="Rubrik2"/>
      </w:pPr>
      <w:r>
        <w:t>Introduction</w:t>
      </w:r>
    </w:p>
    <w:p w14:paraId="2E0D8AC5" w14:textId="5E43373C" w:rsidR="00E46C65" w:rsidRPr="00E46C65" w:rsidRDefault="00536D1B" w:rsidP="00E46C65">
      <w:pPr>
        <w:pStyle w:val="Brdtext"/>
        <w:rPr>
          <w:szCs w:val="22"/>
        </w:rPr>
      </w:pPr>
      <w:r w:rsidRPr="007142EC">
        <w:rPr>
          <w:szCs w:val="22"/>
        </w:rPr>
        <w:t xml:space="preserve">Textbooks are </w:t>
      </w:r>
      <w:r>
        <w:rPr>
          <w:szCs w:val="22"/>
        </w:rPr>
        <w:t>the</w:t>
      </w:r>
      <w:r w:rsidRPr="00184E9E">
        <w:rPr>
          <w:szCs w:val="22"/>
        </w:rPr>
        <w:t xml:space="preserve"> primary resource to guide decisions about what content to teach and what students should learn about </w:t>
      </w:r>
      <w:r>
        <w:rPr>
          <w:szCs w:val="22"/>
        </w:rPr>
        <w:t>mathematical</w:t>
      </w:r>
      <w:r w:rsidRPr="00184E9E">
        <w:rPr>
          <w:szCs w:val="22"/>
        </w:rPr>
        <w:t xml:space="preserve"> content (</w:t>
      </w:r>
      <w:r>
        <w:rPr>
          <w:szCs w:val="22"/>
        </w:rPr>
        <w:t>e.g., Glasnovic Gracin, 2018</w:t>
      </w:r>
      <w:r w:rsidR="00F34E3E">
        <w:rPr>
          <w:szCs w:val="22"/>
        </w:rPr>
        <w:t xml:space="preserve">; </w:t>
      </w:r>
      <w:r w:rsidR="00F34E3E" w:rsidRPr="007142EC">
        <w:rPr>
          <w:szCs w:val="22"/>
        </w:rPr>
        <w:t>Rezat &amp; Sträßer, 2015</w:t>
      </w:r>
      <w:r>
        <w:rPr>
          <w:szCs w:val="22"/>
        </w:rPr>
        <w:t>)</w:t>
      </w:r>
      <w:r w:rsidR="00F34E3E">
        <w:rPr>
          <w:szCs w:val="22"/>
        </w:rPr>
        <w:t>.</w:t>
      </w:r>
      <w:r w:rsidRPr="00184E9E">
        <w:rPr>
          <w:szCs w:val="22"/>
        </w:rPr>
        <w:t xml:space="preserve"> </w:t>
      </w:r>
      <w:r w:rsidR="00E46C65">
        <w:rPr>
          <w:szCs w:val="22"/>
        </w:rPr>
        <w:t>Furthermore</w:t>
      </w:r>
      <w:r w:rsidR="00F34E3E">
        <w:rPr>
          <w:szCs w:val="22"/>
        </w:rPr>
        <w:t xml:space="preserve">, </w:t>
      </w:r>
      <w:r w:rsidR="00E46C65">
        <w:rPr>
          <w:szCs w:val="22"/>
        </w:rPr>
        <w:t xml:space="preserve">research </w:t>
      </w:r>
      <w:r w:rsidR="00FF40E7">
        <w:rPr>
          <w:szCs w:val="22"/>
        </w:rPr>
        <w:t>shows</w:t>
      </w:r>
      <w:r w:rsidR="00F34E3E">
        <w:rPr>
          <w:szCs w:val="22"/>
        </w:rPr>
        <w:t xml:space="preserve"> </w:t>
      </w:r>
      <w:r w:rsidRPr="007142EC">
        <w:rPr>
          <w:szCs w:val="22"/>
        </w:rPr>
        <w:t xml:space="preserve">a connection between </w:t>
      </w:r>
      <w:r w:rsidR="00FF40E7">
        <w:rPr>
          <w:szCs w:val="22"/>
        </w:rPr>
        <w:t>students'</w:t>
      </w:r>
      <w:r w:rsidRPr="007142EC">
        <w:rPr>
          <w:szCs w:val="22"/>
        </w:rPr>
        <w:t xml:space="preserve"> opportunities to learn (OTL) </w:t>
      </w:r>
      <w:r w:rsidR="00E46C65">
        <w:rPr>
          <w:szCs w:val="22"/>
        </w:rPr>
        <w:t xml:space="preserve">a specific </w:t>
      </w:r>
      <w:r>
        <w:rPr>
          <w:szCs w:val="22"/>
        </w:rPr>
        <w:t xml:space="preserve">content </w:t>
      </w:r>
      <w:r w:rsidRPr="007142EC">
        <w:rPr>
          <w:szCs w:val="22"/>
        </w:rPr>
        <w:t>and their</w:t>
      </w:r>
      <w:r>
        <w:rPr>
          <w:szCs w:val="22"/>
        </w:rPr>
        <w:t xml:space="preserve"> </w:t>
      </w:r>
      <w:r w:rsidRPr="007142EC">
        <w:rPr>
          <w:szCs w:val="22"/>
        </w:rPr>
        <w:t xml:space="preserve">achievement </w:t>
      </w:r>
      <w:r>
        <w:rPr>
          <w:szCs w:val="22"/>
        </w:rPr>
        <w:t xml:space="preserve">in learning </w:t>
      </w:r>
      <w:r w:rsidRPr="007142EC">
        <w:rPr>
          <w:szCs w:val="22"/>
        </w:rPr>
        <w:t>(</w:t>
      </w:r>
      <w:r>
        <w:rPr>
          <w:szCs w:val="22"/>
        </w:rPr>
        <w:t>e.g.,</w:t>
      </w:r>
      <w:r w:rsidRPr="007142EC">
        <w:rPr>
          <w:szCs w:val="22"/>
        </w:rPr>
        <w:t xml:space="preserve"> Tarr et al., 2006). </w:t>
      </w:r>
      <w:r w:rsidR="00FD39C8">
        <w:rPr>
          <w:szCs w:val="22"/>
        </w:rPr>
        <w:t xml:space="preserve">The concept </w:t>
      </w:r>
      <w:r w:rsidR="00FD39C8" w:rsidRPr="00306050">
        <w:rPr>
          <w:szCs w:val="22"/>
        </w:rPr>
        <w:t xml:space="preserve">mode is commonly perceived as an easy concept, </w:t>
      </w:r>
      <w:r w:rsidR="00E46C65" w:rsidRPr="00E46C65">
        <w:t>yet research reveals that it can be difficult to grasp</w:t>
      </w:r>
      <w:r w:rsidR="00E46C65" w:rsidRPr="00306050">
        <w:rPr>
          <w:szCs w:val="22"/>
        </w:rPr>
        <w:t xml:space="preserve"> </w:t>
      </w:r>
      <w:r w:rsidR="00FD39C8" w:rsidRPr="00580547">
        <w:rPr>
          <w:szCs w:val="22"/>
        </w:rPr>
        <w:t>(e.g., Groth &amp; Bergner, 2006</w:t>
      </w:r>
      <w:r w:rsidR="00FF40E7">
        <w:rPr>
          <w:szCs w:val="22"/>
        </w:rPr>
        <w:t>)</w:t>
      </w:r>
      <w:r w:rsidR="00FD39C8">
        <w:rPr>
          <w:szCs w:val="22"/>
        </w:rPr>
        <w:t xml:space="preserve">. In this short presentation, </w:t>
      </w:r>
      <w:r w:rsidR="00E46C65">
        <w:rPr>
          <w:szCs w:val="22"/>
        </w:rPr>
        <w:t xml:space="preserve">I </w:t>
      </w:r>
      <w:r w:rsidR="00E46C65" w:rsidRPr="00E46C65">
        <w:t>will contras</w:t>
      </w:r>
      <w:r w:rsidR="00E46C65">
        <w:t>t what OTL the textbook task</w:t>
      </w:r>
      <w:r w:rsidR="00E46C65" w:rsidRPr="00E46C65">
        <w:t>s allow for with what knowledge the students communicate.</w:t>
      </w:r>
      <w:r w:rsidR="00DF5CFC">
        <w:t xml:space="preserve"> </w:t>
      </w:r>
      <w:r w:rsidR="00DF5CFC">
        <w:rPr>
          <w:rStyle w:val="rynqvb"/>
          <w:lang w:val="en"/>
        </w:rPr>
        <w:t>Examples will be</w:t>
      </w:r>
      <w:r w:rsidR="00FF40E7">
        <w:rPr>
          <w:rStyle w:val="rynqvb"/>
          <w:lang w:val="en"/>
        </w:rPr>
        <w:t xml:space="preserve"> given based on results.</w:t>
      </w:r>
    </w:p>
    <w:p w14:paraId="57562609" w14:textId="7C3967D6" w:rsidR="00D60EEF" w:rsidRDefault="00D60EEF" w:rsidP="00D60EEF">
      <w:pPr>
        <w:pStyle w:val="Rubrik2"/>
      </w:pPr>
      <w:r>
        <w:t>Theoretical framing</w:t>
      </w:r>
    </w:p>
    <w:p w14:paraId="751BB4D5" w14:textId="75549D7E" w:rsidR="00D60EEF" w:rsidRPr="00DF7D4F" w:rsidRDefault="00D60EEF" w:rsidP="00DF7D4F">
      <w:pPr>
        <w:pStyle w:val="Brdtext"/>
      </w:pPr>
      <w:r>
        <w:t xml:space="preserve">The student responses are analysed in accordance with statistical literacy (Gal, 2004). </w:t>
      </w:r>
      <w:r w:rsidR="0031780B">
        <w:t>The following</w:t>
      </w:r>
      <w:r>
        <w:t xml:space="preserve"> aspects of statistical literacy will be discussed</w:t>
      </w:r>
      <w:r w:rsidR="00DF7D4F">
        <w:t xml:space="preserve"> in the short presentation</w:t>
      </w:r>
      <w:r>
        <w:t>: Mathematical Knowledge (MK), Contextual knowledge (CxK), and Use of Words (UoW)</w:t>
      </w:r>
      <w:r w:rsidR="00FD39C8">
        <w:t xml:space="preserve"> (Landtblom, forthcoming)</w:t>
      </w:r>
      <w:r>
        <w:t xml:space="preserve">. The </w:t>
      </w:r>
      <w:r w:rsidRPr="004A2BE3">
        <w:rPr>
          <w:szCs w:val="22"/>
        </w:rPr>
        <w:t xml:space="preserve">theoretical foundation in </w:t>
      </w:r>
      <w:r>
        <w:rPr>
          <w:szCs w:val="22"/>
        </w:rPr>
        <w:t xml:space="preserve">the textbook analysis </w:t>
      </w:r>
      <w:r w:rsidRPr="00B9437F">
        <w:rPr>
          <w:szCs w:val="22"/>
        </w:rPr>
        <w:t>proceeds from a framework in which a concept is based on central mathematical ideas that in turn are</w:t>
      </w:r>
      <w:r w:rsidRPr="004A2BE3">
        <w:rPr>
          <w:szCs w:val="22"/>
        </w:rPr>
        <w:t xml:space="preserve"> “built on a set of objects, transformations, and their properties” (Lithner, 2008, p. 261). </w:t>
      </w:r>
      <w:r w:rsidR="00DF7D4F">
        <w:rPr>
          <w:szCs w:val="22"/>
        </w:rPr>
        <w:t>This will be discussed out of input object (the variable of the dataset), transformation (what is done to the object), and output object (</w:t>
      </w:r>
      <w:r w:rsidR="0031780B">
        <w:rPr>
          <w:szCs w:val="22"/>
        </w:rPr>
        <w:t>the result of the transformed input object)</w:t>
      </w:r>
      <w:r w:rsidR="00DF7D4F">
        <w:rPr>
          <w:szCs w:val="22"/>
        </w:rPr>
        <w:t>.</w:t>
      </w:r>
      <w:r w:rsidR="00FF40E7">
        <w:rPr>
          <w:szCs w:val="22"/>
        </w:rPr>
        <w:t xml:space="preserve"> </w:t>
      </w:r>
    </w:p>
    <w:p w14:paraId="028F5CE8" w14:textId="33D44585" w:rsidR="00626096" w:rsidRPr="00D60EEF" w:rsidRDefault="00FD39C8" w:rsidP="00626096">
      <w:pPr>
        <w:pStyle w:val="Rubrik2"/>
      </w:pPr>
      <w:r>
        <w:rPr>
          <w:szCs w:val="22"/>
        </w:rPr>
        <w:lastRenderedPageBreak/>
        <w:t>Short communication</w:t>
      </w:r>
    </w:p>
    <w:p w14:paraId="452CC2FC" w14:textId="77777777" w:rsidR="00C768FD" w:rsidRPr="00C768FD" w:rsidRDefault="00C768FD" w:rsidP="00C768FD">
      <w:pPr>
        <w:ind w:firstLine="0"/>
        <w:rPr>
          <w:lang w:val="en"/>
        </w:rPr>
      </w:pPr>
      <w:bookmarkStart w:id="0" w:name="_Hlk156205964"/>
      <w:r w:rsidRPr="00C768FD">
        <w:t xml:space="preserve">Main conclusion comparing the two studies (Landtblom, 2023; Landtblom, forthcoming) is that student responses are related to what OTL the tasks afford. First, many students do not recognise the word </w:t>
      </w:r>
      <w:r w:rsidRPr="00C768FD">
        <w:rPr>
          <w:i/>
        </w:rPr>
        <w:t>typvärde</w:t>
      </w:r>
      <w:r w:rsidRPr="00C768FD">
        <w:t xml:space="preserve"> (Swedish for mode). This could be explained by tasks frequently asking for what is most popular, etc., rather than asking for the mode. Some students (approximately 20%) who did not recognise the word have created a homonym built on the word </w:t>
      </w:r>
      <w:r w:rsidRPr="00C768FD">
        <w:rPr>
          <w:i/>
        </w:rPr>
        <w:t>typ</w:t>
      </w:r>
      <w:r w:rsidRPr="00C768FD">
        <w:t xml:space="preserve">. They explained mode as being an approximate value. Second, most students who know what mode is, give examples with one mode. </w:t>
      </w:r>
      <w:r w:rsidRPr="00C768FD">
        <w:rPr>
          <w:rStyle w:val="rynqvb"/>
          <w:lang w:val="en"/>
        </w:rPr>
        <w:t xml:space="preserve">This is consistent with most of the tasks. </w:t>
      </w:r>
      <w:r w:rsidRPr="00C768FD">
        <w:t xml:space="preserve">The mathematical property that there could be none or more than one mode is hardly </w:t>
      </w:r>
      <w:r w:rsidRPr="00C768FD">
        <w:rPr>
          <w:rStyle w:val="rynqvb"/>
          <w:lang w:val="en"/>
        </w:rPr>
        <w:t xml:space="preserve">treated in both tasks or in definitions (Landtblom, 2018). </w:t>
      </w:r>
      <w:r w:rsidRPr="00C768FD">
        <w:t xml:space="preserve">Third, pupils giving appropriate examples tend to favour quantitative values. Few students demonstrate nominal data awareness. One-fifth of the tasks in textbooks deal with nominal values. We can see from the fact that mode is the only measure of central tendency suitable to nominal values that this attribute requires extra attention in textbook tasks (Landtblom, 2023). </w:t>
      </w:r>
    </w:p>
    <w:bookmarkEnd w:id="0"/>
    <w:p w14:paraId="6F203C91" w14:textId="5D6ABAAC" w:rsidR="00CE6A6A" w:rsidRDefault="00CE6A6A">
      <w:pPr>
        <w:pStyle w:val="Rubrik2"/>
      </w:pPr>
      <w:r>
        <w:t>References</w:t>
      </w:r>
    </w:p>
    <w:p w14:paraId="6C4C3050" w14:textId="31A46906" w:rsidR="00D60EEF" w:rsidRPr="00C15434" w:rsidRDefault="00D60EEF" w:rsidP="00302B84">
      <w:pPr>
        <w:pStyle w:val="References"/>
        <w:rPr>
          <w:szCs w:val="24"/>
        </w:rPr>
      </w:pPr>
      <w:r w:rsidRPr="00125A80">
        <w:rPr>
          <w:szCs w:val="24"/>
        </w:rPr>
        <w:t>Gal, I. (2004). Statistical literacy</w:t>
      </w:r>
      <w:r w:rsidRPr="00125A80">
        <w:rPr>
          <w:color w:val="000000"/>
          <w:szCs w:val="24"/>
        </w:rPr>
        <w:t>: Meanings, components, responsibilities</w:t>
      </w:r>
      <w:r w:rsidRPr="00125A80">
        <w:rPr>
          <w:szCs w:val="24"/>
        </w:rPr>
        <w:t xml:space="preserve">. </w:t>
      </w:r>
      <w:r w:rsidRPr="00125A80">
        <w:rPr>
          <w:color w:val="000000"/>
          <w:szCs w:val="24"/>
        </w:rPr>
        <w:t>In J. B. Garfield &amp; D. Ben-Zvi (Eds.),</w:t>
      </w:r>
      <w:r w:rsidRPr="00125A80">
        <w:rPr>
          <w:i/>
          <w:iCs/>
          <w:szCs w:val="24"/>
        </w:rPr>
        <w:t xml:space="preserve"> The </w:t>
      </w:r>
      <w:r>
        <w:rPr>
          <w:i/>
          <w:iCs/>
          <w:szCs w:val="24"/>
        </w:rPr>
        <w:t>C</w:t>
      </w:r>
      <w:r w:rsidRPr="00125A80">
        <w:rPr>
          <w:i/>
          <w:iCs/>
          <w:szCs w:val="24"/>
        </w:rPr>
        <w:t xml:space="preserve">hallenge of </w:t>
      </w:r>
      <w:r>
        <w:rPr>
          <w:i/>
          <w:iCs/>
          <w:szCs w:val="24"/>
        </w:rPr>
        <w:t>D</w:t>
      </w:r>
      <w:r w:rsidRPr="00125A80">
        <w:rPr>
          <w:i/>
          <w:iCs/>
          <w:szCs w:val="24"/>
        </w:rPr>
        <w:t xml:space="preserve">eveloping </w:t>
      </w:r>
      <w:r>
        <w:rPr>
          <w:i/>
          <w:iCs/>
          <w:szCs w:val="24"/>
        </w:rPr>
        <w:t>S</w:t>
      </w:r>
      <w:r w:rsidRPr="00125A80">
        <w:rPr>
          <w:i/>
          <w:iCs/>
          <w:szCs w:val="24"/>
        </w:rPr>
        <w:t xml:space="preserve">tatistical </w:t>
      </w:r>
      <w:r>
        <w:rPr>
          <w:i/>
          <w:iCs/>
          <w:szCs w:val="24"/>
        </w:rPr>
        <w:t>L</w:t>
      </w:r>
      <w:r w:rsidRPr="00125A80">
        <w:rPr>
          <w:i/>
          <w:iCs/>
          <w:szCs w:val="24"/>
        </w:rPr>
        <w:t xml:space="preserve">iteracy, </w:t>
      </w:r>
      <w:r>
        <w:rPr>
          <w:i/>
          <w:iCs/>
          <w:szCs w:val="24"/>
        </w:rPr>
        <w:t>R</w:t>
      </w:r>
      <w:r w:rsidRPr="00125A80">
        <w:rPr>
          <w:i/>
          <w:iCs/>
          <w:szCs w:val="24"/>
        </w:rPr>
        <w:t xml:space="preserve">easoning and </w:t>
      </w:r>
      <w:r>
        <w:rPr>
          <w:i/>
          <w:iCs/>
          <w:szCs w:val="24"/>
        </w:rPr>
        <w:t>T</w:t>
      </w:r>
      <w:r w:rsidRPr="00125A80">
        <w:rPr>
          <w:i/>
          <w:iCs/>
          <w:szCs w:val="24"/>
        </w:rPr>
        <w:t>hinking</w:t>
      </w:r>
      <w:r w:rsidRPr="00125A80">
        <w:rPr>
          <w:szCs w:val="24"/>
        </w:rPr>
        <w:t xml:space="preserve"> (pp. 47-78). Kluwer academic publishers.</w:t>
      </w:r>
      <w:r w:rsidRPr="00C15434">
        <w:rPr>
          <w:szCs w:val="24"/>
        </w:rPr>
        <w:t xml:space="preserve"> </w:t>
      </w:r>
      <w:hyperlink r:id="rId7" w:history="1">
        <w:r w:rsidR="00C15434" w:rsidRPr="00C15434">
          <w:rPr>
            <w:rStyle w:val="Hyperlnk"/>
            <w:szCs w:val="24"/>
          </w:rPr>
          <w:t>https://doi.org/10.1007/1-4020-2278-6_3</w:t>
        </w:r>
      </w:hyperlink>
      <w:r w:rsidR="00C15434" w:rsidRPr="00C15434">
        <w:rPr>
          <w:szCs w:val="24"/>
        </w:rPr>
        <w:t xml:space="preserve"> </w:t>
      </w:r>
    </w:p>
    <w:p w14:paraId="333AADAE" w14:textId="7372C9FF" w:rsidR="00302B84" w:rsidRDefault="00302B84" w:rsidP="00302B84">
      <w:pPr>
        <w:pStyle w:val="References"/>
      </w:pPr>
      <w:r w:rsidRPr="0004185A">
        <w:t xml:space="preserve">Glasnovic Gracin, D. (2018). Requirements in mathematics textbooks: a five-dimensional analysis of textbook exercises and examples. </w:t>
      </w:r>
      <w:r w:rsidRPr="0004185A">
        <w:rPr>
          <w:i/>
          <w:iCs/>
        </w:rPr>
        <w:t>International Journal of Mathematical Education in Science and Technology</w:t>
      </w:r>
      <w:r w:rsidRPr="0004185A">
        <w:t xml:space="preserve">, </w:t>
      </w:r>
      <w:r w:rsidRPr="0004185A">
        <w:rPr>
          <w:i/>
          <w:iCs/>
        </w:rPr>
        <w:t>49</w:t>
      </w:r>
      <w:r w:rsidRPr="0004185A">
        <w:t>(7), 1003–1024.</w:t>
      </w:r>
      <w:r w:rsidR="00C15434">
        <w:t xml:space="preserve"> </w:t>
      </w:r>
      <w:hyperlink r:id="rId8" w:history="1">
        <w:r w:rsidR="00C15434" w:rsidRPr="00C15434">
          <w:rPr>
            <w:rStyle w:val="Hyperlnk"/>
            <w:szCs w:val="24"/>
          </w:rPr>
          <w:t>https://doi.org/10.1080/0020739X.2018.1431849</w:t>
        </w:r>
      </w:hyperlink>
      <w:r w:rsidR="00C15434">
        <w:t xml:space="preserve"> </w:t>
      </w:r>
    </w:p>
    <w:p w14:paraId="4875FDF0" w14:textId="3819FDD3" w:rsidR="00626096" w:rsidRDefault="00626096" w:rsidP="00302B84">
      <w:pPr>
        <w:pStyle w:val="References"/>
      </w:pPr>
      <w:r w:rsidRPr="00165CF7">
        <w:t xml:space="preserve">Groth, R. E., &amp; Bergner, J. A. (2006). </w:t>
      </w:r>
      <w:r w:rsidRPr="0004185A">
        <w:t>Preservice elementary teacher</w:t>
      </w:r>
      <w:r>
        <w:t>s’</w:t>
      </w:r>
      <w:r w:rsidRPr="0004185A">
        <w:t xml:space="preserve"> conceptual and procedural knowledge of mean, median, and mode. </w:t>
      </w:r>
      <w:r w:rsidRPr="0004185A">
        <w:rPr>
          <w:i/>
          <w:iCs/>
        </w:rPr>
        <w:t>Mathematical Thinking and Learning</w:t>
      </w:r>
      <w:r w:rsidRPr="0004185A">
        <w:t xml:space="preserve">, </w:t>
      </w:r>
      <w:r w:rsidRPr="0004185A">
        <w:rPr>
          <w:i/>
          <w:iCs/>
        </w:rPr>
        <w:t>8</w:t>
      </w:r>
      <w:r>
        <w:t>(1), 37</w:t>
      </w:r>
      <w:r w:rsidRPr="0004185A">
        <w:t>–</w:t>
      </w:r>
      <w:r>
        <w:t>63.</w:t>
      </w:r>
      <w:r w:rsidR="00C15434">
        <w:t xml:space="preserve"> </w:t>
      </w:r>
      <w:hyperlink r:id="rId9" w:tgtFrame="_blank" w:history="1">
        <w:r w:rsidR="00C15434" w:rsidRPr="001A2566">
          <w:rPr>
            <w:rStyle w:val="Hyperlnk"/>
            <w:szCs w:val="24"/>
          </w:rPr>
          <w:t>https://doi.org/10.1207/s15327833mtl0801_3</w:t>
        </w:r>
      </w:hyperlink>
    </w:p>
    <w:p w14:paraId="7022AE0B" w14:textId="60030E93" w:rsidR="00667E6E" w:rsidRDefault="00D710C2" w:rsidP="00302B84">
      <w:pPr>
        <w:pStyle w:val="References"/>
      </w:pPr>
      <w:r w:rsidRPr="0004185A">
        <w:t xml:space="preserve">Landtblom, K. (2018). Is data a quantitative thing? An analysis of the concept of the mode in textbooks for grade 4-6. In M. A. Sorto, A. White, &amp; L. Guyot (Eds.), </w:t>
      </w:r>
      <w:r w:rsidRPr="0004185A">
        <w:rPr>
          <w:rStyle w:val="Betoning"/>
        </w:rPr>
        <w:t xml:space="preserve">Looking back, looking forward: </w:t>
      </w:r>
      <w:r>
        <w:rPr>
          <w:rStyle w:val="Betoning"/>
        </w:rPr>
        <w:t>P</w:t>
      </w:r>
      <w:r w:rsidRPr="0004185A">
        <w:rPr>
          <w:rStyle w:val="Betoning"/>
        </w:rPr>
        <w:t>roceedings of the Tenth International Conference on Teaching Statistics</w:t>
      </w:r>
      <w:r w:rsidRPr="0004185A">
        <w:t xml:space="preserve">. </w:t>
      </w:r>
      <w:r>
        <w:t>International Association for Statistical Education.</w:t>
      </w:r>
      <w:r w:rsidR="00C15434">
        <w:t xml:space="preserve"> </w:t>
      </w:r>
    </w:p>
    <w:p w14:paraId="72CB3A02" w14:textId="272F5897" w:rsidR="00C15434" w:rsidRPr="0006135D" w:rsidRDefault="00C15434" w:rsidP="00C15434">
      <w:pPr>
        <w:pStyle w:val="PMEReferences"/>
        <w:spacing w:after="0"/>
        <w:rPr>
          <w:rFonts w:eastAsia="Times New Roman"/>
          <w:sz w:val="22"/>
          <w:szCs w:val="22"/>
          <w:lang w:val="en-US" w:eastAsia="en-US"/>
        </w:rPr>
      </w:pPr>
      <w:r w:rsidRPr="001764FB">
        <w:rPr>
          <w:color w:val="222222"/>
          <w:sz w:val="24"/>
          <w:szCs w:val="24"/>
          <w:shd w:val="clear" w:color="auto" w:fill="FFFFFF"/>
        </w:rPr>
        <w:t xml:space="preserve">Landtblom, K. </w:t>
      </w:r>
      <w:r w:rsidRPr="00020425">
        <w:rPr>
          <w:sz w:val="24"/>
          <w:szCs w:val="24"/>
          <w:shd w:val="clear" w:color="auto" w:fill="FFFFFF"/>
        </w:rPr>
        <w:t>(2023). Opportunities to learn mean, median, and mode afforded by textbook tasks. </w:t>
      </w:r>
      <w:r w:rsidRPr="00020425">
        <w:rPr>
          <w:i/>
          <w:iCs/>
          <w:sz w:val="24"/>
          <w:szCs w:val="24"/>
          <w:shd w:val="clear" w:color="auto" w:fill="FFFFFF"/>
        </w:rPr>
        <w:t>Statistics Education Research Journal</w:t>
      </w:r>
      <w:r w:rsidRPr="00020425">
        <w:rPr>
          <w:sz w:val="24"/>
          <w:szCs w:val="24"/>
          <w:shd w:val="clear" w:color="auto" w:fill="FFFFFF"/>
        </w:rPr>
        <w:t>, </w:t>
      </w:r>
      <w:r w:rsidRPr="00020425">
        <w:rPr>
          <w:i/>
          <w:iCs/>
          <w:sz w:val="24"/>
          <w:szCs w:val="24"/>
          <w:shd w:val="clear" w:color="auto" w:fill="FFFFFF"/>
        </w:rPr>
        <w:t>22</w:t>
      </w:r>
      <w:r w:rsidRPr="00020425">
        <w:rPr>
          <w:sz w:val="24"/>
          <w:szCs w:val="24"/>
          <w:shd w:val="clear" w:color="auto" w:fill="FFFFFF"/>
        </w:rPr>
        <w:t xml:space="preserve">(3), 6-6. </w:t>
      </w:r>
      <w:hyperlink r:id="rId10" w:history="1">
        <w:r w:rsidRPr="001A2566">
          <w:rPr>
            <w:rStyle w:val="Hyperlnk"/>
            <w:rFonts w:eastAsia="Times New Roman"/>
            <w:sz w:val="24"/>
            <w:szCs w:val="24"/>
            <w:lang w:val="en-GB" w:eastAsia="en-US"/>
          </w:rPr>
          <w:t>https://doi.org/10.52041/serj.v22i3.655</w:t>
        </w:r>
      </w:hyperlink>
    </w:p>
    <w:p w14:paraId="388C1EEA" w14:textId="303F40D0" w:rsidR="00302B84" w:rsidRDefault="00302B84" w:rsidP="00302B84">
      <w:pPr>
        <w:pStyle w:val="References"/>
      </w:pPr>
      <w:r w:rsidRPr="0004185A">
        <w:t>Landtblom, K. (forthcoming). Aspects of students</w:t>
      </w:r>
      <w:r>
        <w:t>’</w:t>
      </w:r>
      <w:r w:rsidRPr="0004185A">
        <w:t xml:space="preserve"> statistical literacy regarding measures of central tendency.</w:t>
      </w:r>
    </w:p>
    <w:p w14:paraId="05A62E54" w14:textId="60793D0C" w:rsidR="00C10B74" w:rsidRPr="00302B84" w:rsidRDefault="00C10B74" w:rsidP="00302B84">
      <w:pPr>
        <w:pStyle w:val="References"/>
      </w:pPr>
      <w:r w:rsidRPr="0004185A">
        <w:t xml:space="preserve">Lithner, J. (2008). A research framework for creative and imitative reasoning. </w:t>
      </w:r>
      <w:r w:rsidRPr="0004185A">
        <w:rPr>
          <w:i/>
          <w:iCs/>
        </w:rPr>
        <w:t>Educational Studies in Mathematics</w:t>
      </w:r>
      <w:r w:rsidRPr="0004185A">
        <w:t xml:space="preserve">, </w:t>
      </w:r>
      <w:r w:rsidRPr="0004185A">
        <w:rPr>
          <w:i/>
          <w:iCs/>
        </w:rPr>
        <w:t>67</w:t>
      </w:r>
      <w:r>
        <w:t>(3), 255</w:t>
      </w:r>
      <w:r w:rsidRPr="0004185A">
        <w:t>–</w:t>
      </w:r>
      <w:r>
        <w:t>276.</w:t>
      </w:r>
      <w:r w:rsidR="00C15434">
        <w:t xml:space="preserve"> </w:t>
      </w:r>
      <w:r w:rsidR="00C15434" w:rsidRPr="001A2566">
        <w:rPr>
          <w:rStyle w:val="Hyperlnk"/>
          <w:szCs w:val="24"/>
        </w:rPr>
        <w:t>https://doi.org/</w:t>
      </w:r>
      <w:hyperlink r:id="rId11" w:tgtFrame="_blank" w:history="1">
        <w:r w:rsidR="00C15434" w:rsidRPr="001A2566">
          <w:rPr>
            <w:rStyle w:val="Hyperlnk"/>
            <w:szCs w:val="24"/>
          </w:rPr>
          <w:t>10.1007/s10649-007-9104-2</w:t>
        </w:r>
      </w:hyperlink>
    </w:p>
    <w:p w14:paraId="480C9EFC" w14:textId="3370BA85" w:rsidR="009C103B" w:rsidRDefault="00302B84" w:rsidP="00084739">
      <w:pPr>
        <w:pStyle w:val="References"/>
        <w:rPr>
          <w:rStyle w:val="Hyperlnk"/>
        </w:rPr>
      </w:pPr>
      <w:r w:rsidRPr="0074553F">
        <w:t xml:space="preserve">Rezat, S., &amp; Sträßer, R. (2015). </w:t>
      </w:r>
      <w:r w:rsidRPr="0004185A">
        <w:t xml:space="preserve">Methodological issues and challenges in research on mathematics textbooks. </w:t>
      </w:r>
      <w:r w:rsidRPr="0004185A">
        <w:rPr>
          <w:i/>
          <w:iCs/>
        </w:rPr>
        <w:t>Nordic Studies in Mathematics Education</w:t>
      </w:r>
      <w:r w:rsidRPr="0004185A">
        <w:t xml:space="preserve">, </w:t>
      </w:r>
      <w:r w:rsidRPr="0004185A">
        <w:rPr>
          <w:i/>
          <w:iCs/>
        </w:rPr>
        <w:t>20</w:t>
      </w:r>
      <w:r>
        <w:t>(3</w:t>
      </w:r>
      <w:r w:rsidRPr="0004185A">
        <w:t>–</w:t>
      </w:r>
      <w:r>
        <w:t>4), 247</w:t>
      </w:r>
      <w:r w:rsidRPr="0004185A">
        <w:t>–</w:t>
      </w:r>
      <w:r w:rsidR="00DF7D4F">
        <w:t>266.</w:t>
      </w:r>
      <w:r w:rsidR="001A2566">
        <w:t xml:space="preserve"> </w:t>
      </w:r>
    </w:p>
    <w:p w14:paraId="1078BEE7" w14:textId="3660936A" w:rsidR="00CE6A6A" w:rsidRPr="009C103B" w:rsidRDefault="00302B84" w:rsidP="00D710C2">
      <w:pPr>
        <w:pStyle w:val="References"/>
      </w:pPr>
      <w:r w:rsidRPr="0074553F">
        <w:t xml:space="preserve">Tarr, J. E., Reys, B. J., Barker, D. D., &amp; Billstein, R. (2006). </w:t>
      </w:r>
      <w:r w:rsidRPr="0004185A">
        <w:t xml:space="preserve">Selecting high-quality mathematics textbooks. </w:t>
      </w:r>
      <w:r w:rsidRPr="0004185A">
        <w:rPr>
          <w:i/>
          <w:iCs/>
        </w:rPr>
        <w:t>Mathematics Teaching in the Middle School</w:t>
      </w:r>
      <w:r w:rsidRPr="0004185A">
        <w:t xml:space="preserve">, </w:t>
      </w:r>
      <w:r w:rsidRPr="0004185A">
        <w:rPr>
          <w:i/>
          <w:iCs/>
        </w:rPr>
        <w:t>12</w:t>
      </w:r>
      <w:r w:rsidRPr="0004185A">
        <w:t>(1), 50–54.</w:t>
      </w:r>
      <w:r w:rsidR="001A2566">
        <w:t xml:space="preserve"> </w:t>
      </w:r>
      <w:r w:rsidR="001A2566" w:rsidRPr="001A2566">
        <w:rPr>
          <w:rStyle w:val="Hyperlnk"/>
          <w:szCs w:val="24"/>
        </w:rPr>
        <w:t>https://doi.org/10.5951/mtms.12.1.0050</w:t>
      </w:r>
    </w:p>
    <w:sectPr w:rsidR="00CE6A6A" w:rsidRPr="009C103B" w:rsidSect="00923F06">
      <w:headerReference w:type="default" r:id="rId12"/>
      <w:footerReference w:type="even" r:id="rId13"/>
      <w:footerReference w:type="default" r:id="rId14"/>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1872" w14:textId="77777777" w:rsidR="00923F06" w:rsidRDefault="00923F06">
      <w:pPr>
        <w:spacing w:line="240" w:lineRule="auto"/>
      </w:pPr>
      <w:r>
        <w:separator/>
      </w:r>
    </w:p>
  </w:endnote>
  <w:endnote w:type="continuationSeparator" w:id="0">
    <w:p w14:paraId="1D4B8C14" w14:textId="77777777" w:rsidR="00923F06" w:rsidRDefault="00923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Sylfaen"/>
    <w:panose1 w:val="020B06040202020202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667E6E" w:rsidRDefault="00667E6E" w:rsidP="00D60EE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667E6E" w:rsidRDefault="00667E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0738988F" w:rsidR="00667E6E" w:rsidRDefault="00667E6E" w:rsidP="00D60EE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0E413B">
      <w:rPr>
        <w:rStyle w:val="Sidnummer"/>
        <w:noProof/>
      </w:rPr>
      <w:t>1</w:t>
    </w:r>
    <w:r>
      <w:rPr>
        <w:rStyle w:val="Sidnummer"/>
      </w:rPr>
      <w:fldChar w:fldCharType="end"/>
    </w:r>
  </w:p>
  <w:p w14:paraId="21937EF6" w14:textId="77777777" w:rsidR="00667E6E" w:rsidRDefault="00667E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CFE8" w14:textId="77777777" w:rsidR="00923F06" w:rsidRDefault="00923F06">
      <w:pPr>
        <w:spacing w:line="240" w:lineRule="auto"/>
      </w:pPr>
      <w:r>
        <w:separator/>
      </w:r>
    </w:p>
  </w:footnote>
  <w:footnote w:type="continuationSeparator" w:id="0">
    <w:p w14:paraId="2B9577C8" w14:textId="77777777" w:rsidR="00923F06" w:rsidRDefault="00923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667E6E" w:rsidRDefault="00667E6E">
    <w:pPr>
      <w:framePr w:wrap="auto" w:vAnchor="text" w:hAnchor="margin" w:xAlign="right" w:y="1"/>
    </w:pPr>
  </w:p>
  <w:p w14:paraId="4AC39D26" w14:textId="77777777" w:rsidR="00667E6E" w:rsidRDefault="00667E6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6146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57"/>
    <w:rsid w:val="0000094D"/>
    <w:rsid w:val="00020425"/>
    <w:rsid w:val="00053461"/>
    <w:rsid w:val="00064A57"/>
    <w:rsid w:val="000761F4"/>
    <w:rsid w:val="00084739"/>
    <w:rsid w:val="000D2258"/>
    <w:rsid w:val="000E413B"/>
    <w:rsid w:val="000F5058"/>
    <w:rsid w:val="000F7629"/>
    <w:rsid w:val="000F7BC9"/>
    <w:rsid w:val="00117643"/>
    <w:rsid w:val="00133F5F"/>
    <w:rsid w:val="00157D3B"/>
    <w:rsid w:val="001A2566"/>
    <w:rsid w:val="00276CB4"/>
    <w:rsid w:val="002824CB"/>
    <w:rsid w:val="002A1845"/>
    <w:rsid w:val="002A38E1"/>
    <w:rsid w:val="002C65E6"/>
    <w:rsid w:val="00302B84"/>
    <w:rsid w:val="0031780B"/>
    <w:rsid w:val="003305DB"/>
    <w:rsid w:val="003A463E"/>
    <w:rsid w:val="003B2647"/>
    <w:rsid w:val="0041195C"/>
    <w:rsid w:val="00445636"/>
    <w:rsid w:val="00455B78"/>
    <w:rsid w:val="00461D61"/>
    <w:rsid w:val="004E6BFD"/>
    <w:rsid w:val="00536D1B"/>
    <w:rsid w:val="005710F8"/>
    <w:rsid w:val="005808DB"/>
    <w:rsid w:val="005A24BE"/>
    <w:rsid w:val="005E3911"/>
    <w:rsid w:val="00626096"/>
    <w:rsid w:val="00653F4F"/>
    <w:rsid w:val="00667E6E"/>
    <w:rsid w:val="00672077"/>
    <w:rsid w:val="006C6FDD"/>
    <w:rsid w:val="00737C28"/>
    <w:rsid w:val="0074553F"/>
    <w:rsid w:val="0074554F"/>
    <w:rsid w:val="0075497C"/>
    <w:rsid w:val="00842F58"/>
    <w:rsid w:val="008772EF"/>
    <w:rsid w:val="008821FC"/>
    <w:rsid w:val="008C4C60"/>
    <w:rsid w:val="0091579A"/>
    <w:rsid w:val="00923F06"/>
    <w:rsid w:val="00933A03"/>
    <w:rsid w:val="00962395"/>
    <w:rsid w:val="009C103B"/>
    <w:rsid w:val="009F572E"/>
    <w:rsid w:val="00A2654B"/>
    <w:rsid w:val="00A565D0"/>
    <w:rsid w:val="00A5668B"/>
    <w:rsid w:val="00B13C57"/>
    <w:rsid w:val="00BD492E"/>
    <w:rsid w:val="00C10B74"/>
    <w:rsid w:val="00C15434"/>
    <w:rsid w:val="00C32D6E"/>
    <w:rsid w:val="00C768FD"/>
    <w:rsid w:val="00CE6A6A"/>
    <w:rsid w:val="00D36A7E"/>
    <w:rsid w:val="00D60EEF"/>
    <w:rsid w:val="00D710C2"/>
    <w:rsid w:val="00D9679D"/>
    <w:rsid w:val="00DF1776"/>
    <w:rsid w:val="00DF5CFC"/>
    <w:rsid w:val="00DF7D4F"/>
    <w:rsid w:val="00E46C65"/>
    <w:rsid w:val="00E90B43"/>
    <w:rsid w:val="00EB3AE2"/>
    <w:rsid w:val="00EB4294"/>
    <w:rsid w:val="00ED2199"/>
    <w:rsid w:val="00EF08A0"/>
    <w:rsid w:val="00F34E3E"/>
    <w:rsid w:val="00F42DFA"/>
    <w:rsid w:val="00F5400D"/>
    <w:rsid w:val="00FD2CF2"/>
    <w:rsid w:val="00FD39C8"/>
    <w:rsid w:val="00FF40E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character" w:customStyle="1" w:styleId="rynqvb">
    <w:name w:val="rynqvb"/>
    <w:basedOn w:val="Standardstycketeckensnitt"/>
    <w:rsid w:val="00F34E3E"/>
  </w:style>
  <w:style w:type="character" w:styleId="Hyperlnk">
    <w:name w:val="Hyperlink"/>
    <w:uiPriority w:val="99"/>
    <w:unhideWhenUsed/>
    <w:rsid w:val="00302B84"/>
    <w:rPr>
      <w:color w:val="0000FF"/>
      <w:u w:val="single"/>
    </w:rPr>
  </w:style>
  <w:style w:type="character" w:styleId="Kommentarsreferens">
    <w:name w:val="annotation reference"/>
    <w:uiPriority w:val="99"/>
    <w:semiHidden/>
    <w:unhideWhenUsed/>
    <w:rsid w:val="00302B84"/>
    <w:rPr>
      <w:sz w:val="16"/>
      <w:szCs w:val="16"/>
    </w:rPr>
  </w:style>
  <w:style w:type="paragraph" w:styleId="Kommentarer">
    <w:name w:val="annotation text"/>
    <w:basedOn w:val="Normal"/>
    <w:link w:val="KommentarerChar"/>
    <w:uiPriority w:val="99"/>
    <w:unhideWhenUsed/>
    <w:rsid w:val="00302B84"/>
    <w:pPr>
      <w:autoSpaceDE/>
      <w:autoSpaceDN/>
      <w:spacing w:line="240" w:lineRule="auto"/>
      <w:ind w:firstLine="0"/>
    </w:pPr>
    <w:rPr>
      <w:rFonts w:eastAsia="Times"/>
      <w:sz w:val="20"/>
      <w:szCs w:val="20"/>
      <w:lang w:val="en-US"/>
    </w:rPr>
  </w:style>
  <w:style w:type="character" w:customStyle="1" w:styleId="KommentarerChar">
    <w:name w:val="Kommentarer Char"/>
    <w:basedOn w:val="Standardstycketeckensnitt"/>
    <w:link w:val="Kommentarer"/>
    <w:uiPriority w:val="99"/>
    <w:rsid w:val="00302B84"/>
    <w:rPr>
      <w:rFonts w:eastAsia="Times"/>
      <w:lang w:val="en-US" w:eastAsia="en-US"/>
    </w:rPr>
  </w:style>
  <w:style w:type="paragraph" w:styleId="Ballongtext">
    <w:name w:val="Balloon Text"/>
    <w:basedOn w:val="Normal"/>
    <w:link w:val="BallongtextChar"/>
    <w:semiHidden/>
    <w:unhideWhenUsed/>
    <w:rsid w:val="00302B8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302B84"/>
    <w:rPr>
      <w:rFonts w:ascii="Segoe UI" w:hAnsi="Segoe UI" w:cs="Segoe UI"/>
      <w:sz w:val="18"/>
      <w:szCs w:val="18"/>
      <w:lang w:val="en-GB" w:eastAsia="en-US"/>
    </w:rPr>
  </w:style>
  <w:style w:type="character" w:styleId="Betoning">
    <w:name w:val="Emphasis"/>
    <w:uiPriority w:val="20"/>
    <w:qFormat/>
    <w:rsid w:val="00D710C2"/>
    <w:rPr>
      <w:i/>
      <w:iCs/>
    </w:rPr>
  </w:style>
  <w:style w:type="character" w:styleId="Olstomnmnande">
    <w:name w:val="Unresolved Mention"/>
    <w:basedOn w:val="Standardstycketeckensnitt"/>
    <w:uiPriority w:val="99"/>
    <w:semiHidden/>
    <w:unhideWhenUsed/>
    <w:rsid w:val="00C15434"/>
    <w:rPr>
      <w:color w:val="605E5C"/>
      <w:shd w:val="clear" w:color="auto" w:fill="E1DFDD"/>
    </w:rPr>
  </w:style>
  <w:style w:type="paragraph" w:customStyle="1" w:styleId="PMEReferences">
    <w:name w:val="PME References"/>
    <w:basedOn w:val="Normal"/>
    <w:uiPriority w:val="99"/>
    <w:rsid w:val="00C15434"/>
    <w:pPr>
      <w:spacing w:after="120" w:line="240" w:lineRule="auto"/>
      <w:ind w:left="289" w:hanging="289"/>
      <w:jc w:val="left"/>
    </w:pPr>
    <w:rPr>
      <w:rFonts w:eastAsia="PMingLiU"/>
      <w:szCs w:val="26"/>
      <w:lang w:val="en-A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20739X.2018.143184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07/1-4020-2278-6_3"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7/s10649-007-9104-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52041/serj.v22i3.655" TargetMode="External"/><Relationship Id="rId4" Type="http://schemas.openxmlformats.org/officeDocument/2006/relationships/webSettings" Target="webSettings.xml"/><Relationship Id="rId9" Type="http://schemas.openxmlformats.org/officeDocument/2006/relationships/hyperlink" Target="https://psycnet.apa.org/doi/10.1207/s15327833mtl0801_3"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4891</Characters>
  <Application>Microsoft Office Word</Application>
  <DocSecurity>0</DocSecurity>
  <Lines>40</Lines>
  <Paragraphs>11</Paragraphs>
  <ScaleCrop>false</ScaleCrop>
  <HeadingPairs>
    <vt:vector size="6" baseType="variant">
      <vt:variant>
        <vt:lpstr>Rubrik</vt:lpstr>
      </vt:variant>
      <vt:variant>
        <vt:i4>1</vt:i4>
      </vt:variant>
      <vt:variant>
        <vt:lpstr>Titel</vt:lpstr>
      </vt:variant>
      <vt:variant>
        <vt:i4>1</vt:i4>
      </vt:variant>
      <vt:variant>
        <vt:lpstr>Headings</vt:lpstr>
      </vt:variant>
      <vt:variant>
        <vt:i4>9</vt:i4>
      </vt:variant>
    </vt:vector>
  </HeadingPairs>
  <TitlesOfParts>
    <vt:vector size="11" baseType="lpstr">
      <vt:lpstr>MADIF8 PROCEEDINGS STYLE TEMPLATE</vt:lpstr>
      <vt:lpstr>MES6 PROCEEDINGS STYLE TEMPLATE: TYPE YOUR TITLE HERE (THE STYLE IS CALLED HEADING 1)</vt:lpstr>
      <vt:lpstr>MADIF8 Proceedings Style Template: Type Your Title Here With First Letters Capit</vt:lpstr>
      <vt:lpstr>    The main section heading style is called Rubrik 2</vt:lpstr>
      <vt:lpstr>        This is style Rubrik 3, for one level of heading lower than Rubrik 2</vt:lpstr>
      <vt:lpstr>    Notes</vt:lpstr>
      <vt:lpstr>    References</vt:lpstr>
      <vt:lpstr>    Style Summary</vt:lpstr>
      <vt:lpstr>Rubrik 1: 22pt (centred)</vt:lpstr>
      <vt:lpstr>    Rubrik 2: 14 pt bold, spacing above 12pt</vt:lpstr>
      <vt:lpstr>        Rubrik 3: 13 pt bold, spacing above 12pt</vt:lpstr>
    </vt:vector>
  </TitlesOfParts>
  <Manager/>
  <Company/>
  <LinksUpToDate>false</LinksUpToDate>
  <CharactersWithSpaces>5802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2024-01-15T09:51:00Z</dcterms:created>
  <dcterms:modified xsi:type="dcterms:W3CDTF">2024-01-15T09:51:00Z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79c9635e1de921397ece88f54b9a951f346869e08413c5e9b01d4bf92897b909</vt:lpwstr>
  </property>
</Properties>
</file>