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69E2A" w14:textId="60682FB9" w:rsidR="00084739" w:rsidRPr="00084739" w:rsidRDefault="00084739" w:rsidP="00084739">
      <w:pPr>
        <w:pStyle w:val="Brdtext"/>
      </w:pPr>
    </w:p>
    <w:p w14:paraId="0F770FA2" w14:textId="62A7E107" w:rsidR="00680A40" w:rsidRDefault="00680A40" w:rsidP="000761F4">
      <w:pPr>
        <w:pStyle w:val="Rubrik1"/>
      </w:pPr>
      <w:r w:rsidRPr="00680A40">
        <w:t>Play-</w:t>
      </w:r>
      <w:r w:rsidR="00125DC1">
        <w:t>r</w:t>
      </w:r>
      <w:r w:rsidRPr="00680A40">
        <w:t xml:space="preserve">esponsive </w:t>
      </w:r>
      <w:r w:rsidR="00FB6D4B">
        <w:t xml:space="preserve">teaching on numbers </w:t>
      </w:r>
      <w:r w:rsidRPr="00680A40">
        <w:t xml:space="preserve">in Swedish </w:t>
      </w:r>
      <w:r w:rsidR="00125DC1">
        <w:t>p</w:t>
      </w:r>
      <w:r w:rsidRPr="00680A40">
        <w:t>reschools</w:t>
      </w:r>
    </w:p>
    <w:p w14:paraId="2FB0A702" w14:textId="77777777" w:rsidR="00680A40" w:rsidRDefault="00680A40" w:rsidP="000761F4">
      <w:pPr>
        <w:pStyle w:val="Rubrik1"/>
      </w:pPr>
    </w:p>
    <w:p w14:paraId="4FADDAC5" w14:textId="4446D679" w:rsidR="00680A40" w:rsidRPr="00EC5CE9" w:rsidRDefault="00680A40" w:rsidP="00680A40">
      <w:pPr>
        <w:jc w:val="center"/>
        <w:rPr>
          <w:b/>
          <w:bCs/>
          <w:sz w:val="28"/>
        </w:rPr>
      </w:pPr>
      <w:r w:rsidRPr="00EC5CE9">
        <w:rPr>
          <w:b/>
          <w:bCs/>
          <w:sz w:val="28"/>
        </w:rPr>
        <w:t>Lena Karlsson</w:t>
      </w:r>
    </w:p>
    <w:p w14:paraId="65C507C0" w14:textId="671B8B52" w:rsidR="00ED2199" w:rsidRPr="00EC5CE9" w:rsidRDefault="00FC1E63" w:rsidP="00680A40">
      <w:pPr>
        <w:jc w:val="center"/>
        <w:rPr>
          <w:rStyle w:val="Hyperlnk"/>
          <w:sz w:val="28"/>
        </w:rPr>
      </w:pPr>
      <w:r w:rsidRPr="00EC5CE9">
        <w:rPr>
          <w:sz w:val="28"/>
        </w:rPr>
        <w:t>Department of Mathematics</w:t>
      </w:r>
      <w:r w:rsidR="00406946" w:rsidRPr="00EC5CE9">
        <w:rPr>
          <w:sz w:val="28"/>
        </w:rPr>
        <w:t>,</w:t>
      </w:r>
      <w:r w:rsidRPr="00EC5CE9">
        <w:rPr>
          <w:sz w:val="28"/>
        </w:rPr>
        <w:t xml:space="preserve"> </w:t>
      </w:r>
      <w:r w:rsidR="00680A40" w:rsidRPr="00EC5CE9">
        <w:rPr>
          <w:sz w:val="28"/>
        </w:rPr>
        <w:t>Linnaeus University</w:t>
      </w:r>
    </w:p>
    <w:p w14:paraId="70A79E04" w14:textId="77777777" w:rsidR="005872F0" w:rsidRPr="00680A40" w:rsidRDefault="005872F0" w:rsidP="00680A40">
      <w:pPr>
        <w:jc w:val="center"/>
        <w:rPr>
          <w:color w:val="0000FF" w:themeColor="hyperlink"/>
          <w:u w:val="single"/>
        </w:rPr>
      </w:pPr>
    </w:p>
    <w:p w14:paraId="17D2EE2B" w14:textId="379DF982" w:rsidR="004679EA" w:rsidRPr="004679EA" w:rsidRDefault="00EC5CE9" w:rsidP="004679EA">
      <w:pPr>
        <w:pStyle w:val="Brdtext"/>
        <w:rPr>
          <w:i/>
          <w:iCs/>
          <w:lang w:val="en-US"/>
        </w:rPr>
      </w:pPr>
      <w:r>
        <w:rPr>
          <w:i/>
          <w:iCs/>
        </w:rPr>
        <w:t xml:space="preserve">This presentation is about </w:t>
      </w:r>
      <w:r w:rsidR="00402B0B">
        <w:rPr>
          <w:i/>
          <w:iCs/>
        </w:rPr>
        <w:t>p</w:t>
      </w:r>
      <w:bookmarkStart w:id="0" w:name="_GoBack"/>
      <w:bookmarkEnd w:id="0"/>
      <w:r w:rsidR="004679EA" w:rsidRPr="004679EA">
        <w:rPr>
          <w:i/>
          <w:iCs/>
        </w:rPr>
        <w:t>lay-responsive teaching (PRT)</w:t>
      </w:r>
      <w:r>
        <w:rPr>
          <w:i/>
          <w:iCs/>
        </w:rPr>
        <w:t>, a theoretical and didactic theory on teaching</w:t>
      </w:r>
      <w:r w:rsidR="002D002E" w:rsidRPr="002D002E">
        <w:rPr>
          <w:i/>
          <w:iCs/>
        </w:rPr>
        <w:t xml:space="preserve"> </w:t>
      </w:r>
      <w:r w:rsidR="00FB6D4B">
        <w:rPr>
          <w:i/>
          <w:iCs/>
        </w:rPr>
        <w:t>in</w:t>
      </w:r>
      <w:r w:rsidR="00FB6D4B" w:rsidRPr="002D002E">
        <w:rPr>
          <w:i/>
          <w:iCs/>
        </w:rPr>
        <w:t xml:space="preserve"> </w:t>
      </w:r>
      <w:r w:rsidR="002D002E" w:rsidRPr="002D002E">
        <w:rPr>
          <w:i/>
          <w:iCs/>
        </w:rPr>
        <w:t xml:space="preserve">play without removing </w:t>
      </w:r>
      <w:r w:rsidR="00FB6D4B">
        <w:rPr>
          <w:i/>
          <w:iCs/>
        </w:rPr>
        <w:t>the</w:t>
      </w:r>
      <w:r w:rsidR="006A71CC">
        <w:rPr>
          <w:i/>
          <w:iCs/>
        </w:rPr>
        <w:t xml:space="preserve"> </w:t>
      </w:r>
      <w:r w:rsidR="002D002E" w:rsidRPr="002D002E">
        <w:rPr>
          <w:i/>
          <w:iCs/>
        </w:rPr>
        <w:t>essential characteristics</w:t>
      </w:r>
      <w:r w:rsidR="00FB6D4B">
        <w:rPr>
          <w:i/>
          <w:iCs/>
        </w:rPr>
        <w:t xml:space="preserve"> of play</w:t>
      </w:r>
      <w:r w:rsidR="004679EA" w:rsidRPr="004679EA">
        <w:rPr>
          <w:i/>
          <w:iCs/>
        </w:rPr>
        <w:t xml:space="preserve">. This study examines PRT in the context of early </w:t>
      </w:r>
      <w:r w:rsidR="00FB6D4B">
        <w:rPr>
          <w:i/>
          <w:iCs/>
        </w:rPr>
        <w:t>mathematics education</w:t>
      </w:r>
      <w:r w:rsidR="004679EA" w:rsidRPr="004679EA">
        <w:rPr>
          <w:i/>
          <w:iCs/>
        </w:rPr>
        <w:t xml:space="preserve">, specifically </w:t>
      </w:r>
      <w:r w:rsidR="00FB6D4B">
        <w:rPr>
          <w:i/>
          <w:iCs/>
        </w:rPr>
        <w:t xml:space="preserve">the teaching of </w:t>
      </w:r>
      <w:r w:rsidR="004679EA" w:rsidRPr="004679EA">
        <w:rPr>
          <w:i/>
          <w:iCs/>
        </w:rPr>
        <w:t>cardinality</w:t>
      </w:r>
      <w:r w:rsidR="00FB6D4B">
        <w:rPr>
          <w:i/>
          <w:iCs/>
        </w:rPr>
        <w:t>. B</w:t>
      </w:r>
      <w:r w:rsidR="004679EA" w:rsidRPr="004679EA">
        <w:rPr>
          <w:i/>
          <w:iCs/>
        </w:rPr>
        <w:t>ased on an analysis of 73</w:t>
      </w:r>
      <w:r w:rsidR="004679EA">
        <w:rPr>
          <w:i/>
          <w:iCs/>
        </w:rPr>
        <w:t xml:space="preserve"> </w:t>
      </w:r>
      <w:r w:rsidR="004679EA" w:rsidRPr="004679EA">
        <w:rPr>
          <w:i/>
          <w:iCs/>
        </w:rPr>
        <w:t>video</w:t>
      </w:r>
      <w:r w:rsidR="004679EA">
        <w:rPr>
          <w:i/>
          <w:iCs/>
        </w:rPr>
        <w:t xml:space="preserve"> documentation </w:t>
      </w:r>
      <w:r w:rsidR="004679EA" w:rsidRPr="004679EA">
        <w:rPr>
          <w:i/>
          <w:iCs/>
        </w:rPr>
        <w:t>of activities</w:t>
      </w:r>
      <w:r w:rsidR="00FB6D4B">
        <w:rPr>
          <w:i/>
          <w:iCs/>
        </w:rPr>
        <w:t xml:space="preserve"> where preschool teachers </w:t>
      </w:r>
      <w:r w:rsidR="006A71CC">
        <w:rPr>
          <w:i/>
          <w:iCs/>
        </w:rPr>
        <w:t>try</w:t>
      </w:r>
      <w:r w:rsidR="00FB6D4B">
        <w:rPr>
          <w:i/>
          <w:iCs/>
        </w:rPr>
        <w:t xml:space="preserve"> to implement PRT, t</w:t>
      </w:r>
      <w:r w:rsidR="004679EA" w:rsidRPr="004679EA">
        <w:rPr>
          <w:i/>
          <w:iCs/>
        </w:rPr>
        <w:t xml:space="preserve">hree </w:t>
      </w:r>
      <w:r w:rsidR="00FB6D4B">
        <w:rPr>
          <w:i/>
          <w:iCs/>
        </w:rPr>
        <w:t>different</w:t>
      </w:r>
      <w:r w:rsidR="004679EA" w:rsidRPr="004679EA">
        <w:rPr>
          <w:i/>
          <w:iCs/>
        </w:rPr>
        <w:t xml:space="preserve"> </w:t>
      </w:r>
      <w:r w:rsidR="00707DDD">
        <w:rPr>
          <w:i/>
          <w:iCs/>
        </w:rPr>
        <w:t xml:space="preserve">categories of </w:t>
      </w:r>
      <w:r w:rsidR="004679EA" w:rsidRPr="004679EA">
        <w:rPr>
          <w:i/>
          <w:iCs/>
        </w:rPr>
        <w:t>sequences emerged</w:t>
      </w:r>
      <w:r w:rsidR="00FB6D4B">
        <w:rPr>
          <w:i/>
          <w:iCs/>
        </w:rPr>
        <w:t xml:space="preserve"> in the activities</w:t>
      </w:r>
      <w:r w:rsidR="004679EA" w:rsidRPr="004679EA">
        <w:rPr>
          <w:i/>
          <w:iCs/>
        </w:rPr>
        <w:t>: play, mathematic</w:t>
      </w:r>
      <w:r w:rsidR="00FB6D4B">
        <w:rPr>
          <w:i/>
          <w:iCs/>
        </w:rPr>
        <w:t>s</w:t>
      </w:r>
      <w:r w:rsidR="004679EA" w:rsidRPr="004679EA">
        <w:rPr>
          <w:i/>
          <w:iCs/>
        </w:rPr>
        <w:t xml:space="preserve"> </w:t>
      </w:r>
      <w:r w:rsidR="003D3EC0">
        <w:rPr>
          <w:i/>
          <w:iCs/>
        </w:rPr>
        <w:t>teaching</w:t>
      </w:r>
      <w:r w:rsidR="004679EA" w:rsidRPr="004679EA">
        <w:rPr>
          <w:i/>
          <w:iCs/>
        </w:rPr>
        <w:t>, and play-responsive mathematic</w:t>
      </w:r>
      <w:r w:rsidR="00FB6D4B">
        <w:rPr>
          <w:i/>
          <w:iCs/>
        </w:rPr>
        <w:t>s</w:t>
      </w:r>
      <w:r w:rsidR="004679EA" w:rsidRPr="004679EA">
        <w:rPr>
          <w:i/>
          <w:iCs/>
        </w:rPr>
        <w:t xml:space="preserve"> </w:t>
      </w:r>
      <w:r w:rsidR="004679EA" w:rsidRPr="00B25665">
        <w:rPr>
          <w:i/>
          <w:iCs/>
        </w:rPr>
        <w:t>teaching</w:t>
      </w:r>
      <w:r w:rsidR="004679EA" w:rsidRPr="003D3EC0">
        <w:rPr>
          <w:i/>
          <w:iCs/>
        </w:rPr>
        <w:t>.</w:t>
      </w:r>
      <w:r w:rsidR="004679EA" w:rsidRPr="004679EA">
        <w:rPr>
          <w:i/>
          <w:iCs/>
        </w:rPr>
        <w:t xml:space="preserve"> </w:t>
      </w:r>
      <w:r w:rsidRPr="00EC5CE9">
        <w:rPr>
          <w:i/>
          <w:iCs/>
        </w:rPr>
        <w:t>Each category varies in length, order, and extent in each activity.</w:t>
      </w:r>
      <w:r>
        <w:rPr>
          <w:i/>
          <w:iCs/>
        </w:rPr>
        <w:t xml:space="preserve"> </w:t>
      </w:r>
      <w:r w:rsidR="004679EA" w:rsidRPr="004679EA">
        <w:rPr>
          <w:i/>
          <w:iCs/>
        </w:rPr>
        <w:t>The interplay</w:t>
      </w:r>
      <w:r w:rsidR="008160DE">
        <w:rPr>
          <w:i/>
          <w:iCs/>
        </w:rPr>
        <w:t xml:space="preserve"> and combination</w:t>
      </w:r>
      <w:r w:rsidR="004679EA" w:rsidRPr="004679EA">
        <w:rPr>
          <w:i/>
          <w:iCs/>
        </w:rPr>
        <w:t xml:space="preserve"> of </w:t>
      </w:r>
      <w:r w:rsidR="008160DE">
        <w:rPr>
          <w:i/>
          <w:iCs/>
        </w:rPr>
        <w:t xml:space="preserve">how </w:t>
      </w:r>
      <w:r w:rsidR="004679EA" w:rsidRPr="004679EA">
        <w:rPr>
          <w:i/>
          <w:iCs/>
        </w:rPr>
        <w:t xml:space="preserve">these sequences </w:t>
      </w:r>
      <w:r w:rsidR="008160DE" w:rsidRPr="008160DE">
        <w:rPr>
          <w:i/>
          <w:iCs/>
        </w:rPr>
        <w:t>vary during the activit</w:t>
      </w:r>
      <w:r w:rsidR="00FB6D4B">
        <w:rPr>
          <w:i/>
          <w:iCs/>
        </w:rPr>
        <w:t>ies</w:t>
      </w:r>
      <w:r w:rsidR="008160DE" w:rsidRPr="008160DE">
        <w:rPr>
          <w:i/>
          <w:iCs/>
        </w:rPr>
        <w:t xml:space="preserve"> </w:t>
      </w:r>
      <w:r w:rsidR="00FB6D4B">
        <w:rPr>
          <w:i/>
          <w:iCs/>
        </w:rPr>
        <w:t>may</w:t>
      </w:r>
      <w:r w:rsidR="00FB6D4B" w:rsidRPr="003D3EC0">
        <w:rPr>
          <w:i/>
          <w:iCs/>
        </w:rPr>
        <w:t xml:space="preserve"> </w:t>
      </w:r>
      <w:r w:rsidR="003D3EC0" w:rsidRPr="003D3EC0">
        <w:rPr>
          <w:i/>
          <w:iCs/>
        </w:rPr>
        <w:t xml:space="preserve">be important </w:t>
      </w:r>
      <w:r w:rsidR="004679EA" w:rsidRPr="004679EA">
        <w:rPr>
          <w:i/>
          <w:iCs/>
        </w:rPr>
        <w:t xml:space="preserve">for </w:t>
      </w:r>
      <w:r w:rsidR="00FB6D4B">
        <w:rPr>
          <w:i/>
          <w:iCs/>
        </w:rPr>
        <w:t xml:space="preserve">the implementation </w:t>
      </w:r>
      <w:r w:rsidR="006A71CC">
        <w:rPr>
          <w:i/>
          <w:iCs/>
        </w:rPr>
        <w:t>of play-responsive</w:t>
      </w:r>
      <w:r w:rsidR="004679EA" w:rsidRPr="004679EA">
        <w:rPr>
          <w:i/>
          <w:iCs/>
        </w:rPr>
        <w:t xml:space="preserve"> </w:t>
      </w:r>
      <w:r w:rsidR="00FB6D4B">
        <w:rPr>
          <w:i/>
          <w:iCs/>
        </w:rPr>
        <w:t>mathematics teaching</w:t>
      </w:r>
      <w:r w:rsidR="00FB6D4B" w:rsidRPr="004679EA">
        <w:rPr>
          <w:i/>
          <w:iCs/>
        </w:rPr>
        <w:t xml:space="preserve"> </w:t>
      </w:r>
      <w:r w:rsidR="004679EA" w:rsidRPr="004679EA">
        <w:rPr>
          <w:i/>
          <w:iCs/>
        </w:rPr>
        <w:t>in preschool</w:t>
      </w:r>
      <w:r w:rsidR="00FB6D4B">
        <w:rPr>
          <w:i/>
          <w:iCs/>
        </w:rPr>
        <w:t>.</w:t>
      </w:r>
    </w:p>
    <w:p w14:paraId="124CF973" w14:textId="77777777" w:rsidR="00680A40" w:rsidRDefault="00680A40" w:rsidP="00680A40">
      <w:pPr>
        <w:pStyle w:val="Brdtext"/>
        <w:rPr>
          <w:lang w:val="en-US"/>
        </w:rPr>
      </w:pPr>
    </w:p>
    <w:p w14:paraId="73DC31CA" w14:textId="77777777" w:rsidR="00A01815" w:rsidRPr="00E61814" w:rsidRDefault="00A01815" w:rsidP="00A01815">
      <w:pPr>
        <w:ind w:firstLine="0"/>
        <w:rPr>
          <w:b/>
          <w:bCs/>
          <w:sz w:val="28"/>
        </w:rPr>
      </w:pPr>
      <w:r w:rsidRPr="00E61814">
        <w:rPr>
          <w:b/>
          <w:bCs/>
          <w:sz w:val="28"/>
        </w:rPr>
        <w:t>Introduction</w:t>
      </w:r>
    </w:p>
    <w:p w14:paraId="10C1E7BE" w14:textId="57D107AB" w:rsidR="00B7183A" w:rsidRPr="00E61814" w:rsidRDefault="00663B90" w:rsidP="008730C2">
      <w:pPr>
        <w:ind w:firstLine="0"/>
        <w:rPr>
          <w:lang w:val="en-US"/>
        </w:rPr>
      </w:pPr>
      <w:r w:rsidRPr="00663B90">
        <w:t xml:space="preserve">Early mathematics influences later </w:t>
      </w:r>
      <w:r w:rsidRPr="002363B8">
        <w:t>academic performance</w:t>
      </w:r>
      <w:r w:rsidR="001C5802" w:rsidRPr="002363B8">
        <w:t xml:space="preserve"> where studies focused on relations between early mathematics teaching and young </w:t>
      </w:r>
      <w:r w:rsidR="006A71CC" w:rsidRPr="002363B8">
        <w:t>children</w:t>
      </w:r>
      <w:r w:rsidR="00402B0B">
        <w:rPr>
          <w:color w:val="000000"/>
          <w:szCs w:val="26"/>
          <w:lang w:eastAsia="sv-SE"/>
        </w:rPr>
        <w:t>’</w:t>
      </w:r>
      <w:r w:rsidR="002363B8" w:rsidRPr="002363B8">
        <w:rPr>
          <w:color w:val="000000"/>
          <w:szCs w:val="26"/>
          <w:lang w:eastAsia="sv-SE"/>
        </w:rPr>
        <w:t>s</w:t>
      </w:r>
      <w:r w:rsidR="001C5802" w:rsidRPr="002363B8">
        <w:t xml:space="preserve"> lea</w:t>
      </w:r>
      <w:r w:rsidR="001C5802">
        <w:t>rning are needed</w:t>
      </w:r>
      <w:r w:rsidR="007E7E3D" w:rsidRPr="007E7E3D">
        <w:t xml:space="preserve"> </w:t>
      </w:r>
      <w:r w:rsidRPr="00663B90">
        <w:t>(Björklund &amp; Palmér, 2019).</w:t>
      </w:r>
      <w:r w:rsidR="009D3B9B">
        <w:t xml:space="preserve"> </w:t>
      </w:r>
      <w:r w:rsidRPr="00663B90">
        <w:t xml:space="preserve">This study explores </w:t>
      </w:r>
      <w:r w:rsidR="001C5802">
        <w:t>play-responsive teaching (</w:t>
      </w:r>
      <w:r w:rsidRPr="00663B90">
        <w:t>PRT</w:t>
      </w:r>
      <w:r w:rsidR="001C5802">
        <w:t>)</w:t>
      </w:r>
      <w:r w:rsidRPr="00663B90">
        <w:t xml:space="preserve"> in Swedish preschools, focusing on early numeracy </w:t>
      </w:r>
      <w:r w:rsidR="008577BD">
        <w:t xml:space="preserve">with </w:t>
      </w:r>
      <w:r w:rsidR="008577BD" w:rsidRPr="00E61814">
        <w:t xml:space="preserve">a </w:t>
      </w:r>
      <w:r w:rsidR="002363B8" w:rsidRPr="00E61814">
        <w:t>special</w:t>
      </w:r>
      <w:r w:rsidR="008577BD" w:rsidRPr="00E61814">
        <w:t xml:space="preserve"> focus on</w:t>
      </w:r>
      <w:r w:rsidRPr="00E61814">
        <w:t xml:space="preserve"> cardinality. </w:t>
      </w:r>
      <w:r w:rsidR="00EC5CE9" w:rsidRPr="00E61814">
        <w:rPr>
          <w:lang w:val="en-US"/>
        </w:rPr>
        <w:t>Cardinality is a key concept to master early on, as it relates the patterns in counting, numbers, and arithmetic (Paliwal &amp; Baroody, 2020).</w:t>
      </w:r>
      <w:r w:rsidR="00EC5CE9">
        <w:rPr>
          <w:lang w:val="en-US"/>
        </w:rPr>
        <w:t xml:space="preserve"> </w:t>
      </w:r>
      <w:r w:rsidRPr="00663B90">
        <w:t xml:space="preserve">The research question </w:t>
      </w:r>
      <w:r w:rsidR="00E054D5">
        <w:t xml:space="preserve">focused on </w:t>
      </w:r>
      <w:r w:rsidRPr="00663B90">
        <w:t xml:space="preserve">in this </w:t>
      </w:r>
      <w:r w:rsidR="00E054D5">
        <w:t>paper</w:t>
      </w:r>
      <w:r w:rsidRPr="00663B90">
        <w:t xml:space="preserve"> is: What </w:t>
      </w:r>
      <w:r w:rsidR="006A71CC">
        <w:t>characterises</w:t>
      </w:r>
      <w:r w:rsidRPr="00663B90">
        <w:t xml:space="preserve"> the activities when teachers intend to implement play-responsive teaching with a focus on cardinality?</w:t>
      </w:r>
    </w:p>
    <w:p w14:paraId="33668BEC" w14:textId="77777777" w:rsidR="00C97C01" w:rsidRDefault="00C97C01" w:rsidP="00B7183A"/>
    <w:p w14:paraId="2C46D382" w14:textId="77777777" w:rsidR="00C97C01" w:rsidRPr="00C97C01" w:rsidRDefault="00C97C01" w:rsidP="00C97C01">
      <w:pPr>
        <w:ind w:firstLine="0"/>
        <w:rPr>
          <w:b/>
          <w:bCs/>
        </w:rPr>
      </w:pPr>
      <w:r w:rsidRPr="00C97C01">
        <w:rPr>
          <w:b/>
          <w:bCs/>
        </w:rPr>
        <w:t xml:space="preserve">Play-Responsive Teaching (PRT) </w:t>
      </w:r>
    </w:p>
    <w:p w14:paraId="20F1C472" w14:textId="4117B454" w:rsidR="0043727A" w:rsidRPr="002D002E" w:rsidRDefault="00C97C01" w:rsidP="008730C2">
      <w:pPr>
        <w:ind w:firstLine="0"/>
      </w:pPr>
      <w:r w:rsidRPr="00C97C01">
        <w:t>PRT is a theoretical and didactic theory that promotes play, teaching, and learning (Pramling et al., 201</w:t>
      </w:r>
      <w:r w:rsidR="001A0720">
        <w:t>9</w:t>
      </w:r>
      <w:r w:rsidRPr="00C97C01">
        <w:t xml:space="preserve">). In PRT, teaching is seen as a collaborative project between teachers and students, where both contribute to the content and structure of the activity. </w:t>
      </w:r>
      <w:r w:rsidR="006A71CC">
        <w:t xml:space="preserve">It is important to organise play and activities within PRT </w:t>
      </w:r>
      <w:r w:rsidR="00994D75" w:rsidRPr="00994D75">
        <w:t xml:space="preserve">without turning play into non-play. Play is characterised as a shift between, </w:t>
      </w:r>
      <w:r w:rsidR="00994D75" w:rsidRPr="00994D75">
        <w:rPr>
          <w:i/>
          <w:iCs/>
        </w:rPr>
        <w:t>as if</w:t>
      </w:r>
      <w:r w:rsidR="00994D75" w:rsidRPr="00994D75">
        <w:t xml:space="preserve"> and, </w:t>
      </w:r>
      <w:r w:rsidR="00994D75" w:rsidRPr="00994D75">
        <w:rPr>
          <w:i/>
          <w:iCs/>
        </w:rPr>
        <w:t>as is</w:t>
      </w:r>
      <w:r w:rsidR="00994D75" w:rsidRPr="00994D75">
        <w:t>. Through as if (fantasy) and as is (reality), the children can move between reality and fantasy and, in this way, develop understanding in real life and in play.</w:t>
      </w:r>
      <w:r w:rsidR="00994D75">
        <w:t xml:space="preserve"> </w:t>
      </w:r>
      <w:r w:rsidR="00E054D5">
        <w:t>Also</w:t>
      </w:r>
      <w:r w:rsidR="006A71CC">
        <w:t>,</w:t>
      </w:r>
      <w:r w:rsidR="00E054D5">
        <w:t xml:space="preserve"> </w:t>
      </w:r>
      <w:r w:rsidR="00E054D5">
        <w:rPr>
          <w:i/>
          <w:iCs/>
        </w:rPr>
        <w:t>r</w:t>
      </w:r>
      <w:r w:rsidRPr="00B25665">
        <w:rPr>
          <w:i/>
          <w:iCs/>
        </w:rPr>
        <w:t>esponsiveness</w:t>
      </w:r>
      <w:r w:rsidRPr="00C97C01">
        <w:t xml:space="preserve"> is central and means that teaching has an educational goal that the teacher adapts based on the children's responses. PRT </w:t>
      </w:r>
      <w:r w:rsidR="006A71CC">
        <w:t>emphasises</w:t>
      </w:r>
      <w:r w:rsidRPr="00C97C01">
        <w:t xml:space="preserve"> double responsiveness, where the teacher responds to the children's reactions and takes appropriate actions.</w:t>
      </w:r>
      <w:r w:rsidR="00F36192">
        <w:t xml:space="preserve"> </w:t>
      </w:r>
      <w:r w:rsidR="00E66F02">
        <w:t>T</w:t>
      </w:r>
      <w:r w:rsidRPr="00C97C01">
        <w:t xml:space="preserve">eaching also requires participants to achieve </w:t>
      </w:r>
      <w:r w:rsidRPr="00B25665">
        <w:rPr>
          <w:i/>
          <w:iCs/>
        </w:rPr>
        <w:t>intersubjectivity</w:t>
      </w:r>
      <w:r w:rsidRPr="00C97C01">
        <w:t>, which means they adjust their perspectives to create a shared understanding of the activity</w:t>
      </w:r>
      <w:r w:rsidR="006A71CC">
        <w:t>,</w:t>
      </w:r>
      <w:r w:rsidR="00E054D5">
        <w:t xml:space="preserve"> which is an </w:t>
      </w:r>
      <w:r w:rsidRPr="00C97C01">
        <w:t xml:space="preserve">ongoing process. </w:t>
      </w:r>
      <w:r w:rsidRPr="00B25665">
        <w:rPr>
          <w:i/>
          <w:iCs/>
        </w:rPr>
        <w:t>Alterity</w:t>
      </w:r>
      <w:r w:rsidRPr="00C97C01">
        <w:t xml:space="preserve"> </w:t>
      </w:r>
      <w:r w:rsidR="006A71CC">
        <w:t xml:space="preserve">is </w:t>
      </w:r>
      <w:r w:rsidR="006A71CC" w:rsidRPr="00E61814">
        <w:t>crucial</w:t>
      </w:r>
      <w:r w:rsidRPr="00E61814">
        <w:t xml:space="preserve"> </w:t>
      </w:r>
      <w:r w:rsidR="002363B8" w:rsidRPr="00E61814">
        <w:t xml:space="preserve">in </w:t>
      </w:r>
      <w:r w:rsidRPr="00E61814">
        <w:t xml:space="preserve">PRT, referring to new directions and insights that arise when participants </w:t>
      </w:r>
      <w:r w:rsidR="00E054D5" w:rsidRPr="00E61814">
        <w:t xml:space="preserve">offer new or </w:t>
      </w:r>
      <w:r w:rsidRPr="00E61814">
        <w:lastRenderedPageBreak/>
        <w:t xml:space="preserve">different perspectives. </w:t>
      </w:r>
      <w:r w:rsidR="00707DDD" w:rsidRPr="00E61814">
        <w:t>Thus,</w:t>
      </w:r>
      <w:r w:rsidR="00E054D5" w:rsidRPr="00E61814">
        <w:t xml:space="preserve"> alterity </w:t>
      </w:r>
      <w:r w:rsidR="00707DDD" w:rsidRPr="00E61814">
        <w:t xml:space="preserve">makes </w:t>
      </w:r>
      <w:r w:rsidR="006A71CC" w:rsidRPr="00E61814">
        <w:t xml:space="preserve">it </w:t>
      </w:r>
      <w:r w:rsidR="00707DDD" w:rsidRPr="00E61814">
        <w:t>possible to</w:t>
      </w:r>
      <w:r w:rsidR="00E054D5" w:rsidRPr="00E61814">
        <w:t xml:space="preserve"> </w:t>
      </w:r>
      <w:r w:rsidR="00707DDD" w:rsidRPr="00E61814">
        <w:t xml:space="preserve">expand and challenge </w:t>
      </w:r>
      <w:r w:rsidR="00E054D5" w:rsidRPr="00E61814">
        <w:t xml:space="preserve">experiences </w:t>
      </w:r>
      <w:r w:rsidR="00707DDD" w:rsidRPr="00E61814">
        <w:t>and thus</w:t>
      </w:r>
      <w:r w:rsidR="00E054D5" w:rsidRPr="00E61814">
        <w:t xml:space="preserve"> must</w:t>
      </w:r>
      <w:r w:rsidR="002363B8" w:rsidRPr="00E61814">
        <w:t xml:space="preserve"> be</w:t>
      </w:r>
      <w:r w:rsidR="00E054D5" w:rsidRPr="00E61814">
        <w:t xml:space="preserve"> </w:t>
      </w:r>
      <w:r w:rsidR="00707DDD" w:rsidRPr="00E61814">
        <w:t xml:space="preserve">understood in relation </w:t>
      </w:r>
      <w:r w:rsidR="006A71CC" w:rsidRPr="00E61814">
        <w:t>to</w:t>
      </w:r>
      <w:r w:rsidR="00707DDD" w:rsidRPr="00E61814">
        <w:t xml:space="preserve"> the double responsiveness.</w:t>
      </w:r>
    </w:p>
    <w:p w14:paraId="093C734E" w14:textId="112626E0" w:rsidR="00CE6A6A" w:rsidRPr="009C331D" w:rsidRDefault="00CE6A6A" w:rsidP="00CE6A6A">
      <w:pPr>
        <w:pStyle w:val="Endnote"/>
      </w:pPr>
    </w:p>
    <w:p w14:paraId="597C68A7" w14:textId="77777777" w:rsidR="007F533D" w:rsidRPr="007F533D" w:rsidRDefault="007F533D" w:rsidP="00CE6A6A">
      <w:pPr>
        <w:pStyle w:val="Endnote"/>
        <w:rPr>
          <w:b/>
          <w:bCs/>
          <w:sz w:val="26"/>
          <w:szCs w:val="26"/>
        </w:rPr>
      </w:pPr>
      <w:r w:rsidRPr="007F533D">
        <w:rPr>
          <w:b/>
          <w:bCs/>
          <w:sz w:val="26"/>
          <w:szCs w:val="26"/>
        </w:rPr>
        <w:t xml:space="preserve">Method </w:t>
      </w:r>
    </w:p>
    <w:p w14:paraId="0209DAED" w14:textId="5AA5FFBB" w:rsidR="007F533D" w:rsidRPr="00B25665" w:rsidRDefault="007F533D" w:rsidP="008730C2">
      <w:pPr>
        <w:pStyle w:val="Endnote"/>
        <w:rPr>
          <w:sz w:val="26"/>
          <w:szCs w:val="26"/>
          <w:lang w:val="en-US"/>
        </w:rPr>
      </w:pPr>
      <w:r w:rsidRPr="007F533D">
        <w:rPr>
          <w:sz w:val="26"/>
          <w:szCs w:val="26"/>
        </w:rPr>
        <w:t xml:space="preserve">This educational design research involved one researcher and three teachers, selected based on their prior participation in </w:t>
      </w:r>
      <w:r w:rsidRPr="00994D75">
        <w:rPr>
          <w:sz w:val="26"/>
          <w:szCs w:val="26"/>
        </w:rPr>
        <w:t xml:space="preserve">a </w:t>
      </w:r>
      <w:r w:rsidR="00994D75" w:rsidRPr="00B25665">
        <w:rPr>
          <w:sz w:val="26"/>
          <w:szCs w:val="26"/>
        </w:rPr>
        <w:t>study on early numeracy</w:t>
      </w:r>
      <w:r w:rsidRPr="007F533D">
        <w:rPr>
          <w:sz w:val="26"/>
          <w:szCs w:val="26"/>
        </w:rPr>
        <w:t>. The teachers attended lectures, workshops, and read article</w:t>
      </w:r>
      <w:r w:rsidR="006F418B">
        <w:rPr>
          <w:sz w:val="26"/>
          <w:szCs w:val="26"/>
        </w:rPr>
        <w:t>s on PRT</w:t>
      </w:r>
      <w:r w:rsidRPr="007F533D">
        <w:rPr>
          <w:sz w:val="26"/>
          <w:szCs w:val="26"/>
        </w:rPr>
        <w:t xml:space="preserve">. </w:t>
      </w:r>
      <w:r w:rsidR="00685005">
        <w:rPr>
          <w:sz w:val="26"/>
          <w:szCs w:val="26"/>
        </w:rPr>
        <w:t xml:space="preserve">The teachers and the researcher jointly planned the study activities to be implemented in preschools </w:t>
      </w:r>
      <w:r w:rsidR="00634BD1" w:rsidRPr="00B25665">
        <w:rPr>
          <w:sz w:val="26"/>
          <w:szCs w:val="26"/>
          <w:lang w:val="en-US"/>
        </w:rPr>
        <w:t xml:space="preserve">based on </w:t>
      </w:r>
      <w:r w:rsidR="00707DDD">
        <w:rPr>
          <w:sz w:val="26"/>
          <w:szCs w:val="26"/>
          <w:lang w:val="en-US"/>
        </w:rPr>
        <w:t xml:space="preserve">previous research on </w:t>
      </w:r>
      <w:r w:rsidR="00634BD1" w:rsidRPr="00B25665">
        <w:rPr>
          <w:sz w:val="26"/>
          <w:szCs w:val="26"/>
          <w:lang w:val="en-US"/>
        </w:rPr>
        <w:t>cardinality and PRT</w:t>
      </w:r>
      <w:r w:rsidR="00634BD1">
        <w:rPr>
          <w:sz w:val="26"/>
          <w:szCs w:val="26"/>
          <w:lang w:val="en-US"/>
        </w:rPr>
        <w:t xml:space="preserve">. </w:t>
      </w:r>
      <w:r w:rsidRPr="007F533D">
        <w:rPr>
          <w:sz w:val="26"/>
          <w:szCs w:val="26"/>
        </w:rPr>
        <w:t xml:space="preserve">Each activity evolved through cycles and was adjusted based on </w:t>
      </w:r>
      <w:r w:rsidR="00707DDD">
        <w:rPr>
          <w:sz w:val="26"/>
          <w:szCs w:val="26"/>
        </w:rPr>
        <w:t>joint evaluations</w:t>
      </w:r>
      <w:r w:rsidRPr="007F533D">
        <w:rPr>
          <w:sz w:val="26"/>
          <w:szCs w:val="26"/>
        </w:rPr>
        <w:t xml:space="preserve">. Content analysis (Hsieh &amp; Shannon, 2005) was </w:t>
      </w:r>
      <w:r w:rsidR="0043727A">
        <w:rPr>
          <w:sz w:val="26"/>
          <w:szCs w:val="26"/>
        </w:rPr>
        <w:t>used to analyse</w:t>
      </w:r>
      <w:r w:rsidR="00707DDD">
        <w:rPr>
          <w:sz w:val="26"/>
          <w:szCs w:val="26"/>
        </w:rPr>
        <w:t xml:space="preserve"> 73 video documentations of</w:t>
      </w:r>
      <w:r w:rsidR="0043727A">
        <w:rPr>
          <w:sz w:val="26"/>
          <w:szCs w:val="26"/>
        </w:rPr>
        <w:t xml:space="preserve"> the activities. </w:t>
      </w:r>
      <w:r w:rsidR="0043727A" w:rsidRPr="00B25665">
        <w:rPr>
          <w:sz w:val="26"/>
          <w:szCs w:val="26"/>
          <w:lang w:val="en-US"/>
        </w:rPr>
        <w:t xml:space="preserve">The </w:t>
      </w:r>
      <w:r w:rsidR="009A20BF" w:rsidRPr="00B25665">
        <w:rPr>
          <w:sz w:val="26"/>
          <w:szCs w:val="26"/>
          <w:lang w:val="en-US"/>
        </w:rPr>
        <w:t xml:space="preserve">concepts </w:t>
      </w:r>
      <w:r w:rsidRPr="007F533D">
        <w:rPr>
          <w:sz w:val="26"/>
          <w:szCs w:val="26"/>
        </w:rPr>
        <w:t xml:space="preserve">as if and as is, responsiveness, alterity, and intersubjectivity </w:t>
      </w:r>
      <w:r w:rsidR="00685005">
        <w:rPr>
          <w:sz w:val="26"/>
          <w:szCs w:val="26"/>
        </w:rPr>
        <w:t>were</w:t>
      </w:r>
      <w:r w:rsidR="0043727A">
        <w:rPr>
          <w:sz w:val="26"/>
          <w:szCs w:val="26"/>
        </w:rPr>
        <w:t xml:space="preserve"> used </w:t>
      </w:r>
      <w:r w:rsidRPr="007F533D">
        <w:rPr>
          <w:sz w:val="26"/>
          <w:szCs w:val="26"/>
        </w:rPr>
        <w:t>as codes</w:t>
      </w:r>
      <w:r w:rsidR="00707DDD">
        <w:rPr>
          <w:sz w:val="26"/>
          <w:szCs w:val="26"/>
        </w:rPr>
        <w:t xml:space="preserve"> from PRT</w:t>
      </w:r>
      <w:r w:rsidRPr="007F533D">
        <w:rPr>
          <w:sz w:val="26"/>
          <w:szCs w:val="26"/>
        </w:rPr>
        <w:t xml:space="preserve">. Additionally, </w:t>
      </w:r>
      <w:r w:rsidR="00707DDD">
        <w:rPr>
          <w:sz w:val="26"/>
          <w:szCs w:val="26"/>
        </w:rPr>
        <w:t xml:space="preserve">the </w:t>
      </w:r>
      <w:r w:rsidRPr="007F533D">
        <w:rPr>
          <w:sz w:val="26"/>
          <w:szCs w:val="26"/>
        </w:rPr>
        <w:t xml:space="preserve">codes numerical identification, quantity, ordinality, subitising, numeral words, finger patterns, one-to-one correspondence, and body language were used </w:t>
      </w:r>
      <w:r w:rsidR="00707DDD">
        <w:rPr>
          <w:sz w:val="26"/>
          <w:szCs w:val="26"/>
        </w:rPr>
        <w:t>as codes regarding cardinality</w:t>
      </w:r>
      <w:r w:rsidRPr="007F533D">
        <w:rPr>
          <w:sz w:val="26"/>
          <w:szCs w:val="26"/>
        </w:rPr>
        <w:t xml:space="preserve">. </w:t>
      </w:r>
    </w:p>
    <w:p w14:paraId="13EE850B" w14:textId="77777777" w:rsidR="001A0720" w:rsidRDefault="001A0720" w:rsidP="00CE6A6A">
      <w:pPr>
        <w:pStyle w:val="Endnote"/>
        <w:rPr>
          <w:sz w:val="26"/>
          <w:szCs w:val="26"/>
        </w:rPr>
      </w:pPr>
    </w:p>
    <w:p w14:paraId="2A675934" w14:textId="1DA54C96" w:rsidR="001A0720" w:rsidRPr="001A0720" w:rsidRDefault="00D078F2" w:rsidP="00CE6A6A">
      <w:pPr>
        <w:pStyle w:val="Endnot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Result</w:t>
      </w:r>
      <w:r w:rsidR="009D3B9B">
        <w:rPr>
          <w:b/>
          <w:bCs/>
          <w:sz w:val="26"/>
          <w:szCs w:val="26"/>
        </w:rPr>
        <w:t>s</w:t>
      </w:r>
    </w:p>
    <w:p w14:paraId="09957A8C" w14:textId="53E56B82" w:rsidR="001A0720" w:rsidRPr="007F533D" w:rsidRDefault="00707DDD" w:rsidP="00352A53">
      <w:pPr>
        <w:pStyle w:val="Endnote"/>
        <w:rPr>
          <w:sz w:val="26"/>
          <w:szCs w:val="26"/>
          <w:lang w:val="en-US"/>
        </w:rPr>
      </w:pPr>
      <w:r w:rsidRPr="007F533D">
        <w:rPr>
          <w:sz w:val="26"/>
          <w:szCs w:val="26"/>
        </w:rPr>
        <w:t xml:space="preserve">Three </w:t>
      </w:r>
      <w:r w:rsidRPr="00E84B90">
        <w:rPr>
          <w:sz w:val="26"/>
          <w:szCs w:val="26"/>
        </w:rPr>
        <w:t>categories of sequences emerged in the activities</w:t>
      </w:r>
      <w:r w:rsidRPr="007F533D">
        <w:rPr>
          <w:sz w:val="26"/>
          <w:szCs w:val="26"/>
        </w:rPr>
        <w:t xml:space="preserve">: play, mathematical teaching, and play-responsive mathematics teaching. </w:t>
      </w:r>
      <w:r>
        <w:rPr>
          <w:sz w:val="26"/>
          <w:szCs w:val="26"/>
        </w:rPr>
        <w:t>E</w:t>
      </w:r>
      <w:r w:rsidR="001A0720" w:rsidRPr="009D3B9B">
        <w:rPr>
          <w:sz w:val="26"/>
          <w:szCs w:val="26"/>
        </w:rPr>
        <w:t xml:space="preserve">ach category </w:t>
      </w:r>
      <w:r w:rsidR="00685005">
        <w:rPr>
          <w:sz w:val="26"/>
          <w:szCs w:val="26"/>
        </w:rPr>
        <w:t>varies</w:t>
      </w:r>
      <w:r w:rsidR="001A0720" w:rsidRPr="009D3B9B">
        <w:rPr>
          <w:sz w:val="26"/>
          <w:szCs w:val="26"/>
        </w:rPr>
        <w:t xml:space="preserve"> in length, order, and extent</w:t>
      </w:r>
      <w:r>
        <w:rPr>
          <w:sz w:val="26"/>
          <w:szCs w:val="26"/>
        </w:rPr>
        <w:t xml:space="preserve"> in each activity.</w:t>
      </w:r>
      <w:r w:rsidR="009D3B9B" w:rsidRPr="00B25665">
        <w:rPr>
          <w:rFonts w:asciiTheme="minorHAnsi" w:eastAsiaTheme="minorHAnsi" w:hAnsiTheme="minorHAnsi" w:cstheme="minorBidi"/>
          <w:kern w:val="2"/>
          <w:sz w:val="26"/>
          <w:szCs w:val="26"/>
          <w:lang w:val="en-US"/>
          <w14:ligatures w14:val="standardContextual"/>
        </w:rPr>
        <w:t xml:space="preserve"> </w:t>
      </w:r>
      <w:r w:rsidR="00D26643">
        <w:rPr>
          <w:sz w:val="26"/>
          <w:szCs w:val="26"/>
          <w:lang w:val="en-US"/>
        </w:rPr>
        <w:t>In t</w:t>
      </w:r>
      <w:r w:rsidR="009D3B9B" w:rsidRPr="00B25665">
        <w:rPr>
          <w:sz w:val="26"/>
          <w:szCs w:val="26"/>
          <w:lang w:val="en-US"/>
        </w:rPr>
        <w:t>he</w:t>
      </w:r>
      <w:r w:rsidR="009D3B9B" w:rsidRPr="00707DDD">
        <w:rPr>
          <w:sz w:val="26"/>
          <w:szCs w:val="26"/>
          <w:lang w:val="en-US"/>
        </w:rPr>
        <w:t xml:space="preserve"> </w:t>
      </w:r>
      <w:r w:rsidRPr="009C331D">
        <w:rPr>
          <w:sz w:val="26"/>
          <w:szCs w:val="26"/>
          <w:lang w:val="en-US"/>
        </w:rPr>
        <w:t>category</w:t>
      </w:r>
      <w:r w:rsidRPr="00B25665">
        <w:rPr>
          <w:i/>
          <w:iCs/>
          <w:sz w:val="26"/>
          <w:szCs w:val="26"/>
          <w:lang w:val="en-US"/>
        </w:rPr>
        <w:t xml:space="preserve"> </w:t>
      </w:r>
      <w:r w:rsidR="009D3B9B" w:rsidRPr="00B25665">
        <w:rPr>
          <w:i/>
          <w:iCs/>
          <w:sz w:val="26"/>
          <w:szCs w:val="26"/>
          <w:lang w:val="en-US"/>
        </w:rPr>
        <w:t>play</w:t>
      </w:r>
      <w:r w:rsidR="00352A53">
        <w:rPr>
          <w:i/>
          <w:iCs/>
          <w:sz w:val="26"/>
          <w:szCs w:val="26"/>
          <w:lang w:val="en-US"/>
        </w:rPr>
        <w:t>,</w:t>
      </w:r>
      <w:r w:rsidR="009D3B9B" w:rsidRPr="00B25665">
        <w:rPr>
          <w:i/>
          <w:iCs/>
          <w:sz w:val="26"/>
          <w:szCs w:val="26"/>
          <w:lang w:val="en-US"/>
        </w:rPr>
        <w:t xml:space="preserve"> </w:t>
      </w:r>
      <w:r w:rsidR="009D3B9B" w:rsidRPr="00B25665">
        <w:rPr>
          <w:sz w:val="26"/>
          <w:szCs w:val="26"/>
          <w:lang w:val="en-US"/>
        </w:rPr>
        <w:t xml:space="preserve">cardinality </w:t>
      </w:r>
      <w:r w:rsidR="00352A53">
        <w:rPr>
          <w:sz w:val="26"/>
          <w:szCs w:val="26"/>
          <w:lang w:val="en-US"/>
        </w:rPr>
        <w:t xml:space="preserve">is </w:t>
      </w:r>
      <w:r w:rsidR="00D26643">
        <w:rPr>
          <w:sz w:val="26"/>
          <w:szCs w:val="26"/>
          <w:lang w:val="en-US"/>
        </w:rPr>
        <w:t>seldom</w:t>
      </w:r>
      <w:r w:rsidR="009D3B9B" w:rsidRPr="00B25665">
        <w:rPr>
          <w:sz w:val="26"/>
          <w:szCs w:val="26"/>
          <w:lang w:val="en-US"/>
        </w:rPr>
        <w:t xml:space="preserve"> focus</w:t>
      </w:r>
      <w:r w:rsidR="00D26643">
        <w:rPr>
          <w:sz w:val="26"/>
          <w:szCs w:val="26"/>
          <w:lang w:val="en-US"/>
        </w:rPr>
        <w:t>ed on</w:t>
      </w:r>
      <w:r w:rsidR="009D3B9B" w:rsidRPr="00B25665">
        <w:rPr>
          <w:sz w:val="26"/>
          <w:szCs w:val="26"/>
          <w:lang w:val="en-US"/>
        </w:rPr>
        <w:t>. In the</w:t>
      </w:r>
      <w:r w:rsidR="00D26643">
        <w:rPr>
          <w:sz w:val="26"/>
          <w:szCs w:val="26"/>
          <w:lang w:val="en-US"/>
        </w:rPr>
        <w:t xml:space="preserve"> category</w:t>
      </w:r>
      <w:r w:rsidR="009D3B9B" w:rsidRPr="00B25665">
        <w:rPr>
          <w:sz w:val="26"/>
          <w:szCs w:val="26"/>
          <w:lang w:val="en-US"/>
        </w:rPr>
        <w:t xml:space="preserve"> </w:t>
      </w:r>
      <w:r w:rsidR="009D3B9B" w:rsidRPr="00B25665">
        <w:rPr>
          <w:i/>
          <w:iCs/>
          <w:sz w:val="26"/>
          <w:szCs w:val="26"/>
          <w:lang w:val="en-US"/>
        </w:rPr>
        <w:t>mathematics teaching</w:t>
      </w:r>
      <w:r w:rsidR="009D3B9B" w:rsidRPr="00B25665">
        <w:rPr>
          <w:sz w:val="26"/>
          <w:szCs w:val="26"/>
          <w:lang w:val="en-US"/>
        </w:rPr>
        <w:t xml:space="preserve">, </w:t>
      </w:r>
      <w:r w:rsidR="00D26643">
        <w:rPr>
          <w:sz w:val="26"/>
          <w:szCs w:val="26"/>
          <w:lang w:val="en-US"/>
        </w:rPr>
        <w:t>the sequences</w:t>
      </w:r>
      <w:r w:rsidR="00D26643" w:rsidRPr="00B25665">
        <w:rPr>
          <w:sz w:val="26"/>
          <w:szCs w:val="26"/>
          <w:lang w:val="en-US"/>
        </w:rPr>
        <w:t xml:space="preserve"> </w:t>
      </w:r>
      <w:r w:rsidR="009D3B9B" w:rsidRPr="00B25665">
        <w:rPr>
          <w:sz w:val="26"/>
          <w:szCs w:val="26"/>
          <w:lang w:val="en-US"/>
        </w:rPr>
        <w:t xml:space="preserve">meet </w:t>
      </w:r>
      <w:r w:rsidR="00D26643">
        <w:rPr>
          <w:sz w:val="26"/>
          <w:szCs w:val="26"/>
          <w:lang w:val="en-US"/>
        </w:rPr>
        <w:t>a</w:t>
      </w:r>
      <w:r w:rsidR="00D26643" w:rsidRPr="00B25665">
        <w:rPr>
          <w:sz w:val="26"/>
          <w:szCs w:val="26"/>
          <w:lang w:val="en-US"/>
        </w:rPr>
        <w:t xml:space="preserve"> </w:t>
      </w:r>
      <w:r w:rsidR="00352A53" w:rsidRPr="00B25665">
        <w:rPr>
          <w:sz w:val="26"/>
          <w:szCs w:val="26"/>
          <w:lang w:val="en-US"/>
        </w:rPr>
        <w:t>specific mathematical need of a child</w:t>
      </w:r>
      <w:r w:rsidR="00D26643">
        <w:rPr>
          <w:sz w:val="26"/>
          <w:szCs w:val="26"/>
          <w:lang w:val="en-US"/>
        </w:rPr>
        <w:t xml:space="preserve"> but not as part of the play.</w:t>
      </w:r>
      <w:r w:rsidR="00352A53">
        <w:rPr>
          <w:sz w:val="26"/>
          <w:szCs w:val="26"/>
          <w:lang w:val="en-US"/>
        </w:rPr>
        <w:t xml:space="preserve"> </w:t>
      </w:r>
      <w:r w:rsidR="009D3B9B" w:rsidRPr="00B25665">
        <w:rPr>
          <w:sz w:val="26"/>
          <w:szCs w:val="26"/>
          <w:lang w:val="en-US"/>
        </w:rPr>
        <w:t>In the</w:t>
      </w:r>
      <w:r w:rsidR="00D26643">
        <w:rPr>
          <w:sz w:val="26"/>
          <w:szCs w:val="26"/>
          <w:lang w:val="en-US"/>
        </w:rPr>
        <w:t xml:space="preserve"> category</w:t>
      </w:r>
      <w:r w:rsidR="009D3B9B" w:rsidRPr="00B25665">
        <w:rPr>
          <w:sz w:val="26"/>
          <w:szCs w:val="26"/>
          <w:lang w:val="en-US"/>
        </w:rPr>
        <w:t xml:space="preserve"> </w:t>
      </w:r>
      <w:r w:rsidR="00EC5CE9">
        <w:rPr>
          <w:i/>
          <w:iCs/>
          <w:sz w:val="26"/>
          <w:szCs w:val="26"/>
          <w:lang w:val="en-US"/>
        </w:rPr>
        <w:t xml:space="preserve"> play-responsive mathematics teaching, narratives are most often used to merge play and mathematics education,</w:t>
      </w:r>
      <w:r w:rsidR="00D26643">
        <w:rPr>
          <w:sz w:val="26"/>
          <w:szCs w:val="26"/>
          <w:lang w:val="en-US"/>
        </w:rPr>
        <w:t xml:space="preserve"> where t</w:t>
      </w:r>
      <w:r w:rsidR="009D3B9B" w:rsidRPr="00B25665">
        <w:rPr>
          <w:sz w:val="26"/>
          <w:szCs w:val="26"/>
          <w:lang w:val="en-US"/>
        </w:rPr>
        <w:t>he teacher seamlessly incorporates mathematical elements into play</w:t>
      </w:r>
      <w:r w:rsidR="00D26643">
        <w:rPr>
          <w:sz w:val="26"/>
          <w:szCs w:val="26"/>
          <w:lang w:val="en-US"/>
        </w:rPr>
        <w:t xml:space="preserve">. </w:t>
      </w:r>
    </w:p>
    <w:p w14:paraId="505060F8" w14:textId="36A4D925" w:rsidR="00565697" w:rsidRPr="00565697" w:rsidRDefault="00CE6A6A" w:rsidP="00565697">
      <w:pPr>
        <w:pStyle w:val="Rubrik2"/>
        <w:rPr>
          <w:lang w:val="sv-SE"/>
        </w:rPr>
      </w:pPr>
      <w:r w:rsidRPr="006F418B">
        <w:rPr>
          <w:lang w:val="sv-SE"/>
        </w:rPr>
        <w:t>References</w:t>
      </w:r>
      <w:r w:rsidR="009C103B" w:rsidRPr="006F418B">
        <w:rPr>
          <w:lang w:val="sv-SE"/>
        </w:rPr>
        <w:t xml:space="preserve"> </w:t>
      </w:r>
    </w:p>
    <w:p w14:paraId="6C7450CF" w14:textId="5D6504C5" w:rsidR="00A353C3" w:rsidRPr="00E61814" w:rsidRDefault="00A353C3" w:rsidP="00352A53">
      <w:pPr>
        <w:pStyle w:val="References"/>
        <w:spacing w:after="120" w:line="320" w:lineRule="atLeast"/>
        <w:rPr>
          <w:szCs w:val="24"/>
          <w:lang w:val="en-US"/>
        </w:rPr>
      </w:pPr>
      <w:r w:rsidRPr="00E61814">
        <w:rPr>
          <w:szCs w:val="24"/>
          <w:lang w:val="sv-SE"/>
        </w:rPr>
        <w:t xml:space="preserve">Björklund, C., &amp; Palmér, H. (2019). I mötet mellan lekens frihet och undervisningens målorientering i förskolan. </w:t>
      </w:r>
      <w:bookmarkStart w:id="1" w:name="_Hlk132971648"/>
      <w:r w:rsidRPr="00E61814">
        <w:rPr>
          <w:szCs w:val="24"/>
        </w:rPr>
        <w:t>[At the intersection of the openness of play and the goal-orientation of teaching in preschool]</w:t>
      </w:r>
      <w:bookmarkEnd w:id="1"/>
      <w:r w:rsidRPr="00E61814">
        <w:rPr>
          <w:szCs w:val="24"/>
        </w:rPr>
        <w:t xml:space="preserve">. </w:t>
      </w:r>
      <w:r w:rsidRPr="00E61814">
        <w:rPr>
          <w:i/>
          <w:iCs/>
          <w:szCs w:val="24"/>
          <w:lang w:val="en-US"/>
        </w:rPr>
        <w:t xml:space="preserve">Forskning om </w:t>
      </w:r>
      <w:r w:rsidR="009D48A3" w:rsidRPr="00E61814">
        <w:rPr>
          <w:i/>
          <w:iCs/>
          <w:szCs w:val="24"/>
          <w:lang w:val="en-US"/>
        </w:rPr>
        <w:t xml:space="preserve">Undervisning </w:t>
      </w:r>
      <w:r w:rsidRPr="00E61814">
        <w:rPr>
          <w:i/>
          <w:iCs/>
          <w:szCs w:val="24"/>
          <w:lang w:val="en-US"/>
        </w:rPr>
        <w:t xml:space="preserve">&amp; </w:t>
      </w:r>
      <w:r w:rsidR="009D48A3" w:rsidRPr="00E61814">
        <w:rPr>
          <w:i/>
          <w:iCs/>
          <w:szCs w:val="24"/>
          <w:lang w:val="en-US"/>
        </w:rPr>
        <w:t>Lärande</w:t>
      </w:r>
      <w:r w:rsidRPr="00E61814">
        <w:rPr>
          <w:i/>
          <w:iCs/>
          <w:szCs w:val="24"/>
          <w:lang w:val="en-US"/>
        </w:rPr>
        <w:t>, 7</w:t>
      </w:r>
      <w:r w:rsidRPr="00E61814">
        <w:rPr>
          <w:szCs w:val="24"/>
          <w:lang w:val="en-US"/>
        </w:rPr>
        <w:t>(1), 64–85.</w:t>
      </w:r>
    </w:p>
    <w:p w14:paraId="35B738F5" w14:textId="0EC36F4A" w:rsidR="00A353C3" w:rsidRPr="00402B0B" w:rsidRDefault="00A353C3" w:rsidP="00F13A78">
      <w:pPr>
        <w:pStyle w:val="References"/>
        <w:spacing w:after="120" w:line="320" w:lineRule="atLeast"/>
        <w:rPr>
          <w:szCs w:val="24"/>
          <w:lang w:val="en-US"/>
        </w:rPr>
      </w:pPr>
      <w:r w:rsidRPr="00E61814">
        <w:rPr>
          <w:szCs w:val="24"/>
        </w:rPr>
        <w:t xml:space="preserve">Hsieh, &amp; Shannon, S. E. (2005). Three </w:t>
      </w:r>
      <w:r w:rsidR="009D48A3" w:rsidRPr="00E61814">
        <w:rPr>
          <w:szCs w:val="24"/>
        </w:rPr>
        <w:t>a</w:t>
      </w:r>
      <w:r w:rsidRPr="00E61814">
        <w:rPr>
          <w:szCs w:val="24"/>
        </w:rPr>
        <w:t xml:space="preserve">pproaches to </w:t>
      </w:r>
      <w:r w:rsidR="009D48A3" w:rsidRPr="00E61814">
        <w:rPr>
          <w:szCs w:val="24"/>
        </w:rPr>
        <w:t>q</w:t>
      </w:r>
      <w:r w:rsidRPr="00E61814">
        <w:rPr>
          <w:szCs w:val="24"/>
        </w:rPr>
        <w:t xml:space="preserve">ualitative </w:t>
      </w:r>
      <w:r w:rsidR="009D48A3" w:rsidRPr="00E61814">
        <w:rPr>
          <w:szCs w:val="24"/>
        </w:rPr>
        <w:t>c</w:t>
      </w:r>
      <w:r w:rsidRPr="00E61814">
        <w:rPr>
          <w:szCs w:val="24"/>
        </w:rPr>
        <w:t xml:space="preserve">ontent </w:t>
      </w:r>
      <w:r w:rsidR="009D48A3" w:rsidRPr="00E61814">
        <w:rPr>
          <w:szCs w:val="24"/>
        </w:rPr>
        <w:t>a</w:t>
      </w:r>
      <w:r w:rsidRPr="00E61814">
        <w:rPr>
          <w:szCs w:val="24"/>
        </w:rPr>
        <w:t>nalysis. </w:t>
      </w:r>
      <w:r w:rsidRPr="00E61814">
        <w:rPr>
          <w:i/>
          <w:iCs/>
          <w:szCs w:val="24"/>
        </w:rPr>
        <w:t>Qualitative Health Research</w:t>
      </w:r>
      <w:r w:rsidRPr="00E61814">
        <w:rPr>
          <w:szCs w:val="24"/>
        </w:rPr>
        <w:t>, </w:t>
      </w:r>
      <w:r w:rsidRPr="00E61814">
        <w:rPr>
          <w:i/>
          <w:iCs/>
          <w:szCs w:val="24"/>
        </w:rPr>
        <w:t>15</w:t>
      </w:r>
      <w:r w:rsidRPr="00E61814">
        <w:rPr>
          <w:szCs w:val="24"/>
        </w:rPr>
        <w:t xml:space="preserve">(9), 1277–1288. </w:t>
      </w:r>
      <w:hyperlink r:id="rId7" w:history="1">
        <w:r w:rsidRPr="00402B0B">
          <w:rPr>
            <w:rStyle w:val="Hyperlnk"/>
            <w:szCs w:val="24"/>
            <w:lang w:val="en-US"/>
          </w:rPr>
          <w:t>https://doi.org/10.1177/1049732305276687</w:t>
        </w:r>
      </w:hyperlink>
    </w:p>
    <w:p w14:paraId="0DCD7A28" w14:textId="65FAE203" w:rsidR="00A353C3" w:rsidRPr="00E61814" w:rsidRDefault="00A353C3" w:rsidP="00F13A78">
      <w:pPr>
        <w:pStyle w:val="References"/>
        <w:spacing w:after="120" w:line="320" w:lineRule="atLeast"/>
        <w:rPr>
          <w:szCs w:val="24"/>
        </w:rPr>
      </w:pPr>
      <w:r w:rsidRPr="00402B0B">
        <w:rPr>
          <w:szCs w:val="24"/>
          <w:lang w:val="en-US"/>
        </w:rPr>
        <w:t xml:space="preserve">Pramling, N., Wallerstedt, C., Lagerlöf, P., Björklund, C., Kultti, A., Palmér, H., Magnusson, M., Thulin, S., Jonsson, A., &amp; Pramling Samuelsson, I. (2019). </w:t>
      </w:r>
      <w:r w:rsidRPr="00E61814">
        <w:rPr>
          <w:i/>
          <w:iCs/>
          <w:szCs w:val="24"/>
        </w:rPr>
        <w:t>Play-</w:t>
      </w:r>
      <w:r w:rsidR="009D48A3" w:rsidRPr="00E61814">
        <w:rPr>
          <w:i/>
          <w:iCs/>
          <w:szCs w:val="24"/>
        </w:rPr>
        <w:t>r</w:t>
      </w:r>
      <w:r w:rsidRPr="00E61814">
        <w:rPr>
          <w:i/>
          <w:iCs/>
          <w:szCs w:val="24"/>
        </w:rPr>
        <w:t xml:space="preserve">esponsive </w:t>
      </w:r>
      <w:r w:rsidR="009D48A3" w:rsidRPr="00E61814">
        <w:rPr>
          <w:i/>
          <w:iCs/>
          <w:szCs w:val="24"/>
        </w:rPr>
        <w:t>t</w:t>
      </w:r>
      <w:r w:rsidRPr="00E61814">
        <w:rPr>
          <w:i/>
          <w:iCs/>
          <w:szCs w:val="24"/>
        </w:rPr>
        <w:t xml:space="preserve">eaching in </w:t>
      </w:r>
      <w:r w:rsidR="009D48A3" w:rsidRPr="00E61814">
        <w:rPr>
          <w:i/>
          <w:iCs/>
          <w:szCs w:val="24"/>
        </w:rPr>
        <w:t>e</w:t>
      </w:r>
      <w:r w:rsidRPr="00E61814">
        <w:rPr>
          <w:i/>
          <w:iCs/>
          <w:szCs w:val="24"/>
        </w:rPr>
        <w:t xml:space="preserve">arly </w:t>
      </w:r>
      <w:r w:rsidR="009D48A3" w:rsidRPr="00E61814">
        <w:rPr>
          <w:i/>
          <w:iCs/>
          <w:szCs w:val="24"/>
        </w:rPr>
        <w:t>c</w:t>
      </w:r>
      <w:r w:rsidRPr="00E61814">
        <w:rPr>
          <w:i/>
          <w:iCs/>
          <w:szCs w:val="24"/>
        </w:rPr>
        <w:t xml:space="preserve">hildhood </w:t>
      </w:r>
      <w:r w:rsidR="009D48A3" w:rsidRPr="00E61814">
        <w:rPr>
          <w:i/>
          <w:iCs/>
          <w:szCs w:val="24"/>
        </w:rPr>
        <w:t>e</w:t>
      </w:r>
      <w:r w:rsidRPr="00E61814">
        <w:rPr>
          <w:i/>
          <w:iCs/>
          <w:szCs w:val="24"/>
        </w:rPr>
        <w:t>ducation</w:t>
      </w:r>
      <w:r w:rsidRPr="00E61814">
        <w:rPr>
          <w:szCs w:val="24"/>
        </w:rPr>
        <w:t>. Springer</w:t>
      </w:r>
      <w:r w:rsidRPr="00E61814">
        <w:rPr>
          <w:i/>
          <w:iCs/>
          <w:szCs w:val="24"/>
        </w:rPr>
        <w:t>.</w:t>
      </w:r>
    </w:p>
    <w:p w14:paraId="465E1E37" w14:textId="6E3AE427" w:rsidR="001A0720" w:rsidRPr="00F13A78" w:rsidRDefault="00A353C3" w:rsidP="00E61814">
      <w:pPr>
        <w:pStyle w:val="References"/>
        <w:spacing w:after="120" w:line="320" w:lineRule="atLeast"/>
      </w:pPr>
      <w:r w:rsidRPr="00EC5CE9">
        <w:rPr>
          <w:szCs w:val="24"/>
        </w:rPr>
        <w:t xml:space="preserve">Paliwal, V., &amp; Baroody, A. (2020). Cardinality principle understanding: the role of focusing on the subitizing ability. </w:t>
      </w:r>
      <w:r w:rsidRPr="00EC5CE9">
        <w:rPr>
          <w:i/>
          <w:iCs/>
          <w:szCs w:val="24"/>
          <w:lang w:val="nb-NO"/>
        </w:rPr>
        <w:t>ZDM 52</w:t>
      </w:r>
      <w:r w:rsidRPr="00EC5CE9">
        <w:rPr>
          <w:szCs w:val="24"/>
          <w:lang w:val="nb-NO"/>
        </w:rPr>
        <w:t xml:space="preserve">, 649–666, </w:t>
      </w:r>
      <w:hyperlink r:id="rId8" w:history="1">
        <w:r w:rsidRPr="00EC5CE9">
          <w:rPr>
            <w:rStyle w:val="Hyperlnk"/>
            <w:szCs w:val="24"/>
            <w:lang w:val="nb-NO"/>
          </w:rPr>
          <w:t>https://doi.org/10.1007/s11858-020-01150-0</w:t>
        </w:r>
      </w:hyperlink>
    </w:p>
    <w:sectPr w:rsidR="001A0720" w:rsidRPr="00F13A78" w:rsidSect="0098564C"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81C53" w14:textId="77777777" w:rsidR="008B453A" w:rsidRDefault="008B453A">
      <w:pPr>
        <w:spacing w:line="240" w:lineRule="auto"/>
      </w:pPr>
      <w:r>
        <w:separator/>
      </w:r>
    </w:p>
  </w:endnote>
  <w:endnote w:type="continuationSeparator" w:id="0">
    <w:p w14:paraId="7BE0A316" w14:textId="77777777" w:rsidR="008B453A" w:rsidRDefault="008B4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251D" w14:textId="11D62AFB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453A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77CF" w14:textId="77777777" w:rsidR="008B453A" w:rsidRDefault="008B453A">
      <w:pPr>
        <w:spacing w:line="240" w:lineRule="auto"/>
      </w:pPr>
      <w:r>
        <w:separator/>
      </w:r>
    </w:p>
  </w:footnote>
  <w:footnote w:type="continuationSeparator" w:id="0">
    <w:p w14:paraId="33DF62DC" w14:textId="77777777" w:rsidR="008B453A" w:rsidRDefault="008B4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0FA0"/>
    <w:multiLevelType w:val="multilevel"/>
    <w:tmpl w:val="20B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7"/>
    <w:rsid w:val="00053461"/>
    <w:rsid w:val="00064A57"/>
    <w:rsid w:val="000761F4"/>
    <w:rsid w:val="00084739"/>
    <w:rsid w:val="000C13CE"/>
    <w:rsid w:val="000D2258"/>
    <w:rsid w:val="000F7629"/>
    <w:rsid w:val="000F7BC9"/>
    <w:rsid w:val="00117643"/>
    <w:rsid w:val="00125DC1"/>
    <w:rsid w:val="00133F5F"/>
    <w:rsid w:val="00141552"/>
    <w:rsid w:val="0019057B"/>
    <w:rsid w:val="001A0720"/>
    <w:rsid w:val="001C5802"/>
    <w:rsid w:val="002363B8"/>
    <w:rsid w:val="00236AB2"/>
    <w:rsid w:val="00262715"/>
    <w:rsid w:val="002824CB"/>
    <w:rsid w:val="002A38E1"/>
    <w:rsid w:val="002C65E6"/>
    <w:rsid w:val="002D002E"/>
    <w:rsid w:val="00352A53"/>
    <w:rsid w:val="0036572C"/>
    <w:rsid w:val="0036611D"/>
    <w:rsid w:val="003A56B2"/>
    <w:rsid w:val="003B2647"/>
    <w:rsid w:val="003B4925"/>
    <w:rsid w:val="003D3EC0"/>
    <w:rsid w:val="00402B0B"/>
    <w:rsid w:val="00406946"/>
    <w:rsid w:val="0043727A"/>
    <w:rsid w:val="00461D61"/>
    <w:rsid w:val="004679EA"/>
    <w:rsid w:val="00472916"/>
    <w:rsid w:val="00484275"/>
    <w:rsid w:val="004E6BFD"/>
    <w:rsid w:val="00565697"/>
    <w:rsid w:val="005710F8"/>
    <w:rsid w:val="005872F0"/>
    <w:rsid w:val="0059525A"/>
    <w:rsid w:val="005D56B5"/>
    <w:rsid w:val="005E3911"/>
    <w:rsid w:val="00617972"/>
    <w:rsid w:val="00634BD1"/>
    <w:rsid w:val="00663B90"/>
    <w:rsid w:val="00672077"/>
    <w:rsid w:val="00680A40"/>
    <w:rsid w:val="00685005"/>
    <w:rsid w:val="006A1402"/>
    <w:rsid w:val="006A71CC"/>
    <w:rsid w:val="006F418B"/>
    <w:rsid w:val="00707DDD"/>
    <w:rsid w:val="00737C28"/>
    <w:rsid w:val="0075497C"/>
    <w:rsid w:val="007841EA"/>
    <w:rsid w:val="007848DA"/>
    <w:rsid w:val="007B330C"/>
    <w:rsid w:val="007D2F89"/>
    <w:rsid w:val="007E7E3D"/>
    <w:rsid w:val="007F0111"/>
    <w:rsid w:val="007F533D"/>
    <w:rsid w:val="008160DE"/>
    <w:rsid w:val="008401E1"/>
    <w:rsid w:val="00842F58"/>
    <w:rsid w:val="008577BD"/>
    <w:rsid w:val="008730C2"/>
    <w:rsid w:val="008A1780"/>
    <w:rsid w:val="008B0A76"/>
    <w:rsid w:val="008B453A"/>
    <w:rsid w:val="008C4C60"/>
    <w:rsid w:val="00913E52"/>
    <w:rsid w:val="0091579A"/>
    <w:rsid w:val="00933A03"/>
    <w:rsid w:val="009459F8"/>
    <w:rsid w:val="009558E6"/>
    <w:rsid w:val="0098564C"/>
    <w:rsid w:val="00994D75"/>
    <w:rsid w:val="009A20BF"/>
    <w:rsid w:val="009C103B"/>
    <w:rsid w:val="009C331D"/>
    <w:rsid w:val="009D3B9B"/>
    <w:rsid w:val="009D48A3"/>
    <w:rsid w:val="009F1769"/>
    <w:rsid w:val="00A01815"/>
    <w:rsid w:val="00A11AA8"/>
    <w:rsid w:val="00A2654B"/>
    <w:rsid w:val="00A353C3"/>
    <w:rsid w:val="00A533C0"/>
    <w:rsid w:val="00A7173B"/>
    <w:rsid w:val="00A8085A"/>
    <w:rsid w:val="00B13C57"/>
    <w:rsid w:val="00B25665"/>
    <w:rsid w:val="00B7183A"/>
    <w:rsid w:val="00B80F87"/>
    <w:rsid w:val="00C11A1A"/>
    <w:rsid w:val="00C32D6E"/>
    <w:rsid w:val="00C90358"/>
    <w:rsid w:val="00C97C01"/>
    <w:rsid w:val="00CE5013"/>
    <w:rsid w:val="00CE6A6A"/>
    <w:rsid w:val="00D078F2"/>
    <w:rsid w:val="00D26643"/>
    <w:rsid w:val="00D330F9"/>
    <w:rsid w:val="00E054D5"/>
    <w:rsid w:val="00E61814"/>
    <w:rsid w:val="00E66F02"/>
    <w:rsid w:val="00E7404F"/>
    <w:rsid w:val="00E90B43"/>
    <w:rsid w:val="00E92A84"/>
    <w:rsid w:val="00EC5CE9"/>
    <w:rsid w:val="00ED2199"/>
    <w:rsid w:val="00F13A78"/>
    <w:rsid w:val="00F36192"/>
    <w:rsid w:val="00F42DFA"/>
    <w:rsid w:val="00F5400D"/>
    <w:rsid w:val="00F93742"/>
    <w:rsid w:val="00FB6D4B"/>
    <w:rsid w:val="00FC1E63"/>
    <w:rsid w:val="00FD2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styleId="Hyperlnk">
    <w:name w:val="Hyperlink"/>
    <w:basedOn w:val="Standardstycketeckensnitt"/>
    <w:unhideWhenUsed/>
    <w:rsid w:val="00680A40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80A4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6F418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F41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F418B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F418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F418B"/>
    <w:rPr>
      <w:b/>
      <w:bCs/>
      <w:lang w:val="en-GB" w:eastAsia="en-US"/>
    </w:rPr>
  </w:style>
  <w:style w:type="paragraph" w:styleId="Revision">
    <w:name w:val="Revision"/>
    <w:hidden/>
    <w:semiHidden/>
    <w:rsid w:val="006F418B"/>
    <w:rPr>
      <w:sz w:val="26"/>
      <w:szCs w:val="28"/>
      <w:lang w:val="en-GB" w:eastAsia="en-US"/>
    </w:rPr>
  </w:style>
  <w:style w:type="paragraph" w:styleId="Normalwebb">
    <w:name w:val="Normal (Web)"/>
    <w:basedOn w:val="Normal"/>
    <w:semiHidden/>
    <w:unhideWhenUsed/>
    <w:rsid w:val="00634BD1"/>
    <w:rPr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8A17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A17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858-020-01150-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10497323052766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4471</Characters>
  <Application>Microsoft Office Word</Application>
  <DocSecurity>0</DocSecurity>
  <Lines>37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MADIF8 PROCEEDINGS STYLE TEMPLATE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Manager/>
  <Company/>
  <LinksUpToDate>false</LinksUpToDate>
  <CharactersWithSpaces>5304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2024-01-22T15:36:00Z</dcterms:created>
  <dcterms:modified xsi:type="dcterms:W3CDTF">2024-01-22T15:36:00Z</dcterms:modified>
  <cp:category/>
</cp:coreProperties>
</file>