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7219" w14:textId="26E2AC40" w:rsidR="00F5400D" w:rsidRDefault="003D0EC4" w:rsidP="00D14117">
      <w:pPr>
        <w:keepNext/>
        <w:ind w:firstLine="0"/>
        <w:jc w:val="center"/>
        <w:outlineLvl w:val="0"/>
      </w:pPr>
      <w:r>
        <w:rPr>
          <w:kern w:val="28"/>
          <w:sz w:val="44"/>
          <w:szCs w:val="32"/>
        </w:rPr>
        <w:t>Practising Feedback: Use of Role-play</w:t>
      </w:r>
      <w:r w:rsidRPr="009A5D2C">
        <w:rPr>
          <w:kern w:val="28"/>
          <w:sz w:val="44"/>
          <w:szCs w:val="32"/>
        </w:rPr>
        <w:t xml:space="preserve"> in </w:t>
      </w:r>
      <w:r>
        <w:rPr>
          <w:kern w:val="28"/>
          <w:sz w:val="44"/>
          <w:szCs w:val="32"/>
        </w:rPr>
        <w:t>O</w:t>
      </w:r>
      <w:r w:rsidRPr="009A5D2C">
        <w:rPr>
          <w:kern w:val="28"/>
          <w:sz w:val="44"/>
          <w:szCs w:val="32"/>
        </w:rPr>
        <w:t xml:space="preserve">nline </w:t>
      </w:r>
      <w:r>
        <w:rPr>
          <w:kern w:val="28"/>
          <w:sz w:val="44"/>
          <w:szCs w:val="32"/>
        </w:rPr>
        <w:t>M</w:t>
      </w:r>
      <w:r w:rsidRPr="009A5D2C">
        <w:rPr>
          <w:kern w:val="28"/>
          <w:sz w:val="44"/>
          <w:szCs w:val="32"/>
        </w:rPr>
        <w:t xml:space="preserve">athematics </w:t>
      </w:r>
      <w:r>
        <w:rPr>
          <w:kern w:val="28"/>
          <w:sz w:val="44"/>
          <w:szCs w:val="32"/>
        </w:rPr>
        <w:t>T</w:t>
      </w:r>
      <w:r w:rsidRPr="009A5D2C">
        <w:rPr>
          <w:kern w:val="28"/>
          <w:sz w:val="44"/>
          <w:szCs w:val="32"/>
        </w:rPr>
        <w:t xml:space="preserve">eacher </w:t>
      </w:r>
      <w:r>
        <w:rPr>
          <w:kern w:val="28"/>
          <w:sz w:val="44"/>
          <w:szCs w:val="32"/>
        </w:rPr>
        <w:t>E</w:t>
      </w:r>
      <w:r w:rsidRPr="009A5D2C">
        <w:rPr>
          <w:kern w:val="28"/>
          <w:sz w:val="44"/>
          <w:szCs w:val="32"/>
        </w:rPr>
        <w:t>ducation</w:t>
      </w:r>
      <w:r>
        <w:t xml:space="preserve"> </w:t>
      </w:r>
    </w:p>
    <w:p w14:paraId="080E0699" w14:textId="6FE45C0D" w:rsidR="00CE6A6A" w:rsidRDefault="00504BE8" w:rsidP="00CE6A6A">
      <w:pPr>
        <w:pStyle w:val="Rubrik8"/>
      </w:pPr>
      <w:r>
        <w:rPr>
          <w:lang w:val="en-US"/>
        </w:rPr>
        <w:t>Kristofer Sidenvall</w:t>
      </w:r>
    </w:p>
    <w:p w14:paraId="7832B825" w14:textId="77777777" w:rsidR="002E1A34" w:rsidRPr="005A7D4E" w:rsidRDefault="002E1A34" w:rsidP="002E1A34">
      <w:pPr>
        <w:pStyle w:val="Rubrik9"/>
        <w:rPr>
          <w:lang w:val="en-US"/>
        </w:rPr>
      </w:pPr>
      <w:r>
        <w:rPr>
          <w:lang w:val="en-US"/>
        </w:rPr>
        <w:t>Dalarna University</w:t>
      </w:r>
    </w:p>
    <w:p w14:paraId="2501525D" w14:textId="1D764E35" w:rsidR="003F7B7D" w:rsidRDefault="00CF2E43" w:rsidP="00A56DBD">
      <w:pPr>
        <w:pStyle w:val="Abstract"/>
      </w:pPr>
      <w:r w:rsidRPr="00A56DBD">
        <w:t xml:space="preserve">This paper discusses the use of role-playing in online mathematics teacher education for preparing pre-service secondary mathematics teachers to use formative feedback. Findings from video-recorded role-plays and participant reflections highlight how the context presented in the online role-plays can enable or restrict different feedback types. </w:t>
      </w:r>
      <w:r w:rsidR="0022684A">
        <w:t>T</w:t>
      </w:r>
      <w:r w:rsidRPr="00A56DBD">
        <w:t xml:space="preserve">he study </w:t>
      </w:r>
      <w:r w:rsidR="0022684A">
        <w:t xml:space="preserve">also </w:t>
      </w:r>
      <w:r w:rsidRPr="00A56DBD">
        <w:t>reveals that the online environment supports feedback training but limits participants’ ability to express feedback. The paper offers suggestions to enhance the potential of online role-playing for feedback training.</w:t>
      </w:r>
    </w:p>
    <w:p w14:paraId="78797DE7" w14:textId="77777777" w:rsidR="003558A2" w:rsidRPr="00A56DBD" w:rsidRDefault="003558A2" w:rsidP="00A56DBD">
      <w:pPr>
        <w:pStyle w:val="Abstract"/>
      </w:pPr>
    </w:p>
    <w:p w14:paraId="053AA2D6" w14:textId="6332E9D4" w:rsidR="003B3A66" w:rsidRPr="00A56DBD" w:rsidRDefault="003B3A66" w:rsidP="00A56DBD">
      <w:pPr>
        <w:pStyle w:val="Brdtext"/>
      </w:pPr>
      <w:r w:rsidRPr="00A56DBD">
        <w:t xml:space="preserve">In mathematics teacher education (MTE), a practice-based approach emphasizes recurring practical training, immersing pre-service teachers in real teaching situations </w:t>
      </w:r>
      <w:r w:rsidR="008644E1" w:rsidRPr="00A56DBD">
        <w:rPr>
          <w:noProof/>
        </w:rPr>
        <w:t>(Ball &amp; Cohen, 1999)</w:t>
      </w:r>
      <w:r w:rsidRPr="00A56DBD">
        <w:t xml:space="preserve">. This approach aims to enhance teaching skills through hands-on experiences during field placements and approximated mathematics teaching scenarios within university courses like role-playing, video observation, and co-teaching in controlled settings </w:t>
      </w:r>
      <w:r w:rsidR="008644E1" w:rsidRPr="00A56DBD">
        <w:rPr>
          <w:noProof/>
        </w:rPr>
        <w:t>(Grossman et al., 2009)</w:t>
      </w:r>
      <w:r w:rsidRPr="00A56DBD">
        <w:t xml:space="preserve">. While previous research has verified the benefits of a practice-based approach to MTE when employed in campus-based settings, a review of research on practice-based teacher education </w:t>
      </w:r>
      <w:r w:rsidR="008644E1" w:rsidRPr="00A56DBD">
        <w:t>(Matsumoto-Royo &amp; Ramírez-Montoya, 2021)</w:t>
      </w:r>
      <w:r w:rsidRPr="00A56DBD">
        <w:t xml:space="preserve"> shows no examples of studies in online settings.</w:t>
      </w:r>
    </w:p>
    <w:p w14:paraId="35859853" w14:textId="274DE5C0" w:rsidR="003B3A66" w:rsidRDefault="003B3A66" w:rsidP="003B3A66">
      <w:pPr>
        <w:rPr>
          <w:lang w:val="en-US"/>
        </w:rPr>
      </w:pPr>
      <w:r w:rsidRPr="007C7A65">
        <w:rPr>
          <w:lang w:val="en-US"/>
        </w:rPr>
        <w:t xml:space="preserve">One thing </w:t>
      </w:r>
      <w:r>
        <w:rPr>
          <w:lang w:val="en-US"/>
        </w:rPr>
        <w:t>MTE</w:t>
      </w:r>
      <w:r w:rsidRPr="007C7A65">
        <w:rPr>
          <w:lang w:val="en-US"/>
        </w:rPr>
        <w:t xml:space="preserve"> should include is prepar</w:t>
      </w:r>
      <w:r>
        <w:rPr>
          <w:lang w:val="en-US"/>
        </w:rPr>
        <w:t>ing</w:t>
      </w:r>
      <w:r w:rsidRPr="007C7A65">
        <w:rPr>
          <w:lang w:val="en-US"/>
        </w:rPr>
        <w:t xml:space="preserve"> </w:t>
      </w:r>
      <w:r>
        <w:rPr>
          <w:lang w:val="en-US"/>
        </w:rPr>
        <w:t>pre-service</w:t>
      </w:r>
      <w:r w:rsidRPr="007C7A65">
        <w:rPr>
          <w:lang w:val="en-US"/>
        </w:rPr>
        <w:t xml:space="preserve"> teachers to </w:t>
      </w:r>
      <w:r>
        <w:rPr>
          <w:lang w:val="en-US"/>
        </w:rPr>
        <w:t>provide</w:t>
      </w:r>
      <w:r w:rsidRPr="007C7A65">
        <w:rPr>
          <w:lang w:val="en-US"/>
        </w:rPr>
        <w:t xml:space="preserve"> feedback on </w:t>
      </w:r>
      <w:r>
        <w:rPr>
          <w:lang w:val="en-US"/>
        </w:rPr>
        <w:t>pupils’</w:t>
      </w:r>
      <w:r w:rsidRPr="007C7A65">
        <w:rPr>
          <w:lang w:val="en-US"/>
        </w:rPr>
        <w:t xml:space="preserve"> thinking.</w:t>
      </w:r>
      <w:r>
        <w:rPr>
          <w:lang w:val="en-US"/>
        </w:rPr>
        <w:t xml:space="preserve"> A</w:t>
      </w:r>
      <w:r w:rsidRPr="00F256EF">
        <w:rPr>
          <w:lang w:val="en-US"/>
        </w:rPr>
        <w:t xml:space="preserve">ssessment and feedback on pupil understanding are crucial </w:t>
      </w:r>
      <w:r>
        <w:rPr>
          <w:lang w:val="en-US"/>
        </w:rPr>
        <w:t>for pupils’ learning, and e</w:t>
      </w:r>
      <w:r w:rsidRPr="00F256EF">
        <w:rPr>
          <w:lang w:val="en-US"/>
        </w:rPr>
        <w:t xml:space="preserve">ffective </w:t>
      </w:r>
      <w:r>
        <w:rPr>
          <w:lang w:val="en-US"/>
        </w:rPr>
        <w:t xml:space="preserve">formative </w:t>
      </w:r>
      <w:r w:rsidRPr="00F256EF">
        <w:rPr>
          <w:lang w:val="en-US"/>
        </w:rPr>
        <w:t xml:space="preserve">feedback significantly </w:t>
      </w:r>
      <w:r>
        <w:rPr>
          <w:lang w:val="en-US"/>
        </w:rPr>
        <w:t>enhances</w:t>
      </w:r>
      <w:r w:rsidRPr="00F256EF">
        <w:rPr>
          <w:lang w:val="en-US"/>
        </w:rPr>
        <w:t xml:space="preserve"> pupil achievement </w:t>
      </w:r>
      <w:r w:rsidR="008644E1">
        <w:rPr>
          <w:noProof/>
          <w:lang w:val="en-US"/>
        </w:rPr>
        <w:t>(Anthony &amp; Walshaw, 2009; Hattie &amp; Timperley, 2007)</w:t>
      </w:r>
      <w:r w:rsidRPr="00F256EF">
        <w:rPr>
          <w:lang w:val="en-US"/>
        </w:rPr>
        <w:t xml:space="preserve">. Despite its potential, reports reveal shortcomings in feedback quality </w:t>
      </w:r>
      <w:r>
        <w:rPr>
          <w:lang w:val="en-US"/>
        </w:rPr>
        <w:t xml:space="preserve">given by teachers to pupils </w:t>
      </w:r>
      <w:r w:rsidR="008644E1">
        <w:rPr>
          <w:noProof/>
          <w:lang w:val="en-US"/>
        </w:rPr>
        <w:t>(e.g. Hirsh &amp; Lindberg, 2015; Stovner &amp; Klette, 2022)</w:t>
      </w:r>
      <w:r w:rsidRPr="00F256EF">
        <w:rPr>
          <w:lang w:val="en-US"/>
        </w:rPr>
        <w:t>.</w:t>
      </w:r>
      <w:r>
        <w:rPr>
          <w:lang w:val="en-US"/>
        </w:rPr>
        <w:t xml:space="preserve"> </w:t>
      </w:r>
      <w:r w:rsidRPr="00DE1FFB">
        <w:rPr>
          <w:lang w:val="en-US"/>
        </w:rPr>
        <w:t>Consequently, pre</w:t>
      </w:r>
      <w:r>
        <w:rPr>
          <w:lang w:val="en-US"/>
        </w:rPr>
        <w:t>-</w:t>
      </w:r>
      <w:r w:rsidRPr="00DE1FFB">
        <w:rPr>
          <w:lang w:val="en-US"/>
        </w:rPr>
        <w:t xml:space="preserve">service teachers are unlikely to encounter feedback practices </w:t>
      </w:r>
      <w:r>
        <w:rPr>
          <w:lang w:val="en-US"/>
        </w:rPr>
        <w:t xml:space="preserve">advocated by research </w:t>
      </w:r>
      <w:r w:rsidRPr="00DE1FFB">
        <w:rPr>
          <w:lang w:val="en-US"/>
        </w:rPr>
        <w:t xml:space="preserve">during their field </w:t>
      </w:r>
      <w:r>
        <w:rPr>
          <w:lang w:val="en-US"/>
        </w:rPr>
        <w:t>placements</w:t>
      </w:r>
      <w:r w:rsidRPr="00DE1FFB">
        <w:rPr>
          <w:lang w:val="en-US"/>
        </w:rPr>
        <w:t>.</w:t>
      </w:r>
      <w:r w:rsidRPr="00411449">
        <w:rPr>
          <w:lang w:val="en-US"/>
        </w:rPr>
        <w:t xml:space="preserve"> </w:t>
      </w:r>
    </w:p>
    <w:p w14:paraId="613184E9" w14:textId="4411B204" w:rsidR="003B3A66" w:rsidRPr="008579C5" w:rsidRDefault="003B3A66" w:rsidP="003B3A66">
      <w:pPr>
        <w:rPr>
          <w:lang w:val="en-US"/>
        </w:rPr>
      </w:pPr>
      <w:r>
        <w:rPr>
          <w:lang w:val="en-US"/>
        </w:rPr>
        <w:t>The focus of this paper is the implementation of a pr</w:t>
      </w:r>
      <w:r w:rsidRPr="005F66B3">
        <w:rPr>
          <w:lang w:val="en-US"/>
        </w:rPr>
        <w:t xml:space="preserve">actice-based </w:t>
      </w:r>
      <w:r>
        <w:rPr>
          <w:lang w:val="en-US"/>
        </w:rPr>
        <w:t>approach</w:t>
      </w:r>
      <w:r w:rsidRPr="005F66B3">
        <w:rPr>
          <w:lang w:val="en-US"/>
        </w:rPr>
        <w:t xml:space="preserve"> </w:t>
      </w:r>
      <w:r>
        <w:rPr>
          <w:lang w:val="en-US"/>
        </w:rPr>
        <w:t>in</w:t>
      </w:r>
      <w:r w:rsidRPr="005F66B3">
        <w:rPr>
          <w:lang w:val="en-US"/>
        </w:rPr>
        <w:t xml:space="preserve"> online </w:t>
      </w:r>
      <w:r>
        <w:rPr>
          <w:lang w:val="en-US"/>
        </w:rPr>
        <w:t>MTE, using the case of</w:t>
      </w:r>
      <w:r w:rsidRPr="005F66B3">
        <w:rPr>
          <w:lang w:val="en-US"/>
        </w:rPr>
        <w:t xml:space="preserve"> </w:t>
      </w:r>
      <w:r>
        <w:rPr>
          <w:lang w:val="en-US"/>
        </w:rPr>
        <w:t xml:space="preserve">pre-service teachers’ </w:t>
      </w:r>
      <w:r w:rsidR="001A2A46">
        <w:rPr>
          <w:lang w:val="en-US"/>
        </w:rPr>
        <w:t xml:space="preserve">opportunities </w:t>
      </w:r>
      <w:r>
        <w:rPr>
          <w:lang w:val="en-US"/>
        </w:rPr>
        <w:t>to express and u</w:t>
      </w:r>
      <w:r w:rsidR="00B55DD0">
        <w:rPr>
          <w:lang w:val="en-US"/>
        </w:rPr>
        <w:t>tilize</w:t>
      </w:r>
      <w:r>
        <w:rPr>
          <w:lang w:val="en-US"/>
        </w:rPr>
        <w:t xml:space="preserve"> </w:t>
      </w:r>
      <w:r w:rsidRPr="005F66B3">
        <w:rPr>
          <w:lang w:val="en-US"/>
        </w:rPr>
        <w:t xml:space="preserve">different </w:t>
      </w:r>
      <w:r w:rsidRPr="003B3A66">
        <w:rPr>
          <w:lang w:val="en-US"/>
        </w:rPr>
        <w:t>types of feedback to prepare for mathematics teaching</w:t>
      </w:r>
      <w:r w:rsidR="00B80F12">
        <w:rPr>
          <w:lang w:val="en-US"/>
        </w:rPr>
        <w:t>,</w:t>
      </w:r>
      <w:r w:rsidR="0092529D" w:rsidRPr="0092529D">
        <w:rPr>
          <w:lang w:val="en-US"/>
        </w:rPr>
        <w:t xml:space="preserve"> in </w:t>
      </w:r>
      <w:r w:rsidR="002C0B9B">
        <w:rPr>
          <w:lang w:val="en-US"/>
        </w:rPr>
        <w:t>education</w:t>
      </w:r>
      <w:r w:rsidR="0092529D" w:rsidRPr="0092529D">
        <w:rPr>
          <w:lang w:val="en-US"/>
        </w:rPr>
        <w:t xml:space="preserve"> where the pre-service teachers are not physically present for face-to-face interactions</w:t>
      </w:r>
      <w:r w:rsidR="00B55DD0">
        <w:rPr>
          <w:lang w:val="en-US"/>
        </w:rPr>
        <w:t>.</w:t>
      </w:r>
      <w:r w:rsidR="00B70E6F">
        <w:rPr>
          <w:lang w:val="en-US"/>
        </w:rPr>
        <w:t xml:space="preserve"> </w:t>
      </w:r>
      <w:r w:rsidRPr="003B3A66">
        <w:rPr>
          <w:lang w:val="en-US"/>
        </w:rPr>
        <w:t>One effective method for preparing pre-service teachers for demanding teaching situations,</w:t>
      </w:r>
      <w:r w:rsidRPr="003B3A66">
        <w:t xml:space="preserve"> </w:t>
      </w:r>
      <w:r w:rsidRPr="003B3A66">
        <w:rPr>
          <w:lang w:val="en-US"/>
        </w:rPr>
        <w:t xml:space="preserve">such as giving formative feedback in the moment, is to use role-playing </w:t>
      </w:r>
      <w:r w:rsidR="008644E1" w:rsidRPr="003B3A66">
        <w:rPr>
          <w:noProof/>
          <w:lang w:val="en-US"/>
        </w:rPr>
        <w:t>(Lajoie, 2018)</w:t>
      </w:r>
      <w:r w:rsidRPr="003B3A66">
        <w:rPr>
          <w:lang w:val="en-US"/>
        </w:rPr>
        <w:t xml:space="preserve">.  Based on this, the question to be answered is </w:t>
      </w:r>
      <w:r w:rsidRPr="003B3A66">
        <w:rPr>
          <w:i/>
          <w:iCs/>
          <w:lang w:val="en-US"/>
        </w:rPr>
        <w:t>What does role-play as an approximation of teaching offer online MTE in terms of training of feedback?</w:t>
      </w:r>
      <w:r w:rsidRPr="003B3A66">
        <w:rPr>
          <w:lang w:val="en-US"/>
        </w:rPr>
        <w:t xml:space="preserve"> This will be answered by </w:t>
      </w:r>
      <w:r w:rsidRPr="003B3A66">
        <w:rPr>
          <w:lang w:val="en-US"/>
        </w:rPr>
        <w:lastRenderedPageBreak/>
        <w:t>analyzing recorded online role-plays and the discussions about participants’ experiences of the role-plays.</w:t>
      </w:r>
    </w:p>
    <w:p w14:paraId="3D723B67" w14:textId="77777777" w:rsidR="00C10AEA" w:rsidRPr="006D286A" w:rsidRDefault="00C10AEA" w:rsidP="00C10AEA">
      <w:pPr>
        <w:pStyle w:val="Rubrik2"/>
        <w:rPr>
          <w:lang w:val="en-US"/>
        </w:rPr>
      </w:pPr>
      <w:r>
        <w:rPr>
          <w:lang w:val="en-US"/>
        </w:rPr>
        <w:t>Previous research</w:t>
      </w:r>
    </w:p>
    <w:p w14:paraId="625DC1FF" w14:textId="33D546DA" w:rsidR="00C10AEA" w:rsidRPr="0039408D" w:rsidRDefault="00C10AEA" w:rsidP="00C10AEA">
      <w:pPr>
        <w:pStyle w:val="Brdtext"/>
        <w:rPr>
          <w:lang w:val="en-US"/>
        </w:rPr>
      </w:pPr>
      <w:r w:rsidRPr="002E16EF">
        <w:rPr>
          <w:lang w:val="en-US"/>
        </w:rPr>
        <w:t>In this section</w:t>
      </w:r>
      <w:r>
        <w:rPr>
          <w:lang w:val="en-US"/>
        </w:rPr>
        <w:t>,</w:t>
      </w:r>
      <w:r w:rsidRPr="002E16EF">
        <w:rPr>
          <w:lang w:val="en-US"/>
        </w:rPr>
        <w:t xml:space="preserve"> previous research on practice-based </w:t>
      </w:r>
      <w:r>
        <w:rPr>
          <w:lang w:val="en-US"/>
        </w:rPr>
        <w:t xml:space="preserve">MTE, </w:t>
      </w:r>
      <w:r w:rsidRPr="002E16EF">
        <w:rPr>
          <w:lang w:val="en-US"/>
        </w:rPr>
        <w:t xml:space="preserve">online </w:t>
      </w:r>
      <w:r>
        <w:rPr>
          <w:lang w:val="en-US"/>
        </w:rPr>
        <w:t>education</w:t>
      </w:r>
      <w:r w:rsidRPr="002E16EF">
        <w:rPr>
          <w:lang w:val="en-US"/>
        </w:rPr>
        <w:t xml:space="preserve">, teaching approximations such as role-playing, and </w:t>
      </w:r>
      <w:r>
        <w:rPr>
          <w:lang w:val="en-US"/>
        </w:rPr>
        <w:t xml:space="preserve">elements of a </w:t>
      </w:r>
      <w:r w:rsidRPr="002E16EF">
        <w:rPr>
          <w:lang w:val="en-US"/>
        </w:rPr>
        <w:t xml:space="preserve">formative feedback </w:t>
      </w:r>
      <w:r>
        <w:rPr>
          <w:lang w:val="en-US"/>
        </w:rPr>
        <w:t xml:space="preserve">process in mathematics teaching </w:t>
      </w:r>
      <w:r w:rsidRPr="002E16EF">
        <w:rPr>
          <w:lang w:val="en-US"/>
        </w:rPr>
        <w:t>will be presented.</w:t>
      </w:r>
    </w:p>
    <w:p w14:paraId="41E83CD6" w14:textId="2DC3832A" w:rsidR="00C10AEA" w:rsidRDefault="00C10AEA" w:rsidP="00C10AEA">
      <w:pPr>
        <w:rPr>
          <w:lang w:val="en-US"/>
        </w:rPr>
      </w:pPr>
      <w:r>
        <w:rPr>
          <w:lang w:val="en-US"/>
        </w:rPr>
        <w:t>P</w:t>
      </w:r>
      <w:r w:rsidRPr="000550D8">
        <w:rPr>
          <w:lang w:val="en-US"/>
        </w:rPr>
        <w:t>ractice-</w:t>
      </w:r>
      <w:r>
        <w:rPr>
          <w:lang w:val="en-US"/>
        </w:rPr>
        <w:t>based</w:t>
      </w:r>
      <w:r w:rsidRPr="000550D8">
        <w:rPr>
          <w:lang w:val="en-US"/>
        </w:rPr>
        <w:t xml:space="preserve"> MTE </w:t>
      </w:r>
      <w:r>
        <w:rPr>
          <w:lang w:val="en-US"/>
        </w:rPr>
        <w:t>implies recurring</w:t>
      </w:r>
      <w:r w:rsidRPr="000550D8">
        <w:rPr>
          <w:lang w:val="en-US"/>
        </w:rPr>
        <w:t xml:space="preserve"> training for pre-service teachers in real </w:t>
      </w:r>
      <w:r>
        <w:rPr>
          <w:lang w:val="en-US"/>
        </w:rPr>
        <w:t xml:space="preserve">or made-up </w:t>
      </w:r>
      <w:r w:rsidRPr="000550D8">
        <w:rPr>
          <w:lang w:val="en-US"/>
        </w:rPr>
        <w:t>teaching situations, aiming to improve their teaching skills through hands-on experience</w:t>
      </w:r>
      <w:r w:rsidR="00DA4AE6">
        <w:rPr>
          <w:lang w:val="en-US"/>
        </w:rPr>
        <w:t>s</w:t>
      </w:r>
      <w:r w:rsidRPr="000550D8">
        <w:rPr>
          <w:lang w:val="en-US"/>
        </w:rPr>
        <w:t xml:space="preserve"> in field placements </w:t>
      </w:r>
      <w:r>
        <w:rPr>
          <w:lang w:val="en-US"/>
        </w:rPr>
        <w:t xml:space="preserve">but also </w:t>
      </w:r>
      <w:r w:rsidRPr="000550D8">
        <w:rPr>
          <w:lang w:val="en-US"/>
        </w:rPr>
        <w:t xml:space="preserve">during university courses </w:t>
      </w:r>
      <w:r>
        <w:rPr>
          <w:lang w:val="en-US"/>
        </w:rPr>
        <w:t>in</w:t>
      </w:r>
      <w:r w:rsidRPr="000550D8">
        <w:rPr>
          <w:lang w:val="en-US"/>
        </w:rPr>
        <w:t xml:space="preserve"> </w:t>
      </w:r>
      <w:r>
        <w:rPr>
          <w:lang w:val="en-US"/>
        </w:rPr>
        <w:t>approximated</w:t>
      </w:r>
      <w:r w:rsidRPr="000550D8">
        <w:rPr>
          <w:lang w:val="en-US"/>
        </w:rPr>
        <w:t xml:space="preserve"> math</w:t>
      </w:r>
      <w:r>
        <w:rPr>
          <w:lang w:val="en-US"/>
        </w:rPr>
        <w:t>ematics</w:t>
      </w:r>
      <w:r w:rsidRPr="000550D8">
        <w:rPr>
          <w:lang w:val="en-US"/>
        </w:rPr>
        <w:t xml:space="preserve"> teaching scenarios </w:t>
      </w:r>
      <w:r w:rsidR="008644E1">
        <w:rPr>
          <w:noProof/>
          <w:lang w:val="en-US"/>
        </w:rPr>
        <w:t>(Ball &amp; Cohen, 1999)</w:t>
      </w:r>
      <w:r w:rsidRPr="000550D8">
        <w:rPr>
          <w:lang w:val="en-US"/>
        </w:rPr>
        <w:t xml:space="preserve">. </w:t>
      </w:r>
      <w:r>
        <w:rPr>
          <w:rStyle w:val="rynqvb"/>
          <w:lang w:val="en"/>
        </w:rPr>
        <w:t>There are various e</w:t>
      </w:r>
      <w:r w:rsidRPr="00E14CCA">
        <w:rPr>
          <w:rStyle w:val="rynqvb"/>
          <w:lang w:val="en"/>
        </w:rPr>
        <w:t>xamples of</w:t>
      </w:r>
      <w:r>
        <w:rPr>
          <w:rStyle w:val="rynqvb"/>
          <w:lang w:val="en"/>
        </w:rPr>
        <w:t xml:space="preserve"> exercises that</w:t>
      </w:r>
      <w:r w:rsidRPr="00E14CCA">
        <w:rPr>
          <w:rStyle w:val="rynqvb"/>
          <w:lang w:val="en"/>
        </w:rPr>
        <w:t xml:space="preserve"> </w:t>
      </w:r>
      <w:r>
        <w:rPr>
          <w:rStyle w:val="rynqvb"/>
          <w:lang w:val="en"/>
        </w:rPr>
        <w:t>approximate teaching practices such as lesson planning</w:t>
      </w:r>
      <w:r w:rsidRPr="00E14CCA">
        <w:rPr>
          <w:rStyle w:val="rynqvb"/>
          <w:lang w:val="en"/>
        </w:rPr>
        <w:t xml:space="preserve">, role-playing, co-teaching, and reflection writing </w:t>
      </w:r>
      <w:r w:rsidR="008644E1">
        <w:rPr>
          <w:rStyle w:val="rynqvb"/>
          <w:noProof/>
          <w:lang w:val="en"/>
        </w:rPr>
        <w:t>(McDonald et al., 2013)</w:t>
      </w:r>
      <w:r w:rsidRPr="00E14CCA">
        <w:rPr>
          <w:rStyle w:val="rynqvb"/>
          <w:lang w:val="en"/>
        </w:rPr>
        <w:t>.</w:t>
      </w:r>
      <w:r>
        <w:rPr>
          <w:lang w:val="en-US"/>
        </w:rPr>
        <w:t xml:space="preserve"> One goal with</w:t>
      </w:r>
      <w:r w:rsidRPr="0052063F">
        <w:rPr>
          <w:lang w:val="en-US"/>
        </w:rPr>
        <w:t xml:space="preserve"> approximations is to </w:t>
      </w:r>
      <w:r>
        <w:rPr>
          <w:lang w:val="en-US"/>
        </w:rPr>
        <w:t>prepare</w:t>
      </w:r>
      <w:r w:rsidRPr="0052063F">
        <w:rPr>
          <w:lang w:val="en-US"/>
        </w:rPr>
        <w:t xml:space="preserve"> </w:t>
      </w:r>
      <w:r>
        <w:rPr>
          <w:lang w:val="en-US"/>
        </w:rPr>
        <w:t xml:space="preserve">pre-service </w:t>
      </w:r>
      <w:r w:rsidRPr="0052063F">
        <w:rPr>
          <w:lang w:val="en-US"/>
        </w:rPr>
        <w:t xml:space="preserve">teachers </w:t>
      </w:r>
      <w:r>
        <w:rPr>
          <w:lang w:val="en-US"/>
        </w:rPr>
        <w:t>to make</w:t>
      </w:r>
      <w:r w:rsidRPr="0052063F">
        <w:rPr>
          <w:lang w:val="en-US"/>
        </w:rPr>
        <w:t xml:space="preserve"> better decisions when </w:t>
      </w:r>
      <w:r>
        <w:rPr>
          <w:lang w:val="en-US"/>
        </w:rPr>
        <w:t>facing</w:t>
      </w:r>
      <w:r w:rsidRPr="0052063F">
        <w:rPr>
          <w:lang w:val="en-US"/>
        </w:rPr>
        <w:t xml:space="preserve"> teaching challenges </w:t>
      </w:r>
      <w:r w:rsidR="008644E1">
        <w:rPr>
          <w:noProof/>
          <w:lang w:val="en-US"/>
        </w:rPr>
        <w:t>(Lampert et al., 2013)</w:t>
      </w:r>
      <w:r>
        <w:rPr>
          <w:lang w:val="en-US"/>
        </w:rPr>
        <w:t xml:space="preserve">. </w:t>
      </w:r>
      <w:r w:rsidRPr="00720A02">
        <w:rPr>
          <w:lang w:val="en-US"/>
        </w:rPr>
        <w:t>Here, role-play</w:t>
      </w:r>
      <w:r>
        <w:rPr>
          <w:lang w:val="en-US"/>
        </w:rPr>
        <w:t>ing</w:t>
      </w:r>
      <w:r w:rsidRPr="00720A02">
        <w:rPr>
          <w:lang w:val="en-US"/>
        </w:rPr>
        <w:t xml:space="preserve"> has been highlighted as </w:t>
      </w:r>
      <w:r>
        <w:rPr>
          <w:lang w:val="en-US"/>
        </w:rPr>
        <w:t>a</w:t>
      </w:r>
      <w:r w:rsidRPr="00720A02">
        <w:rPr>
          <w:lang w:val="en-US"/>
        </w:rPr>
        <w:t xml:space="preserve"> </w:t>
      </w:r>
      <w:r>
        <w:rPr>
          <w:lang w:val="en-US"/>
        </w:rPr>
        <w:t xml:space="preserve">powerful </w:t>
      </w:r>
      <w:r w:rsidRPr="00720A02">
        <w:rPr>
          <w:lang w:val="en-US"/>
        </w:rPr>
        <w:t xml:space="preserve">approximation </w:t>
      </w:r>
      <w:r>
        <w:rPr>
          <w:lang w:val="en-US"/>
        </w:rPr>
        <w:t>for</w:t>
      </w:r>
      <w:r w:rsidRPr="00720A02">
        <w:rPr>
          <w:lang w:val="en-US"/>
        </w:rPr>
        <w:t xml:space="preserve"> train</w:t>
      </w:r>
      <w:r>
        <w:rPr>
          <w:lang w:val="en-US"/>
        </w:rPr>
        <w:t>ing</w:t>
      </w:r>
      <w:r w:rsidRPr="00720A02">
        <w:rPr>
          <w:lang w:val="en-US"/>
        </w:rPr>
        <w:t xml:space="preserve"> pre-service teachers to act in the momen</w:t>
      </w:r>
      <w:r>
        <w:rPr>
          <w:lang w:val="en-US"/>
        </w:rPr>
        <w:t xml:space="preserve">t </w:t>
      </w:r>
      <w:r w:rsidR="008644E1">
        <w:rPr>
          <w:noProof/>
          <w:lang w:val="en-US"/>
        </w:rPr>
        <w:t>(Lajoie, 2018)</w:t>
      </w:r>
      <w:r>
        <w:rPr>
          <w:lang w:val="en-US"/>
        </w:rPr>
        <w:t>. The relevance of role-play for such training is motivated by its authenticity</w:t>
      </w:r>
      <w:r w:rsidRPr="00720A02">
        <w:rPr>
          <w:lang w:val="en-US"/>
        </w:rPr>
        <w:t xml:space="preserve"> </w:t>
      </w:r>
      <w:r w:rsidRPr="002E2B6E">
        <w:rPr>
          <w:lang w:val="en-US"/>
        </w:rPr>
        <w:t>in relation to the real teaching situation</w:t>
      </w:r>
      <w:r>
        <w:rPr>
          <w:lang w:val="en-US"/>
        </w:rPr>
        <w:t xml:space="preserve"> </w:t>
      </w:r>
      <w:r w:rsidR="008644E1">
        <w:rPr>
          <w:noProof/>
          <w:lang w:val="en-US"/>
        </w:rPr>
        <w:t>(Howell &amp; Mikeska, 2021)</w:t>
      </w:r>
      <w:r>
        <w:rPr>
          <w:lang w:val="en-US"/>
        </w:rPr>
        <w:t>. Owing to the nature of</w:t>
      </w:r>
      <w:r w:rsidRPr="0068713A">
        <w:rPr>
          <w:lang w:val="en-US"/>
        </w:rPr>
        <w:t xml:space="preserve"> approximation</w:t>
      </w:r>
      <w:r>
        <w:rPr>
          <w:lang w:val="en-US"/>
        </w:rPr>
        <w:t>s such as role-play</w:t>
      </w:r>
      <w:r w:rsidRPr="0068713A">
        <w:rPr>
          <w:lang w:val="en-US"/>
        </w:rPr>
        <w:t xml:space="preserve">, teaching situations can be simulated to </w:t>
      </w:r>
      <w:r>
        <w:rPr>
          <w:lang w:val="en-US"/>
        </w:rPr>
        <w:t>prepare for</w:t>
      </w:r>
      <w:r w:rsidRPr="0068713A">
        <w:rPr>
          <w:lang w:val="en-US"/>
        </w:rPr>
        <w:t xml:space="preserve"> math</w:t>
      </w:r>
      <w:r>
        <w:rPr>
          <w:lang w:val="en-US"/>
        </w:rPr>
        <w:t>ematics</w:t>
      </w:r>
      <w:r w:rsidRPr="0068713A">
        <w:rPr>
          <w:lang w:val="en-US"/>
        </w:rPr>
        <w:t xml:space="preserve"> teaching in a safe, controlled</w:t>
      </w:r>
      <w:r w:rsidR="00DD5300">
        <w:rPr>
          <w:lang w:val="en-US"/>
        </w:rPr>
        <w:t>,</w:t>
      </w:r>
      <w:r w:rsidRPr="0068713A">
        <w:rPr>
          <w:lang w:val="en-US"/>
        </w:rPr>
        <w:t xml:space="preserve"> and scaffolded environment with the support of </w:t>
      </w:r>
      <w:r>
        <w:rPr>
          <w:lang w:val="en-US"/>
        </w:rPr>
        <w:t>a</w:t>
      </w:r>
      <w:r w:rsidRPr="0068713A">
        <w:rPr>
          <w:lang w:val="en-US"/>
        </w:rPr>
        <w:t xml:space="preserve"> </w:t>
      </w:r>
      <w:r>
        <w:rPr>
          <w:lang w:val="en-US"/>
        </w:rPr>
        <w:t>mathematics teacher educator</w:t>
      </w:r>
      <w:r w:rsidRPr="0068713A">
        <w:rPr>
          <w:lang w:val="en-US"/>
        </w:rPr>
        <w:t xml:space="preserve"> </w:t>
      </w:r>
      <w:r w:rsidR="008644E1">
        <w:rPr>
          <w:noProof/>
          <w:lang w:val="en-US"/>
        </w:rPr>
        <w:t>(Grossman et al., 2009)</w:t>
      </w:r>
      <w:r>
        <w:rPr>
          <w:lang w:val="en-US"/>
        </w:rPr>
        <w:t>.</w:t>
      </w:r>
    </w:p>
    <w:p w14:paraId="0572B87C" w14:textId="76F9225F" w:rsidR="00C10AEA" w:rsidRDefault="00C10AEA" w:rsidP="00C10AEA">
      <w:pPr>
        <w:rPr>
          <w:lang w:val="en-US"/>
        </w:rPr>
      </w:pPr>
      <w:r>
        <w:rPr>
          <w:lang w:val="en-US"/>
        </w:rPr>
        <w:t>A</w:t>
      </w:r>
      <w:r w:rsidRPr="000550D8">
        <w:rPr>
          <w:lang w:val="en-US"/>
        </w:rPr>
        <w:t>s more students</w:t>
      </w:r>
      <w:r w:rsidR="001E0E73">
        <w:rPr>
          <w:lang w:val="en-US"/>
        </w:rPr>
        <w:t xml:space="preserve"> enrol</w:t>
      </w:r>
      <w:r w:rsidRPr="000550D8">
        <w:rPr>
          <w:lang w:val="en-US"/>
        </w:rPr>
        <w:t xml:space="preserve"> in online MTE programs </w:t>
      </w:r>
      <w:r w:rsidR="008644E1">
        <w:rPr>
          <w:noProof/>
          <w:lang w:val="en-US"/>
        </w:rPr>
        <w:t>(Dyment &amp; Downing, 2020)</w:t>
      </w:r>
      <w:r w:rsidRPr="000550D8">
        <w:rPr>
          <w:lang w:val="en-US"/>
        </w:rPr>
        <w:t xml:space="preserve">, questions arise about adapting practice-based MTE to virtual settings. Research has shown the benefits of this approach </w:t>
      </w:r>
      <w:r>
        <w:rPr>
          <w:lang w:val="en-US"/>
        </w:rPr>
        <w:t xml:space="preserve">in campus-based contexts </w:t>
      </w:r>
      <w:r w:rsidRPr="000550D8">
        <w:rPr>
          <w:lang w:val="en-US"/>
        </w:rPr>
        <w:t xml:space="preserve">for both pre-service and novice in-service teachers </w:t>
      </w:r>
      <w:r w:rsidR="008644E1">
        <w:rPr>
          <w:noProof/>
          <w:lang w:val="en-US"/>
        </w:rPr>
        <w:t>(Kazemi et al., 2015; McDonald et al., 2013)</w:t>
      </w:r>
      <w:r w:rsidRPr="000550D8">
        <w:rPr>
          <w:lang w:val="en-US"/>
        </w:rPr>
        <w:t xml:space="preserve"> but there is limited research on adapting </w:t>
      </w:r>
      <w:r>
        <w:rPr>
          <w:lang w:val="en-US"/>
        </w:rPr>
        <w:t>practice-based approaches</w:t>
      </w:r>
      <w:r w:rsidRPr="000550D8">
        <w:rPr>
          <w:lang w:val="en-US"/>
        </w:rPr>
        <w:t xml:space="preserve"> to online contexts</w:t>
      </w:r>
      <w:r>
        <w:rPr>
          <w:lang w:val="en-US"/>
        </w:rPr>
        <w:t xml:space="preserve"> </w:t>
      </w:r>
      <w:r w:rsidR="008644E1">
        <w:rPr>
          <w:noProof/>
          <w:lang w:val="en-US"/>
        </w:rPr>
        <w:t>(Matsumoto-Royo &amp; Ramírez-Montoya, 2021)</w:t>
      </w:r>
      <w:r w:rsidRPr="000550D8">
        <w:rPr>
          <w:lang w:val="en-US"/>
        </w:rPr>
        <w:t xml:space="preserve">. </w:t>
      </w:r>
      <w:r>
        <w:rPr>
          <w:lang w:val="en-US"/>
        </w:rPr>
        <w:t>Nonetheless, o</w:t>
      </w:r>
      <w:r w:rsidRPr="000550D8">
        <w:rPr>
          <w:lang w:val="en-US"/>
        </w:rPr>
        <w:t>nline math</w:t>
      </w:r>
      <w:r>
        <w:rPr>
          <w:lang w:val="en-US"/>
        </w:rPr>
        <w:t>ematics</w:t>
      </w:r>
      <w:r w:rsidRPr="000550D8">
        <w:rPr>
          <w:lang w:val="en-US"/>
        </w:rPr>
        <w:t xml:space="preserve"> education </w:t>
      </w:r>
      <w:r>
        <w:rPr>
          <w:lang w:val="en-US"/>
        </w:rPr>
        <w:t xml:space="preserve">encounters </w:t>
      </w:r>
      <w:r w:rsidRPr="000550D8">
        <w:rPr>
          <w:lang w:val="en-US"/>
        </w:rPr>
        <w:t xml:space="preserve">challenges </w:t>
      </w:r>
      <w:r>
        <w:rPr>
          <w:lang w:val="en-US"/>
        </w:rPr>
        <w:t xml:space="preserve">related to instruction, </w:t>
      </w:r>
      <w:r w:rsidRPr="000550D8">
        <w:rPr>
          <w:lang w:val="en-US"/>
        </w:rPr>
        <w:t xml:space="preserve">interaction, </w:t>
      </w:r>
      <w:r>
        <w:rPr>
          <w:lang w:val="en-US"/>
        </w:rPr>
        <w:t xml:space="preserve">and </w:t>
      </w:r>
      <w:r w:rsidRPr="000550D8">
        <w:rPr>
          <w:lang w:val="en-US"/>
        </w:rPr>
        <w:t xml:space="preserve">collaboration </w:t>
      </w:r>
      <w:r w:rsidR="008644E1">
        <w:rPr>
          <w:noProof/>
          <w:lang w:val="en-US"/>
        </w:rPr>
        <w:t>(Radmehr &amp; Goodchild, 2022)</w:t>
      </w:r>
      <w:r>
        <w:rPr>
          <w:lang w:val="en-US"/>
        </w:rPr>
        <w:t>.</w:t>
      </w:r>
    </w:p>
    <w:p w14:paraId="1D1C1F40" w14:textId="0C4F9204" w:rsidR="00C10AEA" w:rsidRDefault="00C10AEA" w:rsidP="00C10AEA">
      <w:pPr>
        <w:rPr>
          <w:lang w:val="en-US"/>
        </w:rPr>
      </w:pPr>
      <w:r w:rsidRPr="005A70A0">
        <w:rPr>
          <w:lang w:val="en-US"/>
        </w:rPr>
        <w:t xml:space="preserve">Among various teaching practices </w:t>
      </w:r>
      <w:r>
        <w:rPr>
          <w:lang w:val="en-US"/>
        </w:rPr>
        <w:t>that are central to a mathematics teacher’s work, feedback on</w:t>
      </w:r>
      <w:r w:rsidRPr="0039408D">
        <w:rPr>
          <w:lang w:val="en-US"/>
        </w:rPr>
        <w:t xml:space="preserve"> </w:t>
      </w:r>
      <w:r>
        <w:rPr>
          <w:lang w:val="en-US"/>
        </w:rPr>
        <w:t>pupils’ learning</w:t>
      </w:r>
      <w:r w:rsidRPr="0039408D">
        <w:rPr>
          <w:lang w:val="en-US"/>
        </w:rPr>
        <w:t xml:space="preserve"> </w:t>
      </w:r>
      <w:r>
        <w:rPr>
          <w:lang w:val="en-US"/>
        </w:rPr>
        <w:t>emerges</w:t>
      </w:r>
      <w:r w:rsidRPr="0039408D">
        <w:rPr>
          <w:lang w:val="en-US"/>
        </w:rPr>
        <w:t xml:space="preserve"> as </w:t>
      </w:r>
      <w:r>
        <w:rPr>
          <w:lang w:val="en-US"/>
        </w:rPr>
        <w:t xml:space="preserve">one important practice </w:t>
      </w:r>
      <w:r w:rsidR="008644E1">
        <w:rPr>
          <w:noProof/>
          <w:lang w:val="en-US"/>
        </w:rPr>
        <w:t>(McDonald et al., 2013)</w:t>
      </w:r>
      <w:r w:rsidRPr="0039408D">
        <w:rPr>
          <w:lang w:val="en-US"/>
        </w:rPr>
        <w:t xml:space="preserve">. </w:t>
      </w:r>
      <w:r w:rsidRPr="003A19D1">
        <w:rPr>
          <w:lang w:val="en-US"/>
        </w:rPr>
        <w:t xml:space="preserve">Feedback </w:t>
      </w:r>
      <w:r>
        <w:rPr>
          <w:lang w:val="en-US"/>
        </w:rPr>
        <w:t>can serve</w:t>
      </w:r>
      <w:r w:rsidRPr="003A19D1">
        <w:rPr>
          <w:lang w:val="en-US"/>
        </w:rPr>
        <w:t xml:space="preserve"> both summative and formative purposes, of which formative feedback is </w:t>
      </w:r>
      <w:r>
        <w:rPr>
          <w:lang w:val="en-US"/>
        </w:rPr>
        <w:t>emphasized</w:t>
      </w:r>
      <w:r w:rsidRPr="003A19D1">
        <w:rPr>
          <w:lang w:val="en-US"/>
        </w:rPr>
        <w:t xml:space="preserve"> as particularly effective for </w:t>
      </w:r>
      <w:r>
        <w:rPr>
          <w:lang w:val="en-US"/>
        </w:rPr>
        <w:t>pupils’</w:t>
      </w:r>
      <w:r w:rsidRPr="003A19D1">
        <w:rPr>
          <w:lang w:val="en-US"/>
        </w:rPr>
        <w:t xml:space="preserve"> learning</w:t>
      </w:r>
      <w:r>
        <w:rPr>
          <w:lang w:val="en-US"/>
        </w:rPr>
        <w:t xml:space="preserve"> </w:t>
      </w:r>
      <w:r w:rsidR="008644E1" w:rsidRPr="008B75C9">
        <w:rPr>
          <w:noProof/>
        </w:rPr>
        <w:t>(Hattie &amp; Timperley, 2007; Ryve et al., 2015)</w:t>
      </w:r>
      <w:r w:rsidRPr="008B75C9">
        <w:t xml:space="preserve">. </w:t>
      </w:r>
      <w:r>
        <w:rPr>
          <w:lang w:val="en-US"/>
        </w:rPr>
        <w:t>Formative f</w:t>
      </w:r>
      <w:r w:rsidRPr="00EC2CC8">
        <w:rPr>
          <w:lang w:val="en-US"/>
        </w:rPr>
        <w:t>eedback can be defined in different ways</w:t>
      </w:r>
      <w:r>
        <w:rPr>
          <w:lang w:val="en-US"/>
        </w:rPr>
        <w:t xml:space="preserve"> and in various contexts.</w:t>
      </w:r>
      <w:r w:rsidRPr="00EC2CC8">
        <w:rPr>
          <w:lang w:val="en-US"/>
        </w:rPr>
        <w:t xml:space="preserve"> In </w:t>
      </w:r>
      <w:r>
        <w:rPr>
          <w:lang w:val="en-US"/>
        </w:rPr>
        <w:t>an educational context,</w:t>
      </w:r>
      <w:r w:rsidRPr="00EC2CC8">
        <w:rPr>
          <w:lang w:val="en-US"/>
        </w:rPr>
        <w:t xml:space="preserve"> </w:t>
      </w:r>
      <w:r>
        <w:rPr>
          <w:lang w:val="en-US"/>
        </w:rPr>
        <w:t xml:space="preserve">formative </w:t>
      </w:r>
      <w:r w:rsidRPr="00EC2CC8">
        <w:rPr>
          <w:lang w:val="en-US"/>
        </w:rPr>
        <w:t xml:space="preserve">feedback refers </w:t>
      </w:r>
      <w:r w:rsidRPr="00026C48">
        <w:rPr>
          <w:lang w:val="en-US"/>
        </w:rPr>
        <w:t xml:space="preserve">to </w:t>
      </w:r>
      <w:r>
        <w:rPr>
          <w:lang w:val="en-US"/>
        </w:rPr>
        <w:t xml:space="preserve">information about pupils’ performance and learning that aims to </w:t>
      </w:r>
      <w:r w:rsidRPr="00026C48">
        <w:rPr>
          <w:lang w:val="en-US"/>
        </w:rPr>
        <w:t xml:space="preserve">enhance </w:t>
      </w:r>
      <w:r>
        <w:rPr>
          <w:lang w:val="en-US"/>
        </w:rPr>
        <w:t xml:space="preserve">achievement and bridge the gap between </w:t>
      </w:r>
      <w:r w:rsidRPr="00026C48">
        <w:rPr>
          <w:lang w:val="en-US"/>
        </w:rPr>
        <w:t xml:space="preserve">actual and desired </w:t>
      </w:r>
      <w:r>
        <w:rPr>
          <w:lang w:val="en-US"/>
        </w:rPr>
        <w:t>learning</w:t>
      </w:r>
      <w:r w:rsidRPr="00026C48">
        <w:rPr>
          <w:lang w:val="en-US"/>
        </w:rPr>
        <w:t xml:space="preserve"> </w:t>
      </w:r>
      <w:r w:rsidR="008644E1">
        <w:rPr>
          <w:noProof/>
          <w:lang w:val="en-US"/>
        </w:rPr>
        <w:t>(Hattie &amp; Timperley, 2007)</w:t>
      </w:r>
      <w:r>
        <w:rPr>
          <w:lang w:val="en-US"/>
        </w:rPr>
        <w:t>.</w:t>
      </w:r>
    </w:p>
    <w:p w14:paraId="5AE7A88C" w14:textId="6DB16050" w:rsidR="00C10AEA" w:rsidRDefault="00C10AEA" w:rsidP="00C10AEA">
      <w:pPr>
        <w:rPr>
          <w:lang w:val="en-US"/>
        </w:rPr>
      </w:pPr>
      <w:r>
        <w:rPr>
          <w:lang w:val="en-US"/>
        </w:rPr>
        <w:t>As a teacher provides</w:t>
      </w:r>
      <w:r w:rsidRPr="00550F62">
        <w:rPr>
          <w:lang w:val="en-US"/>
        </w:rPr>
        <w:t xml:space="preserve"> feedback</w:t>
      </w:r>
      <w:r>
        <w:rPr>
          <w:lang w:val="en-US"/>
        </w:rPr>
        <w:t xml:space="preserve"> to a pupil</w:t>
      </w:r>
      <w:r w:rsidRPr="00550F62">
        <w:rPr>
          <w:lang w:val="en-US"/>
        </w:rPr>
        <w:t xml:space="preserve"> in the classroom </w:t>
      </w:r>
      <w:r>
        <w:rPr>
          <w:lang w:val="en-US"/>
        </w:rPr>
        <w:t xml:space="preserve">it </w:t>
      </w:r>
      <w:r w:rsidRPr="00550F62">
        <w:rPr>
          <w:lang w:val="en-US"/>
        </w:rPr>
        <w:t>involves some form of communication</w:t>
      </w:r>
      <w:r>
        <w:rPr>
          <w:lang w:val="en-US"/>
        </w:rPr>
        <w:t xml:space="preserve">. </w:t>
      </w:r>
      <w:r w:rsidRPr="00EA410A">
        <w:rPr>
          <w:lang w:val="en-US"/>
        </w:rPr>
        <w:t xml:space="preserve">For the </w:t>
      </w:r>
      <w:r>
        <w:rPr>
          <w:lang w:val="en-US"/>
        </w:rPr>
        <w:t>pupil’s</w:t>
      </w:r>
      <w:r w:rsidRPr="00EA410A">
        <w:rPr>
          <w:lang w:val="en-US"/>
        </w:rPr>
        <w:t xml:space="preserve"> learning, it is important that </w:t>
      </w:r>
      <w:r>
        <w:rPr>
          <w:lang w:val="en-US"/>
        </w:rPr>
        <w:t>the conversation</w:t>
      </w:r>
      <w:r w:rsidRPr="00EA410A">
        <w:rPr>
          <w:lang w:val="en-US"/>
        </w:rPr>
        <w:t xml:space="preserve"> focuses on the </w:t>
      </w:r>
      <w:r>
        <w:rPr>
          <w:lang w:val="en-US"/>
        </w:rPr>
        <w:t>pupil and her ideas</w:t>
      </w:r>
      <w:r w:rsidRPr="00EA410A">
        <w:rPr>
          <w:lang w:val="en-US"/>
        </w:rPr>
        <w:t xml:space="preserve"> rather than </w:t>
      </w:r>
      <w:r>
        <w:rPr>
          <w:lang w:val="en-US"/>
        </w:rPr>
        <w:t xml:space="preserve">having </w:t>
      </w:r>
      <w:r w:rsidRPr="00EA410A">
        <w:rPr>
          <w:lang w:val="en-US"/>
        </w:rPr>
        <w:t xml:space="preserve">a </w:t>
      </w:r>
      <w:r>
        <w:rPr>
          <w:lang w:val="en-US"/>
        </w:rPr>
        <w:t>teacher-centred</w:t>
      </w:r>
      <w:r w:rsidRPr="00EA410A">
        <w:rPr>
          <w:lang w:val="en-US"/>
        </w:rPr>
        <w:t xml:space="preserve"> approach</w:t>
      </w:r>
      <w:r>
        <w:rPr>
          <w:lang w:val="en-US"/>
        </w:rPr>
        <w:t xml:space="preserve"> </w:t>
      </w:r>
      <w:r w:rsidR="008644E1">
        <w:rPr>
          <w:noProof/>
          <w:lang w:val="en-US"/>
        </w:rPr>
        <w:t>(Hufferd-Ackles et al., 2004)</w:t>
      </w:r>
      <w:r w:rsidRPr="00550F62">
        <w:rPr>
          <w:lang w:val="en-US"/>
        </w:rPr>
        <w:t xml:space="preserve">. </w:t>
      </w:r>
      <w:proofErr w:type="gramStart"/>
      <w:r w:rsidRPr="00550F62">
        <w:rPr>
          <w:lang w:val="en-US"/>
        </w:rPr>
        <w:t>Similar to</w:t>
      </w:r>
      <w:proofErr w:type="gramEnd"/>
      <w:r>
        <w:rPr>
          <w:lang w:val="en-US"/>
        </w:rPr>
        <w:t xml:space="preserve"> the perspective of</w:t>
      </w:r>
      <w:r w:rsidRPr="00550F62">
        <w:rPr>
          <w:lang w:val="en-US"/>
        </w:rPr>
        <w:t xml:space="preserve"> </w:t>
      </w:r>
      <w:r w:rsidR="008644E1">
        <w:rPr>
          <w:noProof/>
          <w:lang w:val="en-US"/>
        </w:rPr>
        <w:t>Ruiz-Primo and Li (2013)</w:t>
      </w:r>
      <w:r w:rsidRPr="00550F62">
        <w:rPr>
          <w:lang w:val="en-US"/>
        </w:rPr>
        <w:t>, in this paper the</w:t>
      </w:r>
      <w:r>
        <w:rPr>
          <w:lang w:val="en-US"/>
        </w:rPr>
        <w:t xml:space="preserve"> </w:t>
      </w:r>
      <w:r w:rsidRPr="00550F62">
        <w:rPr>
          <w:lang w:val="en-US"/>
        </w:rPr>
        <w:t xml:space="preserve">feedback </w:t>
      </w:r>
      <w:r>
        <w:rPr>
          <w:lang w:val="en-US"/>
        </w:rPr>
        <w:t xml:space="preserve">concept also encompasses </w:t>
      </w:r>
      <w:r w:rsidRPr="00550F62">
        <w:rPr>
          <w:lang w:val="en-US"/>
        </w:rPr>
        <w:t xml:space="preserve">the </w:t>
      </w:r>
      <w:r>
        <w:rPr>
          <w:lang w:val="en-US"/>
        </w:rPr>
        <w:t>communication</w:t>
      </w:r>
      <w:r w:rsidRPr="00550F62">
        <w:rPr>
          <w:lang w:val="en-US"/>
        </w:rPr>
        <w:t xml:space="preserve"> during which the teacher</w:t>
      </w:r>
      <w:r w:rsidRPr="00DF4282">
        <w:t xml:space="preserve"> </w:t>
      </w:r>
      <w:r>
        <w:rPr>
          <w:lang w:val="en-US"/>
        </w:rPr>
        <w:lastRenderedPageBreak/>
        <w:t xml:space="preserve">elicits </w:t>
      </w:r>
      <w:r w:rsidRPr="00DF4282">
        <w:rPr>
          <w:lang w:val="en-US"/>
        </w:rPr>
        <w:t xml:space="preserve">the </w:t>
      </w:r>
      <w:r>
        <w:rPr>
          <w:lang w:val="en-US"/>
        </w:rPr>
        <w:t>pupil’</w:t>
      </w:r>
      <w:r w:rsidRPr="00DF4282">
        <w:rPr>
          <w:lang w:val="en-US"/>
        </w:rPr>
        <w:t xml:space="preserve">s </w:t>
      </w:r>
      <w:r>
        <w:rPr>
          <w:lang w:val="en-US"/>
        </w:rPr>
        <w:t>thinking as a step towards providing feedback</w:t>
      </w:r>
      <w:r w:rsidRPr="00550F62">
        <w:rPr>
          <w:lang w:val="en-US"/>
        </w:rPr>
        <w:t xml:space="preserve">. This expansion of the concept of feedback means that both the acting teacher and the acting </w:t>
      </w:r>
      <w:r>
        <w:rPr>
          <w:lang w:val="en-US"/>
        </w:rPr>
        <w:t>pupil</w:t>
      </w:r>
      <w:r w:rsidRPr="00550F62">
        <w:rPr>
          <w:lang w:val="en-US"/>
        </w:rPr>
        <w:t xml:space="preserve"> become important for the analysis.</w:t>
      </w:r>
      <w:r>
        <w:rPr>
          <w:lang w:val="en-US"/>
        </w:rPr>
        <w:t xml:space="preserve"> </w:t>
      </w:r>
      <w:r w:rsidRPr="009F17EE">
        <w:rPr>
          <w:lang w:val="en-US"/>
        </w:rPr>
        <w:t>A deeper explanation of what the feedback process covers in this paper will follow in the theory and methodology section.</w:t>
      </w:r>
    </w:p>
    <w:p w14:paraId="0439FBF3" w14:textId="04BA3078" w:rsidR="00C10AEA" w:rsidRDefault="00C10AEA" w:rsidP="00C10AEA">
      <w:pPr>
        <w:rPr>
          <w:lang w:val="en-US"/>
        </w:rPr>
      </w:pPr>
      <w:r>
        <w:rPr>
          <w:lang w:val="en-US"/>
        </w:rPr>
        <w:t xml:space="preserve">Research has shown that formative feedback </w:t>
      </w:r>
      <w:r w:rsidRPr="00F86130">
        <w:rPr>
          <w:lang w:val="en-US"/>
        </w:rPr>
        <w:t>is something teachers spend much time on</w:t>
      </w:r>
      <w:r>
        <w:rPr>
          <w:lang w:val="en-US"/>
        </w:rPr>
        <w:t xml:space="preserve"> </w:t>
      </w:r>
      <w:r w:rsidR="008644E1">
        <w:rPr>
          <w:noProof/>
          <w:lang w:val="en-US"/>
        </w:rPr>
        <w:t>(Björklund Boistrup, 2022; Stovner &amp; Klette, 2022)</w:t>
      </w:r>
      <w:r>
        <w:rPr>
          <w:lang w:val="en-US"/>
        </w:rPr>
        <w:t>, and</w:t>
      </w:r>
      <w:r w:rsidRPr="003E1241">
        <w:rPr>
          <w:lang w:val="en-US"/>
        </w:rPr>
        <w:t xml:space="preserve"> </w:t>
      </w:r>
      <w:r>
        <w:rPr>
          <w:lang w:val="en-US"/>
        </w:rPr>
        <w:t xml:space="preserve">the knowledge </w:t>
      </w:r>
      <w:r>
        <w:rPr>
          <w:rStyle w:val="rynqvb"/>
          <w:lang w:val="en"/>
        </w:rPr>
        <w:t xml:space="preserve">of the potential of formative feedback is well known </w:t>
      </w:r>
      <w:r w:rsidR="008644E1" w:rsidRPr="00D92B52">
        <w:rPr>
          <w:noProof/>
          <w:lang w:val="en-US"/>
        </w:rPr>
        <w:t>(Hirsh &amp; Lindberg, 2015)</w:t>
      </w:r>
      <w:r>
        <w:rPr>
          <w:lang w:val="en-US"/>
        </w:rPr>
        <w:t xml:space="preserve">. Despite this, </w:t>
      </w:r>
      <w:r w:rsidRPr="00F86130">
        <w:rPr>
          <w:lang w:val="en-US"/>
        </w:rPr>
        <w:t>research reports on deficient qualities in the feedback given</w:t>
      </w:r>
      <w:r>
        <w:rPr>
          <w:lang w:val="en-US"/>
        </w:rPr>
        <w:t xml:space="preserve"> </w:t>
      </w:r>
      <w:r w:rsidR="008644E1">
        <w:rPr>
          <w:noProof/>
          <w:lang w:val="en-US"/>
        </w:rPr>
        <w:t>(e.g. Hattie &amp; Timperley, 2007; Hirsh &amp; Lindberg, 2015; Stovner &amp; Klette, 2022)</w:t>
      </w:r>
      <w:r>
        <w:rPr>
          <w:lang w:val="en-US"/>
        </w:rPr>
        <w:t xml:space="preserve">. </w:t>
      </w:r>
      <w:r w:rsidRPr="00EC06B5">
        <w:rPr>
          <w:lang w:val="en-US"/>
        </w:rPr>
        <w:t xml:space="preserve">Given this </w:t>
      </w:r>
      <w:r>
        <w:rPr>
          <w:lang w:val="en-US"/>
        </w:rPr>
        <w:t>background</w:t>
      </w:r>
      <w:r w:rsidRPr="00EC06B5">
        <w:rPr>
          <w:lang w:val="en-US"/>
        </w:rPr>
        <w:t>, it is essential to examine feedback practice training when incorporating role-playing into online education within the context of MTE.</w:t>
      </w:r>
    </w:p>
    <w:p w14:paraId="7081C291" w14:textId="77777777" w:rsidR="00420D64" w:rsidRDefault="00420D64" w:rsidP="00420D64">
      <w:pPr>
        <w:pStyle w:val="Rubrik2"/>
        <w:rPr>
          <w:lang w:val="en-US"/>
        </w:rPr>
      </w:pPr>
      <w:r>
        <w:rPr>
          <w:lang w:val="en-US"/>
        </w:rPr>
        <w:t>Theory</w:t>
      </w:r>
    </w:p>
    <w:p w14:paraId="3D121F00" w14:textId="0A518BC0" w:rsidR="00420D64" w:rsidRPr="003D0A26" w:rsidRDefault="00420D64" w:rsidP="00420D64">
      <w:pPr>
        <w:pStyle w:val="Brdtext"/>
        <w:rPr>
          <w:rStyle w:val="rynqvb"/>
          <w:lang w:val="en-US"/>
        </w:rPr>
      </w:pPr>
      <w:r>
        <w:rPr>
          <w:lang w:val="en-US"/>
        </w:rPr>
        <w:t xml:space="preserve">The design of the study is informed by the experimental cyclic learning </w:t>
      </w:r>
      <w:r w:rsidRPr="004C4667">
        <w:rPr>
          <w:lang w:val="en-US"/>
        </w:rPr>
        <w:t xml:space="preserve">process </w:t>
      </w:r>
      <w:r>
        <w:rPr>
          <w:lang w:val="en-US"/>
        </w:rPr>
        <w:t xml:space="preserve">theory as utilized by </w:t>
      </w:r>
      <w:r w:rsidR="008644E1">
        <w:rPr>
          <w:noProof/>
          <w:lang w:val="en-US"/>
        </w:rPr>
        <w:t>Kazemi et al. (2015)</w:t>
      </w:r>
      <w:r>
        <w:rPr>
          <w:lang w:val="en-US"/>
        </w:rPr>
        <w:t xml:space="preserve">. </w:t>
      </w:r>
      <w:r w:rsidRPr="00ED0A1B">
        <w:rPr>
          <w:lang w:val="en-US"/>
        </w:rPr>
        <w:t>Kazemi et al.</w:t>
      </w:r>
      <w:r>
        <w:rPr>
          <w:lang w:val="en-US"/>
        </w:rPr>
        <w:t>’</w:t>
      </w:r>
      <w:r w:rsidRPr="00ED0A1B">
        <w:rPr>
          <w:lang w:val="en-US"/>
        </w:rPr>
        <w:t xml:space="preserve">s learning cycle involves four phases: (1) introduction to a teaching practice, (2) </w:t>
      </w:r>
      <w:r>
        <w:rPr>
          <w:lang w:val="en-US"/>
        </w:rPr>
        <w:t xml:space="preserve">meeting for </w:t>
      </w:r>
      <w:r w:rsidRPr="00ED0A1B">
        <w:rPr>
          <w:lang w:val="en-US"/>
        </w:rPr>
        <w:t>collaborative preparation, (3) practice enactment</w:t>
      </w:r>
      <w:r>
        <w:rPr>
          <w:lang w:val="en-US"/>
        </w:rPr>
        <w:t xml:space="preserve"> with pupils in a mathematics classroom</w:t>
      </w:r>
      <w:r w:rsidRPr="00ED0A1B">
        <w:rPr>
          <w:lang w:val="en-US"/>
        </w:rPr>
        <w:t>, and (</w:t>
      </w:r>
      <w:r>
        <w:rPr>
          <w:lang w:val="en-US"/>
        </w:rPr>
        <w:t>4</w:t>
      </w:r>
      <w:r w:rsidRPr="00ED0A1B">
        <w:rPr>
          <w:lang w:val="en-US"/>
        </w:rPr>
        <w:t>) reflective analysis</w:t>
      </w:r>
      <w:r w:rsidR="00493C17">
        <w:rPr>
          <w:lang w:val="en-US"/>
        </w:rPr>
        <w:t>,</w:t>
      </w:r>
      <w:r>
        <w:rPr>
          <w:lang w:val="en-US"/>
        </w:rPr>
        <w:t xml:space="preserve"> which </w:t>
      </w:r>
      <w:r>
        <w:rPr>
          <w:rStyle w:val="rynqvb"/>
        </w:rPr>
        <w:t>brings experiences into the next cycle</w:t>
      </w:r>
      <w:r w:rsidRPr="00ED0A1B">
        <w:rPr>
          <w:lang w:val="en-US"/>
        </w:rPr>
        <w:t>.</w:t>
      </w:r>
      <w:r>
        <w:rPr>
          <w:rStyle w:val="rynqvb"/>
          <w:lang w:val="en"/>
        </w:rPr>
        <w:t xml:space="preserve"> This paper reports on data from the enactment and analysis phase. </w:t>
      </w:r>
      <w:r w:rsidRPr="000A45C4">
        <w:rPr>
          <w:rStyle w:val="rynqvb"/>
          <w:lang w:val="en"/>
        </w:rPr>
        <w:t xml:space="preserve">To make the enactment phase fit </w:t>
      </w:r>
      <w:r>
        <w:rPr>
          <w:rStyle w:val="rynqvb"/>
          <w:lang w:val="en"/>
        </w:rPr>
        <w:t>the</w:t>
      </w:r>
      <w:r w:rsidRPr="000A45C4">
        <w:rPr>
          <w:rStyle w:val="rynqvb"/>
          <w:lang w:val="en"/>
        </w:rPr>
        <w:t xml:space="preserve"> current stud</w:t>
      </w:r>
      <w:r>
        <w:rPr>
          <w:rStyle w:val="rynqvb"/>
          <w:lang w:val="en"/>
        </w:rPr>
        <w:t>y’s context</w:t>
      </w:r>
      <w:r w:rsidRPr="000A45C4">
        <w:rPr>
          <w:rStyle w:val="rynqvb"/>
          <w:lang w:val="en"/>
        </w:rPr>
        <w:t xml:space="preserve">, </w:t>
      </w:r>
      <w:r>
        <w:rPr>
          <w:rStyle w:val="rynqvb"/>
          <w:lang w:val="en"/>
        </w:rPr>
        <w:t>modifications were made</w:t>
      </w:r>
      <w:r w:rsidRPr="000A45C4">
        <w:rPr>
          <w:rStyle w:val="rynqvb"/>
          <w:lang w:val="en"/>
        </w:rPr>
        <w:t xml:space="preserve">. Instead of </w:t>
      </w:r>
      <w:r>
        <w:rPr>
          <w:rStyle w:val="rynqvb"/>
          <w:lang w:val="en"/>
        </w:rPr>
        <w:t xml:space="preserve">enacting the feedback practice in </w:t>
      </w:r>
      <w:r w:rsidRPr="000A45C4">
        <w:rPr>
          <w:rStyle w:val="rynqvb"/>
          <w:lang w:val="en"/>
        </w:rPr>
        <w:t>traditional classroom interactions</w:t>
      </w:r>
      <w:r>
        <w:rPr>
          <w:rStyle w:val="rynqvb"/>
          <w:lang w:val="en"/>
        </w:rPr>
        <w:t xml:space="preserve"> in a school</w:t>
      </w:r>
      <w:r w:rsidRPr="000A45C4">
        <w:rPr>
          <w:rStyle w:val="rynqvb"/>
          <w:lang w:val="en"/>
        </w:rPr>
        <w:t xml:space="preserve">, participants </w:t>
      </w:r>
      <w:r w:rsidRPr="000A1BAA">
        <w:rPr>
          <w:rStyle w:val="rynqvb"/>
          <w:lang w:val="en"/>
        </w:rPr>
        <w:t>engage in approximated teaching scenarios in an online environment</w:t>
      </w:r>
      <w:r>
        <w:rPr>
          <w:rStyle w:val="rynqvb"/>
          <w:lang w:val="en"/>
        </w:rPr>
        <w:t xml:space="preserve"> where one of the participants acting as a pupil, replaces the authentic pupil. </w:t>
      </w:r>
      <w:r w:rsidRPr="00F27054">
        <w:rPr>
          <w:rStyle w:val="rynqvb"/>
          <w:lang w:val="en"/>
        </w:rPr>
        <w:t>In this way, a recurring enactment</w:t>
      </w:r>
      <w:r>
        <w:rPr>
          <w:rStyle w:val="rynqvb"/>
          <w:lang w:val="en"/>
        </w:rPr>
        <w:t xml:space="preserve"> by practising to provide feedback to pupils</w:t>
      </w:r>
      <w:r w:rsidRPr="00F27054">
        <w:rPr>
          <w:rStyle w:val="rynqvb"/>
          <w:lang w:val="en"/>
        </w:rPr>
        <w:t xml:space="preserve"> </w:t>
      </w:r>
      <w:r>
        <w:rPr>
          <w:rStyle w:val="rynqvb"/>
          <w:lang w:val="en"/>
        </w:rPr>
        <w:t>becomes</w:t>
      </w:r>
      <w:r w:rsidRPr="00F27054">
        <w:rPr>
          <w:rStyle w:val="rynqvb"/>
          <w:lang w:val="en"/>
        </w:rPr>
        <w:t xml:space="preserve"> enabled in online MTE even without access to a real classroom</w:t>
      </w:r>
      <w:r>
        <w:rPr>
          <w:rStyle w:val="rynqvb"/>
          <w:lang w:val="en"/>
        </w:rPr>
        <w:t>.</w:t>
      </w:r>
    </w:p>
    <w:p w14:paraId="048ACC32" w14:textId="77777777" w:rsidR="000323F9" w:rsidRPr="00821B65" w:rsidRDefault="000323F9" w:rsidP="000323F9">
      <w:pPr>
        <w:pStyle w:val="Rubrik3"/>
        <w:rPr>
          <w:rStyle w:val="rynqvb"/>
        </w:rPr>
      </w:pPr>
      <w:r>
        <w:rPr>
          <w:rStyle w:val="rynqvb"/>
        </w:rPr>
        <w:t>The f</w:t>
      </w:r>
      <w:r w:rsidRPr="00821B65">
        <w:rPr>
          <w:rStyle w:val="rynqvb"/>
        </w:rPr>
        <w:t>eedback</w:t>
      </w:r>
      <w:r>
        <w:rPr>
          <w:rStyle w:val="rynqvb"/>
        </w:rPr>
        <w:t xml:space="preserve"> </w:t>
      </w:r>
      <w:proofErr w:type="gramStart"/>
      <w:r>
        <w:rPr>
          <w:rStyle w:val="rynqvb"/>
        </w:rPr>
        <w:t>process</w:t>
      </w:r>
      <w:proofErr w:type="gramEnd"/>
    </w:p>
    <w:p w14:paraId="5BC83AC2" w14:textId="6DAC0BEA" w:rsidR="000323F9" w:rsidRDefault="000323F9" w:rsidP="000323F9">
      <w:pPr>
        <w:pStyle w:val="Brdtext"/>
        <w:rPr>
          <w:rStyle w:val="rynqvb"/>
          <w:lang w:val="en"/>
        </w:rPr>
      </w:pPr>
      <w:r w:rsidRPr="000C6036">
        <w:rPr>
          <w:rStyle w:val="rynqvb"/>
          <w:lang w:val="en"/>
        </w:rPr>
        <w:t xml:space="preserve">Previous studies have delineated components of formative feedback, and selected </w:t>
      </w:r>
      <w:r>
        <w:rPr>
          <w:rStyle w:val="rynqvb"/>
          <w:lang w:val="en"/>
        </w:rPr>
        <w:t>parts</w:t>
      </w:r>
      <w:r w:rsidRPr="000C6036">
        <w:rPr>
          <w:rStyle w:val="rynqvb"/>
          <w:lang w:val="en"/>
        </w:rPr>
        <w:t xml:space="preserve"> of these theoretical contributions </w:t>
      </w:r>
      <w:r>
        <w:rPr>
          <w:rStyle w:val="rynqvb"/>
          <w:lang w:val="en"/>
        </w:rPr>
        <w:t xml:space="preserve">found relevant </w:t>
      </w:r>
      <w:r w:rsidRPr="000C6036">
        <w:rPr>
          <w:rStyle w:val="rynqvb"/>
          <w:lang w:val="en"/>
        </w:rPr>
        <w:t xml:space="preserve">lend support to this </w:t>
      </w:r>
      <w:r>
        <w:rPr>
          <w:rStyle w:val="rynqvb"/>
          <w:lang w:val="en"/>
        </w:rPr>
        <w:t>study</w:t>
      </w:r>
      <w:r w:rsidRPr="000C6036">
        <w:rPr>
          <w:rStyle w:val="rynqvb"/>
          <w:lang w:val="en"/>
        </w:rPr>
        <w:t>.</w:t>
      </w:r>
      <w:r>
        <w:rPr>
          <w:rStyle w:val="rynqvb"/>
          <w:lang w:val="en"/>
        </w:rPr>
        <w:t xml:space="preserve"> The four c</w:t>
      </w:r>
      <w:r w:rsidRPr="00DA6A4A">
        <w:rPr>
          <w:rStyle w:val="rynqvb"/>
          <w:lang w:val="en"/>
        </w:rPr>
        <w:t>ategories</w:t>
      </w:r>
      <w:r w:rsidR="00191733">
        <w:rPr>
          <w:rStyle w:val="rynqvb"/>
          <w:lang w:val="en"/>
        </w:rPr>
        <w:t>,</w:t>
      </w:r>
      <w:r w:rsidRPr="00DA6A4A">
        <w:rPr>
          <w:rStyle w:val="rynqvb"/>
          <w:lang w:val="en"/>
        </w:rPr>
        <w:t xml:space="preserve"> task </w:t>
      </w:r>
      <w:r w:rsidR="003E4649">
        <w:rPr>
          <w:rStyle w:val="rynqvb"/>
          <w:lang w:val="en"/>
        </w:rPr>
        <w:t>focus</w:t>
      </w:r>
      <w:r w:rsidRPr="00DA6A4A">
        <w:rPr>
          <w:rStyle w:val="rynqvb"/>
          <w:lang w:val="en"/>
        </w:rPr>
        <w:t xml:space="preserve">, process </w:t>
      </w:r>
      <w:r w:rsidR="003E4649">
        <w:rPr>
          <w:rStyle w:val="rynqvb"/>
          <w:lang w:val="en"/>
        </w:rPr>
        <w:t>focus</w:t>
      </w:r>
      <w:r w:rsidRPr="00DA6A4A">
        <w:rPr>
          <w:rStyle w:val="rynqvb"/>
          <w:lang w:val="en"/>
        </w:rPr>
        <w:t>, self-regulat</w:t>
      </w:r>
      <w:r>
        <w:rPr>
          <w:rStyle w:val="rynqvb"/>
          <w:lang w:val="en"/>
        </w:rPr>
        <w:t>ion</w:t>
      </w:r>
      <w:r w:rsidRPr="00DA6A4A">
        <w:rPr>
          <w:rStyle w:val="rynqvb"/>
          <w:lang w:val="en"/>
        </w:rPr>
        <w:t xml:space="preserve"> </w:t>
      </w:r>
      <w:r w:rsidR="003E4649">
        <w:rPr>
          <w:rStyle w:val="rynqvb"/>
          <w:lang w:val="en"/>
        </w:rPr>
        <w:t>focus</w:t>
      </w:r>
      <w:r w:rsidRPr="00DA6A4A">
        <w:rPr>
          <w:rStyle w:val="rynqvb"/>
          <w:lang w:val="en"/>
        </w:rPr>
        <w:t xml:space="preserve">, </w:t>
      </w:r>
      <w:r>
        <w:rPr>
          <w:rStyle w:val="rynqvb"/>
          <w:lang w:val="en"/>
        </w:rPr>
        <w:t xml:space="preserve">and </w:t>
      </w:r>
      <w:r w:rsidRPr="00DA6A4A">
        <w:rPr>
          <w:rStyle w:val="rynqvb"/>
          <w:lang w:val="en"/>
        </w:rPr>
        <w:t>self</w:t>
      </w:r>
      <w:r w:rsidR="005320D8">
        <w:rPr>
          <w:rStyle w:val="rynqvb"/>
          <w:lang w:val="en"/>
        </w:rPr>
        <w:t>-</w:t>
      </w:r>
      <w:r w:rsidR="003E4649">
        <w:rPr>
          <w:rStyle w:val="rynqvb"/>
          <w:lang w:val="en"/>
        </w:rPr>
        <w:t>focus</w:t>
      </w:r>
      <w:r w:rsidR="00812B9B">
        <w:rPr>
          <w:rStyle w:val="rynqvb"/>
          <w:lang w:val="en"/>
        </w:rPr>
        <w:t>,</w:t>
      </w:r>
      <w:r w:rsidR="003E4649">
        <w:rPr>
          <w:rStyle w:val="rynqvb"/>
          <w:lang w:val="en"/>
        </w:rPr>
        <w:t xml:space="preserve"> </w:t>
      </w:r>
      <w:r>
        <w:rPr>
          <w:rStyle w:val="rynqvb"/>
          <w:lang w:val="en"/>
        </w:rPr>
        <w:t xml:space="preserve">based on </w:t>
      </w:r>
      <w:r w:rsidR="008644E1">
        <w:rPr>
          <w:rStyle w:val="rynqvb"/>
          <w:noProof/>
          <w:lang w:val="en"/>
        </w:rPr>
        <w:t>Hattie and Timperley (2007)</w:t>
      </w:r>
      <w:r w:rsidR="007D75F2">
        <w:rPr>
          <w:rStyle w:val="rynqvb"/>
          <w:lang w:val="en"/>
        </w:rPr>
        <w:t>,</w:t>
      </w:r>
      <w:r>
        <w:rPr>
          <w:rStyle w:val="rynqvb"/>
          <w:lang w:val="en"/>
        </w:rPr>
        <w:t xml:space="preserve"> capture some characteristics of expressed feedback, </w:t>
      </w:r>
      <w:r w:rsidRPr="00EC785B">
        <w:rPr>
          <w:rStyle w:val="rynqvb"/>
          <w:lang w:val="en"/>
        </w:rPr>
        <w:t xml:space="preserve">with process and </w:t>
      </w:r>
      <w:r>
        <w:rPr>
          <w:rStyle w:val="rynqvb"/>
          <w:lang w:val="en"/>
        </w:rPr>
        <w:t xml:space="preserve">self-regulation </w:t>
      </w:r>
      <w:r w:rsidR="003E4649">
        <w:rPr>
          <w:rStyle w:val="rynqvb"/>
          <w:lang w:val="en"/>
        </w:rPr>
        <w:t>focus</w:t>
      </w:r>
      <w:r w:rsidR="00874A47">
        <w:rPr>
          <w:rStyle w:val="rynqvb"/>
          <w:lang w:val="en"/>
        </w:rPr>
        <w:t>ed</w:t>
      </w:r>
      <w:r w:rsidR="003E4649" w:rsidRPr="00EC785B">
        <w:rPr>
          <w:rStyle w:val="rynqvb"/>
          <w:lang w:val="en"/>
        </w:rPr>
        <w:t xml:space="preserve"> </w:t>
      </w:r>
      <w:r w:rsidRPr="00EC785B">
        <w:rPr>
          <w:rStyle w:val="rynqvb"/>
          <w:lang w:val="en"/>
        </w:rPr>
        <w:t xml:space="preserve">feedback being the most effective, while </w:t>
      </w:r>
      <w:r w:rsidR="00312A23" w:rsidRPr="00EC785B">
        <w:rPr>
          <w:rStyle w:val="rynqvb"/>
          <w:lang w:val="en"/>
        </w:rPr>
        <w:t>self</w:t>
      </w:r>
      <w:r w:rsidR="00312A23">
        <w:rPr>
          <w:rStyle w:val="rynqvb"/>
          <w:lang w:val="en"/>
        </w:rPr>
        <w:t>-</w:t>
      </w:r>
      <w:r w:rsidR="00874A47">
        <w:rPr>
          <w:rStyle w:val="rynqvb"/>
          <w:lang w:val="en"/>
        </w:rPr>
        <w:t>focused</w:t>
      </w:r>
      <w:r w:rsidR="00874A47" w:rsidRPr="00EC785B">
        <w:rPr>
          <w:rStyle w:val="rynqvb"/>
          <w:lang w:val="en"/>
        </w:rPr>
        <w:t xml:space="preserve"> </w:t>
      </w:r>
      <w:r w:rsidRPr="00EC785B">
        <w:rPr>
          <w:rStyle w:val="rynqvb"/>
          <w:lang w:val="en"/>
        </w:rPr>
        <w:t>feedback is less efficient</w:t>
      </w:r>
      <w:r>
        <w:rPr>
          <w:rStyle w:val="rynqvb"/>
          <w:lang w:val="en"/>
        </w:rPr>
        <w:t xml:space="preserve">. </w:t>
      </w:r>
      <w:r w:rsidRPr="003A7457">
        <w:rPr>
          <w:rStyle w:val="rynqvb"/>
          <w:lang w:val="en"/>
        </w:rPr>
        <w:t xml:space="preserve">However, combining </w:t>
      </w:r>
      <w:r w:rsidR="00312A23">
        <w:rPr>
          <w:rStyle w:val="rynqvb"/>
          <w:lang w:val="en"/>
        </w:rPr>
        <w:t>self</w:t>
      </w:r>
      <w:r w:rsidR="00312A23" w:rsidRPr="003A7457">
        <w:rPr>
          <w:rStyle w:val="rynqvb"/>
          <w:lang w:val="en"/>
        </w:rPr>
        <w:t>-</w:t>
      </w:r>
      <w:r w:rsidR="00312A23">
        <w:rPr>
          <w:rStyle w:val="rynqvb"/>
          <w:lang w:val="en"/>
        </w:rPr>
        <w:t>focused</w:t>
      </w:r>
      <w:r w:rsidR="006B09F9">
        <w:rPr>
          <w:rStyle w:val="rynqvb"/>
          <w:lang w:val="en"/>
        </w:rPr>
        <w:t xml:space="preserve"> </w:t>
      </w:r>
      <w:r w:rsidRPr="003A7457">
        <w:rPr>
          <w:rStyle w:val="rynqvb"/>
          <w:lang w:val="en"/>
        </w:rPr>
        <w:t>feedback with task or process feedback can mitigate the negative effects</w:t>
      </w:r>
      <w:r>
        <w:rPr>
          <w:rStyle w:val="rynqvb"/>
          <w:lang w:val="en"/>
        </w:rPr>
        <w:t xml:space="preserve"> of </w:t>
      </w:r>
      <w:r w:rsidRPr="00A562BC">
        <w:t>feedback about the individual, e.g., repeated praise</w:t>
      </w:r>
      <w:r>
        <w:rPr>
          <w:rStyle w:val="rynqvb"/>
          <w:lang w:val="en"/>
        </w:rPr>
        <w:t xml:space="preserve"> </w:t>
      </w:r>
      <w:r w:rsidR="008644E1">
        <w:rPr>
          <w:noProof/>
        </w:rPr>
        <w:t>(Hattie &amp; Timperley, 2007)</w:t>
      </w:r>
      <w:r w:rsidRPr="00A562BC">
        <w:t>.</w:t>
      </w:r>
      <w:r>
        <w:t xml:space="preserve"> </w:t>
      </w:r>
      <w:r w:rsidRPr="0061082B">
        <w:rPr>
          <w:rStyle w:val="rynqvb"/>
          <w:lang w:val="en"/>
        </w:rPr>
        <w:t xml:space="preserve">Feedback can </w:t>
      </w:r>
      <w:r>
        <w:rPr>
          <w:rStyle w:val="rynqvb"/>
          <w:lang w:val="en"/>
        </w:rPr>
        <w:t xml:space="preserve">be communicated using </w:t>
      </w:r>
      <w:r w:rsidRPr="0061082B">
        <w:rPr>
          <w:rStyle w:val="rynqvb"/>
          <w:lang w:val="en"/>
        </w:rPr>
        <w:t>various expressi</w:t>
      </w:r>
      <w:r w:rsidR="00782C5A">
        <w:rPr>
          <w:rStyle w:val="rynqvb"/>
          <w:lang w:val="en"/>
        </w:rPr>
        <w:t>on</w:t>
      </w:r>
      <w:r w:rsidRPr="0061082B">
        <w:rPr>
          <w:rStyle w:val="rynqvb"/>
          <w:lang w:val="en"/>
        </w:rPr>
        <w:t xml:space="preserve"> forms, encompassing verbal communication, written text, laboratory materials, images, symbols, body language, and more</w:t>
      </w:r>
      <w:r>
        <w:rPr>
          <w:rStyle w:val="rynqvb"/>
          <w:lang w:val="en"/>
        </w:rPr>
        <w:t xml:space="preserve"> </w:t>
      </w:r>
      <w:r w:rsidR="008644E1">
        <w:rPr>
          <w:rStyle w:val="rynqvb"/>
          <w:noProof/>
          <w:lang w:val="en"/>
        </w:rPr>
        <w:t>(Björklund Boistrup, 2022)</w:t>
      </w:r>
      <w:r>
        <w:rPr>
          <w:rStyle w:val="rynqvb"/>
          <w:lang w:val="en"/>
        </w:rPr>
        <w:t xml:space="preserve">. These expression forms are </w:t>
      </w:r>
      <w:r w:rsidRPr="0046514D">
        <w:rPr>
          <w:rStyle w:val="rynqvb"/>
          <w:lang w:val="en"/>
        </w:rPr>
        <w:t xml:space="preserve">important </w:t>
      </w:r>
      <w:r>
        <w:rPr>
          <w:rStyle w:val="rynqvb"/>
          <w:lang w:val="en"/>
        </w:rPr>
        <w:t>in shaping</w:t>
      </w:r>
      <w:r w:rsidRPr="0046514D">
        <w:rPr>
          <w:rStyle w:val="rynqvb"/>
          <w:lang w:val="en"/>
        </w:rPr>
        <w:t xml:space="preserve"> </w:t>
      </w:r>
      <w:r>
        <w:rPr>
          <w:rStyle w:val="rynqvb"/>
          <w:lang w:val="en"/>
        </w:rPr>
        <w:t xml:space="preserve">the </w:t>
      </w:r>
      <w:r w:rsidRPr="0046514D">
        <w:rPr>
          <w:rStyle w:val="rynqvb"/>
          <w:lang w:val="en"/>
        </w:rPr>
        <w:t xml:space="preserve">meaning </w:t>
      </w:r>
      <w:r>
        <w:rPr>
          <w:rStyle w:val="rynqvb"/>
          <w:lang w:val="en"/>
        </w:rPr>
        <w:t>of</w:t>
      </w:r>
      <w:r w:rsidRPr="0046514D">
        <w:rPr>
          <w:rStyle w:val="rynqvb"/>
          <w:lang w:val="en"/>
        </w:rPr>
        <w:t xml:space="preserve"> a discourse</w:t>
      </w:r>
      <w:r>
        <w:rPr>
          <w:rStyle w:val="rynqvb"/>
          <w:lang w:val="en"/>
        </w:rPr>
        <w:t xml:space="preserve"> </w:t>
      </w:r>
      <w:r w:rsidR="008644E1">
        <w:rPr>
          <w:rStyle w:val="rynqvb"/>
          <w:noProof/>
          <w:lang w:val="en"/>
        </w:rPr>
        <w:t>(Van Leeuwen, 2005)</w:t>
      </w:r>
      <w:r>
        <w:rPr>
          <w:rStyle w:val="rynqvb"/>
          <w:lang w:val="en"/>
        </w:rPr>
        <w:t xml:space="preserve">. One expression form of feedback is also when teachers are being silent. Allowing the pupil more than three seconds to reply is rare among teachers but leads to </w:t>
      </w:r>
      <w:r w:rsidRPr="00300A54">
        <w:rPr>
          <w:rStyle w:val="rynqvb"/>
          <w:lang w:val="en"/>
        </w:rPr>
        <w:t>improved quality and quantity o</w:t>
      </w:r>
      <w:r>
        <w:rPr>
          <w:rStyle w:val="rynqvb"/>
          <w:lang w:val="en"/>
        </w:rPr>
        <w:t>f</w:t>
      </w:r>
      <w:r w:rsidRPr="00300A54">
        <w:rPr>
          <w:rStyle w:val="rynqvb"/>
          <w:lang w:val="en"/>
        </w:rPr>
        <w:t xml:space="preserve"> </w:t>
      </w:r>
      <w:r>
        <w:rPr>
          <w:rStyle w:val="rynqvb"/>
          <w:lang w:val="en"/>
        </w:rPr>
        <w:t>pupil</w:t>
      </w:r>
      <w:r w:rsidRPr="00300A54">
        <w:rPr>
          <w:rStyle w:val="rynqvb"/>
          <w:lang w:val="en"/>
        </w:rPr>
        <w:t xml:space="preserve"> responses</w:t>
      </w:r>
      <w:r>
        <w:rPr>
          <w:rStyle w:val="rynqvb"/>
          <w:lang w:val="en"/>
        </w:rPr>
        <w:t xml:space="preserve"> </w:t>
      </w:r>
      <w:r w:rsidR="008644E1">
        <w:rPr>
          <w:rStyle w:val="rynqvb"/>
          <w:noProof/>
          <w:lang w:val="en"/>
        </w:rPr>
        <w:t>(Björklund Boistrup, 2022; Rowe, 2003)</w:t>
      </w:r>
      <w:r w:rsidRPr="00300A54">
        <w:rPr>
          <w:rStyle w:val="rynqvb"/>
          <w:lang w:val="en"/>
        </w:rPr>
        <w:t>.</w:t>
      </w:r>
    </w:p>
    <w:p w14:paraId="2B82FED7" w14:textId="11D919F1" w:rsidR="000323F9" w:rsidRPr="00725026" w:rsidRDefault="000323F9" w:rsidP="000323F9">
      <w:pPr>
        <w:rPr>
          <w:rStyle w:val="rynqvb"/>
        </w:rPr>
      </w:pPr>
      <w:r w:rsidRPr="0040225E">
        <w:rPr>
          <w:rStyle w:val="rynqvb"/>
          <w:lang w:val="en"/>
        </w:rPr>
        <w:lastRenderedPageBreak/>
        <w:t xml:space="preserve">The communication between teacher and </w:t>
      </w:r>
      <w:r>
        <w:rPr>
          <w:rStyle w:val="rynqvb"/>
          <w:lang w:val="en"/>
        </w:rPr>
        <w:t>pupil</w:t>
      </w:r>
      <w:r w:rsidRPr="0040225E">
        <w:rPr>
          <w:rStyle w:val="rynqvb"/>
          <w:lang w:val="en"/>
        </w:rPr>
        <w:t xml:space="preserve"> during feedback processes </w:t>
      </w:r>
      <w:r>
        <w:rPr>
          <w:rStyle w:val="rynqvb"/>
          <w:lang w:val="en"/>
        </w:rPr>
        <w:t xml:space="preserve">varies </w:t>
      </w:r>
      <w:r w:rsidRPr="0040225E">
        <w:rPr>
          <w:rStyle w:val="rynqvb"/>
          <w:lang w:val="en"/>
        </w:rPr>
        <w:t xml:space="preserve">and </w:t>
      </w:r>
      <w:r>
        <w:rPr>
          <w:rStyle w:val="rynqvb"/>
          <w:lang w:val="en"/>
        </w:rPr>
        <w:t>involves the pupil</w:t>
      </w:r>
      <w:r w:rsidRPr="0040225E">
        <w:rPr>
          <w:rStyle w:val="rynqvb"/>
          <w:lang w:val="en"/>
        </w:rPr>
        <w:t xml:space="preserve"> to differing extents. This </w:t>
      </w:r>
      <w:r>
        <w:rPr>
          <w:rStyle w:val="rynqvb"/>
          <w:lang w:val="en"/>
        </w:rPr>
        <w:t>study</w:t>
      </w:r>
      <w:r w:rsidRPr="0040225E">
        <w:rPr>
          <w:rStyle w:val="rynqvb"/>
          <w:lang w:val="en"/>
        </w:rPr>
        <w:t xml:space="preserve"> considers </w:t>
      </w:r>
      <w:r>
        <w:rPr>
          <w:rStyle w:val="rynqvb"/>
          <w:lang w:val="en"/>
        </w:rPr>
        <w:t xml:space="preserve">teacher-pupil </w:t>
      </w:r>
      <w:r w:rsidRPr="0040225E">
        <w:rPr>
          <w:rStyle w:val="rynqvb"/>
          <w:lang w:val="en"/>
        </w:rPr>
        <w:t>communication as an integral part of the feedback process. Consequently, the framework integrates two levels of communication characteristics, drawing inspiration from</w:t>
      </w:r>
      <w:r>
        <w:rPr>
          <w:rStyle w:val="rynqvb"/>
          <w:lang w:val="en"/>
        </w:rPr>
        <w:t xml:space="preserve"> </w:t>
      </w:r>
      <w:r w:rsidR="008644E1">
        <w:rPr>
          <w:rStyle w:val="rynqvb"/>
          <w:noProof/>
          <w:lang w:val="en"/>
        </w:rPr>
        <w:t>Hufferd-Ackles et al. (2004)</w:t>
      </w:r>
      <w:r>
        <w:rPr>
          <w:rStyle w:val="rynqvb"/>
          <w:lang w:val="en"/>
        </w:rPr>
        <w:t>.</w:t>
      </w:r>
      <w:r w:rsidRPr="0040225E">
        <w:rPr>
          <w:rStyle w:val="rynqvb"/>
          <w:lang w:val="en"/>
        </w:rPr>
        <w:t xml:space="preserve"> </w:t>
      </w:r>
      <w:r>
        <w:rPr>
          <w:rStyle w:val="rynqvb"/>
          <w:lang w:val="en"/>
        </w:rPr>
        <w:t>They</w:t>
      </w:r>
      <w:r w:rsidRPr="0040225E">
        <w:rPr>
          <w:rStyle w:val="rynqvb"/>
          <w:lang w:val="en"/>
        </w:rPr>
        <w:t xml:space="preserve"> </w:t>
      </w:r>
      <w:r>
        <w:rPr>
          <w:rStyle w:val="rynqvb"/>
          <w:lang w:val="en"/>
        </w:rPr>
        <w:t>advocate</w:t>
      </w:r>
      <w:r w:rsidRPr="0040225E">
        <w:rPr>
          <w:rStyle w:val="rynqvb"/>
          <w:lang w:val="en"/>
        </w:rPr>
        <w:t xml:space="preserve"> a transition from a </w:t>
      </w:r>
      <w:r>
        <w:rPr>
          <w:rStyle w:val="rynqvb"/>
          <w:lang w:val="en"/>
        </w:rPr>
        <w:t>teacher-centred</w:t>
      </w:r>
      <w:r w:rsidRPr="0040225E">
        <w:rPr>
          <w:rStyle w:val="rynqvb"/>
          <w:lang w:val="en"/>
        </w:rPr>
        <w:t xml:space="preserve"> </w:t>
      </w:r>
      <w:r w:rsidRPr="0072605A">
        <w:rPr>
          <w:rStyle w:val="rynqvb"/>
          <w:lang w:val="en"/>
        </w:rPr>
        <w:t>to a more pupil-focused approach, promoting increased pupil engagement</w:t>
      </w:r>
      <w:r>
        <w:rPr>
          <w:rStyle w:val="rynqvb"/>
          <w:lang w:val="en"/>
        </w:rPr>
        <w:t>. U</w:t>
      </w:r>
      <w:r w:rsidRPr="00884A51">
        <w:rPr>
          <w:rStyle w:val="rynqvb"/>
          <w:lang w:val="en"/>
        </w:rPr>
        <w:t>nlike Hufferd</w:t>
      </w:r>
      <w:r>
        <w:rPr>
          <w:rStyle w:val="rynqvb"/>
          <w:lang w:val="en"/>
        </w:rPr>
        <w:t>-Ackles et al</w:t>
      </w:r>
      <w:r w:rsidR="00BA28F3">
        <w:rPr>
          <w:rStyle w:val="rynqvb"/>
          <w:lang w:val="en"/>
        </w:rPr>
        <w:t>.</w:t>
      </w:r>
      <w:r w:rsidRPr="00884A51">
        <w:rPr>
          <w:rStyle w:val="rynqvb"/>
          <w:lang w:val="en"/>
        </w:rPr>
        <w:t>, only level</w:t>
      </w:r>
      <w:r w:rsidR="008779FB">
        <w:rPr>
          <w:rStyle w:val="rynqvb"/>
          <w:lang w:val="en"/>
        </w:rPr>
        <w:t>s</w:t>
      </w:r>
      <w:r w:rsidRPr="00884A51">
        <w:rPr>
          <w:rStyle w:val="rynqvb"/>
          <w:lang w:val="en"/>
        </w:rPr>
        <w:t xml:space="preserve"> 0 and 1 are used</w:t>
      </w:r>
      <w:r>
        <w:rPr>
          <w:rStyle w:val="rynqvb"/>
          <w:lang w:val="en"/>
        </w:rPr>
        <w:t xml:space="preserve"> in this study</w:t>
      </w:r>
      <w:r w:rsidRPr="00884A51">
        <w:rPr>
          <w:rStyle w:val="rynqvb"/>
          <w:lang w:val="en"/>
        </w:rPr>
        <w:t>, as level</w:t>
      </w:r>
      <w:r w:rsidR="008779FB">
        <w:rPr>
          <w:rStyle w:val="rynqvb"/>
          <w:lang w:val="en"/>
        </w:rPr>
        <w:t>s</w:t>
      </w:r>
      <w:r w:rsidRPr="00884A51">
        <w:rPr>
          <w:rStyle w:val="rynqvb"/>
          <w:lang w:val="en"/>
        </w:rPr>
        <w:t xml:space="preserve"> 2 and 3 assume several </w:t>
      </w:r>
      <w:r>
        <w:rPr>
          <w:rStyle w:val="rynqvb"/>
          <w:lang w:val="en"/>
        </w:rPr>
        <w:t>pupils</w:t>
      </w:r>
      <w:r w:rsidR="00D74457">
        <w:rPr>
          <w:rStyle w:val="rynqvb"/>
          <w:lang w:val="en"/>
        </w:rPr>
        <w:t xml:space="preserve"> </w:t>
      </w:r>
      <w:r w:rsidR="00E62C71">
        <w:rPr>
          <w:rStyle w:val="rynqvb"/>
          <w:lang w:val="en"/>
        </w:rPr>
        <w:t>are</w:t>
      </w:r>
      <w:r w:rsidRPr="00884A51">
        <w:rPr>
          <w:rStyle w:val="rynqvb"/>
          <w:lang w:val="en"/>
        </w:rPr>
        <w:t xml:space="preserve"> involved.</w:t>
      </w:r>
      <w:r>
        <w:rPr>
          <w:rStyle w:val="rynqvb"/>
          <w:lang w:val="en"/>
        </w:rPr>
        <w:t xml:space="preserve"> </w:t>
      </w:r>
      <w:r w:rsidRPr="00D52074">
        <w:rPr>
          <w:rStyle w:val="rynqvb"/>
          <w:lang w:val="en"/>
        </w:rPr>
        <w:t>What defines level 0 and 1 is described later in this paper.</w:t>
      </w:r>
    </w:p>
    <w:p w14:paraId="09A3EA1E" w14:textId="77777777" w:rsidR="00373DC9" w:rsidRPr="00821B65" w:rsidRDefault="00373DC9" w:rsidP="00373DC9">
      <w:pPr>
        <w:pStyle w:val="Rubrik2"/>
        <w:rPr>
          <w:rStyle w:val="rynqvb"/>
        </w:rPr>
      </w:pPr>
      <w:r w:rsidRPr="00821B65">
        <w:rPr>
          <w:rStyle w:val="rynqvb"/>
        </w:rPr>
        <w:t>Methodology</w:t>
      </w:r>
    </w:p>
    <w:p w14:paraId="70592862" w14:textId="77777777" w:rsidR="00373DC9" w:rsidRPr="00821B65" w:rsidRDefault="00373DC9" w:rsidP="00373DC9">
      <w:pPr>
        <w:pStyle w:val="Rubrik3"/>
        <w:rPr>
          <w:rStyle w:val="rynqvb"/>
        </w:rPr>
      </w:pPr>
      <w:r w:rsidRPr="00821B65">
        <w:rPr>
          <w:rStyle w:val="rynqvb"/>
        </w:rPr>
        <w:t>Context and participants</w:t>
      </w:r>
    </w:p>
    <w:p w14:paraId="276F2D3E" w14:textId="431742CA" w:rsidR="00373DC9" w:rsidRPr="00FC4F03" w:rsidRDefault="00373DC9" w:rsidP="00373DC9">
      <w:pPr>
        <w:pStyle w:val="Brdtext"/>
        <w:rPr>
          <w:lang w:val="en"/>
        </w:rPr>
      </w:pPr>
      <w:r>
        <w:rPr>
          <w:rStyle w:val="rynqvb"/>
          <w:lang w:val="en"/>
        </w:rPr>
        <w:t xml:space="preserve">The participants in the study are students taking their </w:t>
      </w:r>
      <w:r w:rsidRPr="00E4485C">
        <w:rPr>
          <w:rStyle w:val="rynqvb"/>
          <w:lang w:val="en"/>
        </w:rPr>
        <w:t>eighth</w:t>
      </w:r>
      <w:r>
        <w:rPr>
          <w:rStyle w:val="rynqvb"/>
          <w:lang w:val="en"/>
        </w:rPr>
        <w:t xml:space="preserve"> </w:t>
      </w:r>
      <w:r w:rsidRPr="00E4485C">
        <w:rPr>
          <w:rStyle w:val="rynqvb"/>
          <w:lang w:val="en"/>
        </w:rPr>
        <w:t>semester in</w:t>
      </w:r>
      <w:r>
        <w:rPr>
          <w:rStyle w:val="rynqvb"/>
          <w:lang w:val="en"/>
        </w:rPr>
        <w:t xml:space="preserve"> a Swedish</w:t>
      </w:r>
      <w:r w:rsidRPr="00E4485C">
        <w:rPr>
          <w:rStyle w:val="rynqvb"/>
          <w:lang w:val="en"/>
        </w:rPr>
        <w:t xml:space="preserve"> </w:t>
      </w:r>
      <w:r>
        <w:rPr>
          <w:rStyle w:val="rynqvb"/>
          <w:lang w:val="en"/>
        </w:rPr>
        <w:t xml:space="preserve">online </w:t>
      </w:r>
      <w:r w:rsidRPr="00E4485C">
        <w:rPr>
          <w:rStyle w:val="rynqvb"/>
          <w:lang w:val="en"/>
        </w:rPr>
        <w:t>mathematics secondary teacher education</w:t>
      </w:r>
      <w:r>
        <w:rPr>
          <w:rStyle w:val="rynqvb"/>
          <w:lang w:val="en"/>
        </w:rPr>
        <w:t>. At the time of the study, these students were in a course b</w:t>
      </w:r>
      <w:r w:rsidRPr="00E4485C">
        <w:rPr>
          <w:rStyle w:val="rynqvb"/>
          <w:lang w:val="en"/>
        </w:rPr>
        <w:t>r</w:t>
      </w:r>
      <w:r>
        <w:rPr>
          <w:rStyle w:val="rynqvb"/>
          <w:lang w:val="en"/>
        </w:rPr>
        <w:t>inging t</w:t>
      </w:r>
      <w:r w:rsidRPr="00E4485C">
        <w:rPr>
          <w:rStyle w:val="rynqvb"/>
          <w:lang w:val="en"/>
        </w:rPr>
        <w:t xml:space="preserve">ogether pre-service teachers from various subjects. </w:t>
      </w:r>
      <w:r>
        <w:rPr>
          <w:rStyle w:val="rynqvb"/>
          <w:lang w:val="en"/>
        </w:rPr>
        <w:t>All t</w:t>
      </w:r>
      <w:r w:rsidRPr="00E4485C">
        <w:rPr>
          <w:rStyle w:val="rynqvb"/>
          <w:lang w:val="en"/>
        </w:rPr>
        <w:t xml:space="preserve">hree students specializing in mathematics </w:t>
      </w:r>
      <w:r>
        <w:rPr>
          <w:rStyle w:val="rynqvb"/>
          <w:lang w:val="en"/>
        </w:rPr>
        <w:t>consented to participate</w:t>
      </w:r>
      <w:r w:rsidRPr="00E4485C">
        <w:rPr>
          <w:rStyle w:val="rynqvb"/>
          <w:lang w:val="en"/>
        </w:rPr>
        <w:t xml:space="preserve"> in </w:t>
      </w:r>
      <w:r>
        <w:rPr>
          <w:rStyle w:val="rynqvb"/>
          <w:lang w:val="en"/>
        </w:rPr>
        <w:t>the</w:t>
      </w:r>
      <w:r w:rsidRPr="00E4485C">
        <w:rPr>
          <w:rStyle w:val="rynqvb"/>
          <w:lang w:val="en"/>
        </w:rPr>
        <w:t xml:space="preserve"> study. </w:t>
      </w:r>
      <w:r>
        <w:rPr>
          <w:rStyle w:val="rynqvb"/>
          <w:lang w:val="en"/>
        </w:rPr>
        <w:t>T</w:t>
      </w:r>
      <w:r w:rsidRPr="00E4485C">
        <w:rPr>
          <w:rStyle w:val="rynqvb"/>
          <w:lang w:val="en"/>
        </w:rPr>
        <w:t xml:space="preserve">he two </w:t>
      </w:r>
      <w:r>
        <w:rPr>
          <w:rStyle w:val="rynqvb"/>
          <w:lang w:val="en"/>
        </w:rPr>
        <w:t>meetings</w:t>
      </w:r>
      <w:r w:rsidRPr="00E4485C">
        <w:rPr>
          <w:rStyle w:val="rynqvb"/>
          <w:lang w:val="en"/>
        </w:rPr>
        <w:t xml:space="preserve"> </w:t>
      </w:r>
      <w:r>
        <w:rPr>
          <w:rStyle w:val="rynqvb"/>
          <w:lang w:val="en"/>
        </w:rPr>
        <w:t xml:space="preserve">for data collection, hereafter called </w:t>
      </w:r>
      <w:r w:rsidR="00AD61EF">
        <w:rPr>
          <w:rStyle w:val="rynqvb"/>
          <w:lang w:val="en"/>
        </w:rPr>
        <w:t>a</w:t>
      </w:r>
      <w:r>
        <w:rPr>
          <w:rStyle w:val="rynqvb"/>
          <w:lang w:val="en"/>
        </w:rPr>
        <w:t>ctivit</w:t>
      </w:r>
      <w:r w:rsidR="001F25FB">
        <w:rPr>
          <w:rStyle w:val="rynqvb"/>
          <w:lang w:val="en"/>
        </w:rPr>
        <w:t>ies</w:t>
      </w:r>
      <w:r>
        <w:rPr>
          <w:rStyle w:val="rynqvb"/>
          <w:lang w:val="en"/>
        </w:rPr>
        <w:t xml:space="preserve"> 1 and 2,</w:t>
      </w:r>
      <w:r w:rsidRPr="00E4485C">
        <w:rPr>
          <w:rStyle w:val="rynqvb"/>
          <w:lang w:val="en"/>
        </w:rPr>
        <w:t xml:space="preserve"> were separate from </w:t>
      </w:r>
      <w:r>
        <w:rPr>
          <w:rStyle w:val="rynqvb"/>
          <w:lang w:val="en"/>
        </w:rPr>
        <w:t>participation in the</w:t>
      </w:r>
      <w:r w:rsidRPr="00E4485C">
        <w:rPr>
          <w:rStyle w:val="rynqvb"/>
          <w:lang w:val="en"/>
        </w:rPr>
        <w:t xml:space="preserve"> university course.</w:t>
      </w:r>
      <w:r>
        <w:rPr>
          <w:rStyle w:val="rynqvb"/>
          <w:lang w:val="en"/>
        </w:rPr>
        <w:t xml:space="preserve"> </w:t>
      </w:r>
      <w:r>
        <w:rPr>
          <w:lang w:val="en"/>
        </w:rPr>
        <w:t xml:space="preserve">To reduce power imbalance </w:t>
      </w:r>
      <w:r w:rsidR="008644E1">
        <w:rPr>
          <w:noProof/>
          <w:lang w:val="en"/>
        </w:rPr>
        <w:t>(Hayes et al., 2008)</w:t>
      </w:r>
      <w:r w:rsidR="008779FB">
        <w:rPr>
          <w:lang w:val="en"/>
        </w:rPr>
        <w:t>,</w:t>
      </w:r>
      <w:r>
        <w:rPr>
          <w:lang w:val="en"/>
        </w:rPr>
        <w:t xml:space="preserve"> the researcher, who taught other students in the university course, was not involved in the three participants’ studies in the university course </w:t>
      </w:r>
      <w:r w:rsidRPr="00FD6EA1">
        <w:rPr>
          <w:lang w:val="en-US"/>
        </w:rPr>
        <w:t>addressing the issue of dual roles.</w:t>
      </w:r>
    </w:p>
    <w:p w14:paraId="6F275DE4" w14:textId="77777777" w:rsidR="00373DC9" w:rsidRPr="00821B65" w:rsidRDefault="00373DC9" w:rsidP="00373DC9">
      <w:pPr>
        <w:pStyle w:val="Rubrik3"/>
        <w:rPr>
          <w:rStyle w:val="rynqvb"/>
        </w:rPr>
      </w:pPr>
      <w:r w:rsidRPr="00821B65">
        <w:rPr>
          <w:rStyle w:val="rynqvb"/>
        </w:rPr>
        <w:t>Design of activities</w:t>
      </w:r>
    </w:p>
    <w:p w14:paraId="5449E0C6" w14:textId="28E7188F" w:rsidR="00373DC9" w:rsidRPr="003632DE" w:rsidRDefault="00373DC9" w:rsidP="00373DC9">
      <w:pPr>
        <w:pStyle w:val="Brdtext"/>
        <w:rPr>
          <w:rStyle w:val="rynqvb"/>
          <w:lang w:val="en-US"/>
        </w:rPr>
      </w:pPr>
      <w:r w:rsidRPr="008A205D">
        <w:rPr>
          <w:rStyle w:val="rynqvb"/>
          <w:lang w:val="en"/>
        </w:rPr>
        <w:t xml:space="preserve">For data generation pertaining to </w:t>
      </w:r>
      <w:r>
        <w:rPr>
          <w:rStyle w:val="rynqvb"/>
          <w:lang w:val="en"/>
        </w:rPr>
        <w:t>the</w:t>
      </w:r>
      <w:r w:rsidRPr="008A205D">
        <w:rPr>
          <w:rStyle w:val="rynqvb"/>
          <w:lang w:val="en"/>
        </w:rPr>
        <w:t xml:space="preserve"> research question, </w:t>
      </w:r>
      <w:r>
        <w:rPr>
          <w:rStyle w:val="rynqvb"/>
          <w:lang w:val="en"/>
        </w:rPr>
        <w:t xml:space="preserve">during </w:t>
      </w:r>
      <w:r w:rsidR="00AD61EF">
        <w:rPr>
          <w:rStyle w:val="rynqvb"/>
          <w:lang w:val="en"/>
        </w:rPr>
        <w:t>a</w:t>
      </w:r>
      <w:r>
        <w:rPr>
          <w:rStyle w:val="rynqvb"/>
          <w:lang w:val="en"/>
        </w:rPr>
        <w:t xml:space="preserve">ctivity 1, different </w:t>
      </w:r>
      <w:r w:rsidRPr="008A205D">
        <w:rPr>
          <w:rStyle w:val="rynqvb"/>
          <w:lang w:val="en"/>
        </w:rPr>
        <w:t>role-play</w:t>
      </w:r>
      <w:r>
        <w:rPr>
          <w:rStyle w:val="rynqvb"/>
          <w:lang w:val="en"/>
        </w:rPr>
        <w:t>s</w:t>
      </w:r>
      <w:r w:rsidRPr="008A205D">
        <w:rPr>
          <w:rStyle w:val="rynqvb"/>
          <w:lang w:val="en"/>
        </w:rPr>
        <w:t xml:space="preserve"> in which participants assumed the roles of either a teacher or a </w:t>
      </w:r>
      <w:r>
        <w:rPr>
          <w:rStyle w:val="rynqvb"/>
          <w:lang w:val="en"/>
        </w:rPr>
        <w:t>pupil were employed</w:t>
      </w:r>
      <w:r w:rsidRPr="008A205D">
        <w:rPr>
          <w:rStyle w:val="rynqvb"/>
          <w:lang w:val="en"/>
        </w:rPr>
        <w:t xml:space="preserve">. </w:t>
      </w:r>
      <w:r>
        <w:rPr>
          <w:rStyle w:val="rynqvb"/>
          <w:lang w:val="en"/>
        </w:rPr>
        <w:t>The</w:t>
      </w:r>
      <w:r w:rsidRPr="008A205D">
        <w:rPr>
          <w:rStyle w:val="rynqvb"/>
          <w:lang w:val="en"/>
        </w:rPr>
        <w:t xml:space="preserve"> </w:t>
      </w:r>
      <w:r>
        <w:rPr>
          <w:rStyle w:val="rynqvb"/>
          <w:lang w:val="en"/>
        </w:rPr>
        <w:t>role-play session</w:t>
      </w:r>
      <w:r w:rsidRPr="008A205D">
        <w:rPr>
          <w:rStyle w:val="rynqvb"/>
          <w:lang w:val="en"/>
        </w:rPr>
        <w:t xml:space="preserve"> w</w:t>
      </w:r>
      <w:r>
        <w:rPr>
          <w:rStyle w:val="rynqvb"/>
          <w:lang w:val="en"/>
        </w:rPr>
        <w:t>as</w:t>
      </w:r>
      <w:r w:rsidRPr="008A205D">
        <w:rPr>
          <w:rStyle w:val="rynqvb"/>
          <w:lang w:val="en"/>
        </w:rPr>
        <w:t xml:space="preserve"> preceded by an introduction to the subject of feedback through university course materials and a collaborative exchange of feedback ideas among the participants</w:t>
      </w:r>
      <w:r>
        <w:rPr>
          <w:rStyle w:val="rynqvb"/>
          <w:lang w:val="en"/>
        </w:rPr>
        <w:t xml:space="preserve"> before they enacted their ideas in the role-plays. The role-plays were based on tasks</w:t>
      </w:r>
      <w:r w:rsidRPr="006330B1">
        <w:rPr>
          <w:rStyle w:val="rynqvb"/>
          <w:lang w:val="en"/>
        </w:rPr>
        <w:t xml:space="preserve"> from various areas of math</w:t>
      </w:r>
      <w:r>
        <w:rPr>
          <w:rStyle w:val="rynqvb"/>
          <w:lang w:val="en"/>
        </w:rPr>
        <w:t>ematics</w:t>
      </w:r>
      <w:r w:rsidRPr="006330B1">
        <w:rPr>
          <w:rStyle w:val="rynqvb"/>
          <w:lang w:val="en"/>
        </w:rPr>
        <w:t xml:space="preserve"> to show </w:t>
      </w:r>
      <w:r>
        <w:rPr>
          <w:rStyle w:val="rynqvb"/>
          <w:lang w:val="en"/>
        </w:rPr>
        <w:t>difficulties</w:t>
      </w:r>
      <w:r w:rsidRPr="006330B1">
        <w:rPr>
          <w:rStyle w:val="rynqvb"/>
          <w:lang w:val="en"/>
        </w:rPr>
        <w:t xml:space="preserve"> </w:t>
      </w:r>
      <w:r>
        <w:rPr>
          <w:rStyle w:val="rynqvb"/>
          <w:lang w:val="en"/>
        </w:rPr>
        <w:t>pupil</w:t>
      </w:r>
      <w:r w:rsidRPr="006330B1">
        <w:rPr>
          <w:rStyle w:val="rynqvb"/>
          <w:lang w:val="en"/>
        </w:rPr>
        <w:t xml:space="preserve">s </w:t>
      </w:r>
      <w:r>
        <w:rPr>
          <w:rStyle w:val="rynqvb"/>
          <w:lang w:val="en"/>
        </w:rPr>
        <w:t>commonly demonstrate</w:t>
      </w:r>
      <w:r w:rsidRPr="006330B1">
        <w:rPr>
          <w:rStyle w:val="rynqvb"/>
          <w:lang w:val="en"/>
        </w:rPr>
        <w:t xml:space="preserve"> in math</w:t>
      </w:r>
      <w:r>
        <w:rPr>
          <w:rStyle w:val="rynqvb"/>
          <w:lang w:val="en"/>
        </w:rPr>
        <w:t>ematics</w:t>
      </w:r>
      <w:r w:rsidRPr="006330B1">
        <w:rPr>
          <w:rStyle w:val="rynqvb"/>
          <w:lang w:val="en"/>
        </w:rPr>
        <w:t xml:space="preserve"> education</w:t>
      </w:r>
      <w:r>
        <w:rPr>
          <w:rStyle w:val="rynqvb"/>
          <w:lang w:val="en"/>
        </w:rPr>
        <w:t xml:space="preserve"> </w:t>
      </w:r>
      <w:r w:rsidR="008644E1">
        <w:rPr>
          <w:rStyle w:val="rynqvb"/>
          <w:noProof/>
          <w:lang w:val="en"/>
        </w:rPr>
        <w:t>(e.g., Di Lonardo Burr et al., 2020)</w:t>
      </w:r>
      <w:r w:rsidRPr="006330B1">
        <w:rPr>
          <w:rStyle w:val="rynqvb"/>
          <w:lang w:val="en"/>
        </w:rPr>
        <w:t xml:space="preserve">. </w:t>
      </w:r>
      <w:r w:rsidRPr="00C866B0">
        <w:rPr>
          <w:rStyle w:val="rynqvb"/>
          <w:lang w:val="en"/>
        </w:rPr>
        <w:t>The purpose of the choice of tasks was not to challenge the participants</w:t>
      </w:r>
      <w:r>
        <w:rPr>
          <w:rStyle w:val="rynqvb"/>
          <w:lang w:val="en"/>
        </w:rPr>
        <w:t>’</w:t>
      </w:r>
      <w:r w:rsidRPr="00C866B0">
        <w:rPr>
          <w:rStyle w:val="rynqvb"/>
          <w:lang w:val="en"/>
        </w:rPr>
        <w:t xml:space="preserve"> mathematical knowledge but to form a basis for feedback in mathematics teaching</w:t>
      </w:r>
      <w:r>
        <w:rPr>
          <w:rStyle w:val="rynqvb"/>
          <w:lang w:val="en"/>
        </w:rPr>
        <w:t>. Every role-play started with a moment of individual reflection on a given mathematical task and a fictional pupil’s associated written incorrect solution. Then, t</w:t>
      </w:r>
      <w:r w:rsidRPr="00C624D3">
        <w:rPr>
          <w:rStyle w:val="rynqvb"/>
          <w:lang w:val="en"/>
        </w:rPr>
        <w:t xml:space="preserve">he </w:t>
      </w:r>
      <w:r>
        <w:rPr>
          <w:rStyle w:val="rynqvb"/>
          <w:lang w:val="en"/>
        </w:rPr>
        <w:t xml:space="preserve">acting </w:t>
      </w:r>
      <w:r w:rsidRPr="00C624D3">
        <w:rPr>
          <w:rStyle w:val="rynqvb"/>
          <w:lang w:val="en"/>
        </w:rPr>
        <w:t>teacher ask</w:t>
      </w:r>
      <w:r>
        <w:rPr>
          <w:rStyle w:val="rynqvb"/>
          <w:lang w:val="en"/>
        </w:rPr>
        <w:t>ed</w:t>
      </w:r>
      <w:r w:rsidRPr="00C624D3">
        <w:rPr>
          <w:rStyle w:val="rynqvb"/>
          <w:lang w:val="en"/>
        </w:rPr>
        <w:t xml:space="preserve"> questions </w:t>
      </w:r>
      <w:r>
        <w:rPr>
          <w:rStyle w:val="rynqvb"/>
          <w:lang w:val="en"/>
        </w:rPr>
        <w:t xml:space="preserve">to the acting pupil </w:t>
      </w:r>
      <w:r w:rsidRPr="00C624D3">
        <w:rPr>
          <w:rStyle w:val="rynqvb"/>
          <w:lang w:val="en"/>
        </w:rPr>
        <w:t>to understand the pupil’s thinking and responded accordingly</w:t>
      </w:r>
      <w:r>
        <w:rPr>
          <w:rStyle w:val="rynqvb"/>
          <w:lang w:val="en"/>
        </w:rPr>
        <w:t xml:space="preserve">. </w:t>
      </w:r>
      <w:r w:rsidRPr="007757CA">
        <w:rPr>
          <w:rStyle w:val="rynqvb"/>
          <w:lang w:val="en"/>
        </w:rPr>
        <w:t>It is worth noting that the role-play was not about acting</w:t>
      </w:r>
      <w:r>
        <w:rPr>
          <w:rStyle w:val="rynqvb"/>
          <w:lang w:val="en"/>
        </w:rPr>
        <w:t xml:space="preserve"> as an actress</w:t>
      </w:r>
      <w:r w:rsidRPr="007757CA">
        <w:rPr>
          <w:rStyle w:val="rynqvb"/>
          <w:lang w:val="en"/>
        </w:rPr>
        <w:t>, but express</w:t>
      </w:r>
      <w:r>
        <w:rPr>
          <w:rStyle w:val="rynqvb"/>
          <w:lang w:val="en"/>
        </w:rPr>
        <w:t>ing</w:t>
      </w:r>
      <w:r w:rsidRPr="007757CA">
        <w:rPr>
          <w:rStyle w:val="rynqvb"/>
          <w:lang w:val="en"/>
        </w:rPr>
        <w:t xml:space="preserve"> what </w:t>
      </w:r>
      <w:r>
        <w:rPr>
          <w:rStyle w:val="rynqvb"/>
          <w:lang w:val="en"/>
        </w:rPr>
        <w:t>is found</w:t>
      </w:r>
      <w:r w:rsidRPr="007757CA">
        <w:rPr>
          <w:rStyle w:val="rynqvb"/>
          <w:lang w:val="en"/>
        </w:rPr>
        <w:t xml:space="preserve"> appropriate for the task.</w:t>
      </w:r>
      <w:r w:rsidRPr="00D834B7">
        <w:rPr>
          <w:lang w:val="en-US"/>
        </w:rPr>
        <w:t xml:space="preserve"> </w:t>
      </w:r>
      <w:r>
        <w:rPr>
          <w:rStyle w:val="rynqvb"/>
          <w:lang w:val="en"/>
        </w:rPr>
        <w:t xml:space="preserve">Based on the recommendations of </w:t>
      </w:r>
      <w:r w:rsidR="008644E1">
        <w:rPr>
          <w:rStyle w:val="rynqvb"/>
          <w:noProof/>
          <w:lang w:val="en"/>
        </w:rPr>
        <w:t>Shaughnessy and Boerst (2018)</w:t>
      </w:r>
      <w:r>
        <w:rPr>
          <w:rStyle w:val="rynqvb"/>
          <w:lang w:val="en"/>
        </w:rPr>
        <w:t>, the acting pupil</w:t>
      </w:r>
      <w:r w:rsidRPr="00D834B7">
        <w:rPr>
          <w:rStyle w:val="rynqvb"/>
          <w:lang w:val="en"/>
        </w:rPr>
        <w:t xml:space="preserve"> was </w:t>
      </w:r>
      <w:r>
        <w:rPr>
          <w:rStyle w:val="rynqvb"/>
          <w:lang w:val="en"/>
        </w:rPr>
        <w:t>told</w:t>
      </w:r>
      <w:r w:rsidRPr="00D834B7">
        <w:rPr>
          <w:rStyle w:val="rynqvb"/>
          <w:lang w:val="en"/>
        </w:rPr>
        <w:t xml:space="preserve"> to be restrained with information</w:t>
      </w:r>
      <w:r>
        <w:rPr>
          <w:rStyle w:val="rynqvb"/>
          <w:lang w:val="en"/>
        </w:rPr>
        <w:t xml:space="preserve"> and</w:t>
      </w:r>
      <w:r w:rsidRPr="00D834B7">
        <w:rPr>
          <w:rStyle w:val="rynqvb"/>
          <w:lang w:val="en"/>
        </w:rPr>
        <w:t xml:space="preserve"> only answer what the teacher asked</w:t>
      </w:r>
      <w:r>
        <w:rPr>
          <w:rStyle w:val="rynqvb"/>
          <w:lang w:val="en"/>
        </w:rPr>
        <w:t>, to challenge the teacher’s eliciting skills</w:t>
      </w:r>
      <w:r w:rsidRPr="00D834B7">
        <w:rPr>
          <w:rStyle w:val="rynqvb"/>
          <w:lang w:val="en"/>
        </w:rPr>
        <w:t>.</w:t>
      </w:r>
      <w:r>
        <w:rPr>
          <w:rStyle w:val="rynqvb"/>
          <w:lang w:val="en"/>
        </w:rPr>
        <w:t xml:space="preserve"> During the role-plays, the researcher coordinated, gave instructions, selected tasks, d</w:t>
      </w:r>
      <w:r w:rsidRPr="00417A45">
        <w:rPr>
          <w:rStyle w:val="rynqvb"/>
          <w:lang w:val="en"/>
        </w:rPr>
        <w:t>istributed roles</w:t>
      </w:r>
      <w:r>
        <w:rPr>
          <w:rStyle w:val="rynqvb"/>
          <w:lang w:val="en"/>
        </w:rPr>
        <w:t>,</w:t>
      </w:r>
      <w:r w:rsidRPr="00417A45">
        <w:rPr>
          <w:rStyle w:val="rynqvb"/>
          <w:lang w:val="en"/>
        </w:rPr>
        <w:t xml:space="preserve"> and </w:t>
      </w:r>
      <w:r>
        <w:rPr>
          <w:rStyle w:val="rynqvb"/>
          <w:lang w:val="en"/>
        </w:rPr>
        <w:t>allocated</w:t>
      </w:r>
      <w:r w:rsidRPr="00417A45">
        <w:rPr>
          <w:rStyle w:val="rynqvb"/>
          <w:lang w:val="en"/>
        </w:rPr>
        <w:t xml:space="preserve"> time between different exercises</w:t>
      </w:r>
      <w:r>
        <w:rPr>
          <w:rStyle w:val="rynqvb"/>
          <w:lang w:val="en"/>
        </w:rPr>
        <w:t xml:space="preserve">. During </w:t>
      </w:r>
      <w:r w:rsidRPr="001053BD">
        <w:rPr>
          <w:rStyle w:val="rynqvb"/>
          <w:lang w:val="en"/>
        </w:rPr>
        <w:t>the analysis phase</w:t>
      </w:r>
      <w:r>
        <w:rPr>
          <w:rStyle w:val="rynqvb"/>
          <w:i/>
          <w:iCs/>
          <w:lang w:val="en"/>
        </w:rPr>
        <w:t>,</w:t>
      </w:r>
      <w:r>
        <w:rPr>
          <w:rStyle w:val="rynqvb"/>
          <w:lang w:val="en"/>
        </w:rPr>
        <w:t xml:space="preserve"> activity 2,</w:t>
      </w:r>
      <w:r w:rsidRPr="009A2160">
        <w:rPr>
          <w:rStyle w:val="rynqvb"/>
          <w:lang w:val="en"/>
        </w:rPr>
        <w:t xml:space="preserve"> </w:t>
      </w:r>
      <w:r w:rsidRPr="009657B7">
        <w:rPr>
          <w:rStyle w:val="rynqvb"/>
          <w:lang w:val="en"/>
        </w:rPr>
        <w:t>a</w:t>
      </w:r>
      <w:r>
        <w:rPr>
          <w:rStyle w:val="rynqvb"/>
          <w:lang w:val="en"/>
        </w:rPr>
        <w:t>n online</w:t>
      </w:r>
      <w:r w:rsidRPr="009657B7">
        <w:rPr>
          <w:rStyle w:val="rynqvb"/>
          <w:lang w:val="en"/>
        </w:rPr>
        <w:t xml:space="preserve"> follow-up </w:t>
      </w:r>
      <w:r>
        <w:rPr>
          <w:rStyle w:val="rynqvb"/>
          <w:lang w:val="en"/>
        </w:rPr>
        <w:t>discussion</w:t>
      </w:r>
      <w:r w:rsidRPr="009657B7">
        <w:rPr>
          <w:rStyle w:val="rynqvb"/>
          <w:lang w:val="en"/>
        </w:rPr>
        <w:t xml:space="preserve"> a week later, </w:t>
      </w:r>
      <w:r>
        <w:rPr>
          <w:rStyle w:val="rynqvb"/>
          <w:lang w:val="en"/>
        </w:rPr>
        <w:t>the</w:t>
      </w:r>
      <w:r w:rsidRPr="009657B7">
        <w:rPr>
          <w:rStyle w:val="rynqvb"/>
          <w:lang w:val="en"/>
        </w:rPr>
        <w:t xml:space="preserve"> participants</w:t>
      </w:r>
      <w:r>
        <w:rPr>
          <w:rStyle w:val="rynqvb"/>
          <w:lang w:val="en"/>
        </w:rPr>
        <w:t>’</w:t>
      </w:r>
      <w:r w:rsidRPr="009657B7">
        <w:rPr>
          <w:rStyle w:val="rynqvb"/>
          <w:lang w:val="en"/>
        </w:rPr>
        <w:t xml:space="preserve"> </w:t>
      </w:r>
      <w:r>
        <w:rPr>
          <w:rStyle w:val="rynqvb"/>
          <w:lang w:val="en"/>
        </w:rPr>
        <w:t>impressions</w:t>
      </w:r>
      <w:r w:rsidRPr="009657B7">
        <w:rPr>
          <w:rStyle w:val="rynqvb"/>
          <w:lang w:val="en"/>
        </w:rPr>
        <w:t xml:space="preserve"> </w:t>
      </w:r>
      <w:r>
        <w:rPr>
          <w:rStyle w:val="rynqvb"/>
          <w:lang w:val="en"/>
        </w:rPr>
        <w:t>about</w:t>
      </w:r>
      <w:r w:rsidRPr="009657B7">
        <w:rPr>
          <w:rStyle w:val="rynqvb"/>
          <w:lang w:val="en"/>
        </w:rPr>
        <w:t xml:space="preserve"> the possibilities and limitations of </w:t>
      </w:r>
      <w:r>
        <w:rPr>
          <w:rStyle w:val="rynqvb"/>
          <w:lang w:val="en"/>
        </w:rPr>
        <w:t xml:space="preserve">using role-play for </w:t>
      </w:r>
      <w:r w:rsidRPr="009657B7">
        <w:rPr>
          <w:rStyle w:val="rynqvb"/>
          <w:lang w:val="en"/>
        </w:rPr>
        <w:t>feedback learning</w:t>
      </w:r>
      <w:r>
        <w:rPr>
          <w:rStyle w:val="rynqvb"/>
          <w:lang w:val="en"/>
        </w:rPr>
        <w:t xml:space="preserve"> were collected.</w:t>
      </w:r>
    </w:p>
    <w:p w14:paraId="3140E9F7" w14:textId="77777777" w:rsidR="00373DC9" w:rsidRPr="00540812" w:rsidRDefault="00373DC9" w:rsidP="00373DC9">
      <w:pPr>
        <w:pStyle w:val="Rubrik3"/>
        <w:rPr>
          <w:rStyle w:val="rynqvb"/>
        </w:rPr>
      </w:pPr>
      <w:r w:rsidRPr="00540812">
        <w:rPr>
          <w:rStyle w:val="rynqvb"/>
        </w:rPr>
        <w:lastRenderedPageBreak/>
        <w:t>Data analysis</w:t>
      </w:r>
    </w:p>
    <w:p w14:paraId="225C8100" w14:textId="38621369" w:rsidR="00373DC9" w:rsidRDefault="00373DC9" w:rsidP="00373DC9">
      <w:pPr>
        <w:pStyle w:val="Brdtext"/>
        <w:rPr>
          <w:rStyle w:val="rynqvb"/>
          <w:rFonts w:eastAsiaTheme="minorEastAsia"/>
        </w:rPr>
      </w:pPr>
      <w:r>
        <w:rPr>
          <w:rStyle w:val="rynqvb"/>
          <w:rFonts w:eastAsiaTheme="minorEastAsia"/>
        </w:rPr>
        <w:t>V</w:t>
      </w:r>
      <w:r w:rsidRPr="00540812">
        <w:rPr>
          <w:rStyle w:val="rynqvb"/>
          <w:rFonts w:eastAsiaTheme="minorEastAsia"/>
        </w:rPr>
        <w:t xml:space="preserve">ideo recordings </w:t>
      </w:r>
      <w:r>
        <w:rPr>
          <w:rStyle w:val="rynqvb"/>
          <w:rFonts w:eastAsiaTheme="minorEastAsia"/>
        </w:rPr>
        <w:t>of activit</w:t>
      </w:r>
      <w:r w:rsidR="00E10CD4">
        <w:rPr>
          <w:rStyle w:val="rynqvb"/>
          <w:rFonts w:eastAsiaTheme="minorEastAsia"/>
        </w:rPr>
        <w:t>ies</w:t>
      </w:r>
      <w:r>
        <w:rPr>
          <w:rStyle w:val="rynqvb"/>
          <w:rFonts w:eastAsiaTheme="minorEastAsia"/>
        </w:rPr>
        <w:t xml:space="preserve"> 1 and 2 </w:t>
      </w:r>
      <w:r w:rsidRPr="00540812">
        <w:rPr>
          <w:rStyle w:val="rynqvb"/>
          <w:rFonts w:eastAsiaTheme="minorEastAsia"/>
        </w:rPr>
        <w:t xml:space="preserve">were </w:t>
      </w:r>
      <w:r>
        <w:rPr>
          <w:rStyle w:val="rynqvb"/>
          <w:rFonts w:eastAsiaTheme="minorEastAsia"/>
        </w:rPr>
        <w:t xml:space="preserve">automatically </w:t>
      </w:r>
      <w:r w:rsidRPr="00540812">
        <w:rPr>
          <w:rStyle w:val="rynqvb"/>
          <w:rFonts w:eastAsiaTheme="minorEastAsia"/>
        </w:rPr>
        <w:t>transcribed with transcript software</w:t>
      </w:r>
      <w:r>
        <w:rPr>
          <w:rStyle w:val="rynqvb"/>
          <w:rFonts w:eastAsiaTheme="minorEastAsia"/>
        </w:rPr>
        <w:t xml:space="preserve"> and then </w:t>
      </w:r>
      <w:r w:rsidRPr="00540812">
        <w:rPr>
          <w:rStyle w:val="rynqvb"/>
          <w:rFonts w:eastAsiaTheme="minorEastAsia"/>
        </w:rPr>
        <w:t>manua</w:t>
      </w:r>
      <w:r>
        <w:rPr>
          <w:rStyle w:val="rynqvb"/>
          <w:rFonts w:eastAsiaTheme="minorEastAsia"/>
        </w:rPr>
        <w:t>lly</w:t>
      </w:r>
      <w:r w:rsidRPr="00540812">
        <w:rPr>
          <w:rStyle w:val="rynqvb"/>
          <w:rFonts w:eastAsiaTheme="minorEastAsia"/>
        </w:rPr>
        <w:t xml:space="preserve"> correct</w:t>
      </w:r>
      <w:r>
        <w:rPr>
          <w:rStyle w:val="rynqvb"/>
          <w:rFonts w:eastAsiaTheme="minorEastAsia"/>
        </w:rPr>
        <w:t>ed</w:t>
      </w:r>
      <w:r w:rsidRPr="00540812">
        <w:rPr>
          <w:rStyle w:val="rynqvb"/>
          <w:rFonts w:eastAsiaTheme="minorEastAsia"/>
        </w:rPr>
        <w:t xml:space="preserve">. </w:t>
      </w:r>
      <w:r>
        <w:rPr>
          <w:rStyle w:val="rynqvb"/>
          <w:rFonts w:eastAsiaTheme="minorEastAsia"/>
        </w:rPr>
        <w:t>P</w:t>
      </w:r>
      <w:r w:rsidRPr="00540812">
        <w:rPr>
          <w:rStyle w:val="rynqvb"/>
          <w:rFonts w:eastAsiaTheme="minorEastAsia"/>
        </w:rPr>
        <w:t>arts particularly interesting for the research question were edited and cleaned</w:t>
      </w:r>
      <w:r>
        <w:rPr>
          <w:rStyle w:val="rynqvb"/>
          <w:rFonts w:eastAsiaTheme="minorEastAsia"/>
        </w:rPr>
        <w:t xml:space="preserve">, as </w:t>
      </w:r>
      <w:r w:rsidRPr="00540812">
        <w:rPr>
          <w:rStyle w:val="rynqvb"/>
          <w:rFonts w:eastAsiaTheme="minorEastAsia"/>
        </w:rPr>
        <w:t xml:space="preserve">a verbatim transcript </w:t>
      </w:r>
      <w:r>
        <w:rPr>
          <w:rStyle w:val="rynqvb"/>
          <w:rFonts w:eastAsiaTheme="minorEastAsia"/>
        </w:rPr>
        <w:t>was</w:t>
      </w:r>
      <w:r w:rsidRPr="00540812">
        <w:rPr>
          <w:rStyle w:val="rynqvb"/>
          <w:rFonts w:eastAsiaTheme="minorEastAsia"/>
        </w:rPr>
        <w:t xml:space="preserve"> not considered </w:t>
      </w:r>
      <w:r>
        <w:rPr>
          <w:rStyle w:val="rynqvb"/>
          <w:rFonts w:eastAsiaTheme="minorEastAsia"/>
        </w:rPr>
        <w:t>useful</w:t>
      </w:r>
      <w:r w:rsidRPr="00540812">
        <w:rPr>
          <w:rStyle w:val="rynqvb"/>
          <w:rFonts w:eastAsiaTheme="minorEastAsia"/>
        </w:rPr>
        <w:t xml:space="preserve"> for </w:t>
      </w:r>
      <w:r>
        <w:rPr>
          <w:rStyle w:val="rynqvb"/>
          <w:rFonts w:eastAsiaTheme="minorEastAsia"/>
        </w:rPr>
        <w:t>this paper.</w:t>
      </w:r>
      <w:r w:rsidRPr="00540812">
        <w:rPr>
          <w:rStyle w:val="rynqvb"/>
          <w:rFonts w:eastAsiaTheme="minorEastAsia"/>
        </w:rPr>
        <w:t xml:space="preserve"> </w:t>
      </w:r>
      <w:r w:rsidRPr="00361DF2">
        <w:rPr>
          <w:rStyle w:val="rynqvb"/>
          <w:rFonts w:eastAsiaTheme="minorEastAsia"/>
        </w:rPr>
        <w:t xml:space="preserve">The data analysis aims to comprehensively </w:t>
      </w:r>
      <w:r>
        <w:rPr>
          <w:rStyle w:val="rynqvb"/>
          <w:rFonts w:eastAsiaTheme="minorEastAsia"/>
        </w:rPr>
        <w:t>address</w:t>
      </w:r>
      <w:r w:rsidRPr="00361DF2">
        <w:rPr>
          <w:rStyle w:val="rynqvb"/>
          <w:rFonts w:eastAsiaTheme="minorEastAsia"/>
        </w:rPr>
        <w:t xml:space="preserve"> the research question through two </w:t>
      </w:r>
      <w:r>
        <w:rPr>
          <w:rStyle w:val="rynqvb"/>
          <w:rFonts w:eastAsiaTheme="minorEastAsia"/>
        </w:rPr>
        <w:t>different</w:t>
      </w:r>
      <w:r w:rsidRPr="00361DF2">
        <w:rPr>
          <w:rStyle w:val="rynqvb"/>
          <w:rFonts w:eastAsiaTheme="minorEastAsia"/>
        </w:rPr>
        <w:t xml:space="preserve"> approaches</w:t>
      </w:r>
      <w:r>
        <w:rPr>
          <w:rStyle w:val="rynqvb"/>
          <w:rFonts w:eastAsiaTheme="minorEastAsia"/>
        </w:rPr>
        <w:t xml:space="preserve">. </w:t>
      </w:r>
      <w:r w:rsidR="00326978">
        <w:rPr>
          <w:rStyle w:val="rynqvb"/>
          <w:rFonts w:eastAsiaTheme="minorEastAsia"/>
        </w:rPr>
        <w:t>The first, a</w:t>
      </w:r>
      <w:r w:rsidRPr="00BF1561">
        <w:rPr>
          <w:rStyle w:val="rynqvb"/>
          <w:rFonts w:eastAsiaTheme="minorEastAsia"/>
        </w:rPr>
        <w:t xml:space="preserve"> thematic analysis </w:t>
      </w:r>
      <w:r w:rsidR="008644E1" w:rsidRPr="00540812">
        <w:rPr>
          <w:rStyle w:val="rynqvb"/>
          <w:rFonts w:eastAsiaTheme="minorEastAsia"/>
        </w:rPr>
        <w:t>(Braun &amp; Clarke, 2022)</w:t>
      </w:r>
      <w:r>
        <w:rPr>
          <w:rStyle w:val="rynqvb"/>
          <w:rFonts w:eastAsiaTheme="minorEastAsia"/>
        </w:rPr>
        <w:t xml:space="preserve"> with a deductive orientation </w:t>
      </w:r>
      <w:r w:rsidRPr="00BF1561">
        <w:rPr>
          <w:rStyle w:val="rynqvb"/>
          <w:rFonts w:eastAsiaTheme="minorEastAsia"/>
        </w:rPr>
        <w:t xml:space="preserve">was employed to describe feedback </w:t>
      </w:r>
      <w:r>
        <w:rPr>
          <w:rStyle w:val="rynqvb"/>
          <w:rFonts w:eastAsiaTheme="minorEastAsia"/>
        </w:rPr>
        <w:t xml:space="preserve">expressed </w:t>
      </w:r>
      <w:r w:rsidRPr="00BF1561">
        <w:rPr>
          <w:rStyle w:val="rynqvb"/>
          <w:rFonts w:eastAsiaTheme="minorEastAsia"/>
        </w:rPr>
        <w:t xml:space="preserve">in </w:t>
      </w:r>
      <w:r>
        <w:rPr>
          <w:rStyle w:val="rynqvb"/>
          <w:rFonts w:eastAsiaTheme="minorEastAsia"/>
        </w:rPr>
        <w:t xml:space="preserve">the </w:t>
      </w:r>
      <w:r w:rsidRPr="00BF1561">
        <w:rPr>
          <w:rStyle w:val="rynqvb"/>
          <w:rFonts w:eastAsiaTheme="minorEastAsia"/>
        </w:rPr>
        <w:t>role</w:t>
      </w:r>
      <w:r>
        <w:rPr>
          <w:rStyle w:val="rynqvb"/>
          <w:rFonts w:eastAsiaTheme="minorEastAsia"/>
        </w:rPr>
        <w:t>-</w:t>
      </w:r>
      <w:r w:rsidRPr="00BF1561">
        <w:rPr>
          <w:rStyle w:val="rynqvb"/>
          <w:rFonts w:eastAsiaTheme="minorEastAsia"/>
        </w:rPr>
        <w:t>plays</w:t>
      </w:r>
      <w:r>
        <w:rPr>
          <w:rStyle w:val="rynqvb"/>
          <w:rFonts w:eastAsiaTheme="minorEastAsia"/>
        </w:rPr>
        <w:t>.</w:t>
      </w:r>
      <w:r w:rsidRPr="00BF1561">
        <w:rPr>
          <w:rStyle w:val="rynqvb"/>
          <w:rFonts w:eastAsiaTheme="minorEastAsia"/>
        </w:rPr>
        <w:t xml:space="preserve"> </w:t>
      </w:r>
      <w:r w:rsidR="00F64DC4">
        <w:t>For</w:t>
      </w:r>
      <w:r w:rsidR="00F64DC4">
        <w:rPr>
          <w:lang w:val="en"/>
        </w:rPr>
        <w:t xml:space="preserve"> </w:t>
      </w:r>
      <w:r w:rsidR="005D20E1">
        <w:rPr>
          <w:lang w:val="en"/>
        </w:rPr>
        <w:t>the deductive analysis</w:t>
      </w:r>
      <w:r w:rsidR="001330D1">
        <w:rPr>
          <w:lang w:val="en"/>
        </w:rPr>
        <w:t>,</w:t>
      </w:r>
      <w:r w:rsidR="005D20E1">
        <w:rPr>
          <w:rStyle w:val="rynqvb"/>
          <w:rFonts w:eastAsiaTheme="minorEastAsia"/>
        </w:rPr>
        <w:t xml:space="preserve"> </w:t>
      </w:r>
      <w:r>
        <w:rPr>
          <w:rStyle w:val="rynqvb"/>
          <w:rFonts w:eastAsiaTheme="minorEastAsia"/>
        </w:rPr>
        <w:t>NVivo was used to pair text to</w:t>
      </w:r>
      <w:r w:rsidRPr="00BF1561">
        <w:rPr>
          <w:rStyle w:val="rynqvb"/>
          <w:rFonts w:eastAsiaTheme="minorEastAsia"/>
        </w:rPr>
        <w:t xml:space="preserve"> </w:t>
      </w:r>
      <w:r w:rsidR="00987B27">
        <w:rPr>
          <w:rStyle w:val="rynqvb"/>
          <w:rFonts w:eastAsiaTheme="minorEastAsia"/>
        </w:rPr>
        <w:t xml:space="preserve">seven </w:t>
      </w:r>
      <w:r>
        <w:rPr>
          <w:rStyle w:val="rynqvb"/>
          <w:rFonts w:eastAsiaTheme="minorEastAsia"/>
        </w:rPr>
        <w:t xml:space="preserve">preexisting </w:t>
      </w:r>
      <w:r w:rsidRPr="00BF1561">
        <w:rPr>
          <w:rStyle w:val="rynqvb"/>
          <w:rFonts w:eastAsiaTheme="minorEastAsia"/>
        </w:rPr>
        <w:t>codes</w:t>
      </w:r>
      <w:r w:rsidR="005D20E1">
        <w:rPr>
          <w:rStyle w:val="rynqvb"/>
          <w:rFonts w:eastAsiaTheme="minorEastAsia"/>
        </w:rPr>
        <w:t xml:space="preserve"> </w:t>
      </w:r>
      <w:r w:rsidR="00F13B31">
        <w:rPr>
          <w:rStyle w:val="rynqvb"/>
          <w:rFonts w:eastAsiaTheme="minorEastAsia"/>
        </w:rPr>
        <w:t>linked</w:t>
      </w:r>
      <w:r w:rsidR="005D20E1">
        <w:rPr>
          <w:rStyle w:val="rynqvb"/>
          <w:rFonts w:eastAsiaTheme="minorEastAsia"/>
        </w:rPr>
        <w:t xml:space="preserve"> to the feedback process (see p</w:t>
      </w:r>
      <w:r w:rsidR="003745A5">
        <w:rPr>
          <w:rStyle w:val="rynqvb"/>
          <w:rFonts w:eastAsiaTheme="minorEastAsia"/>
        </w:rPr>
        <w:t>p.</w:t>
      </w:r>
      <w:r w:rsidR="005D20E1">
        <w:rPr>
          <w:rStyle w:val="rynqvb"/>
          <w:rFonts w:eastAsiaTheme="minorEastAsia"/>
        </w:rPr>
        <w:t xml:space="preserve"> 3</w:t>
      </w:r>
      <w:r w:rsidR="001330D1">
        <w:rPr>
          <w:rStyle w:val="rynqvb"/>
          <w:rFonts w:eastAsiaTheme="minorEastAsia"/>
        </w:rPr>
        <w:t>-4</w:t>
      </w:r>
      <w:r w:rsidR="005D20E1">
        <w:rPr>
          <w:rStyle w:val="rynqvb"/>
          <w:rFonts w:eastAsiaTheme="minorEastAsia"/>
        </w:rPr>
        <w:t>).</w:t>
      </w:r>
      <w:r>
        <w:rPr>
          <w:rStyle w:val="rynqvb"/>
          <w:rFonts w:eastAsiaTheme="minorEastAsia"/>
        </w:rPr>
        <w:t xml:space="preserve"> </w:t>
      </w:r>
      <w:r>
        <w:rPr>
          <w:lang w:val="en"/>
        </w:rPr>
        <w:t xml:space="preserve">Classification criteria for five </w:t>
      </w:r>
      <w:r>
        <w:rPr>
          <w:rStyle w:val="rynqvb"/>
          <w:rFonts w:eastAsiaTheme="minorEastAsia"/>
        </w:rPr>
        <w:t xml:space="preserve">of these codes </w:t>
      </w:r>
      <w:r w:rsidRPr="00B431AC">
        <w:rPr>
          <w:rStyle w:val="rynqvb"/>
          <w:rFonts w:eastAsiaTheme="minorEastAsia"/>
        </w:rPr>
        <w:t xml:space="preserve">are described in </w:t>
      </w:r>
      <w:r w:rsidRPr="00A63D87">
        <w:rPr>
          <w:lang w:val="en"/>
        </w:rPr>
        <w:fldChar w:fldCharType="begin"/>
      </w:r>
      <w:r w:rsidRPr="00B431AC">
        <w:rPr>
          <w:lang w:val="en"/>
        </w:rPr>
        <w:instrText xml:space="preserve"> REF _Ref145947086 \h </w:instrText>
      </w:r>
      <w:r w:rsidR="0088766B">
        <w:rPr>
          <w:highlight w:val="yellow"/>
          <w:lang w:val="en"/>
        </w:rPr>
        <w:instrText xml:space="preserve"> \* MERGEFORMAT </w:instrText>
      </w:r>
      <w:r w:rsidRPr="00A63D87">
        <w:rPr>
          <w:lang w:val="en"/>
        </w:rPr>
      </w:r>
      <w:r w:rsidRPr="00A63D87">
        <w:rPr>
          <w:lang w:val="en"/>
        </w:rPr>
        <w:fldChar w:fldCharType="separate"/>
      </w:r>
      <w:r w:rsidRPr="00B431AC">
        <w:t xml:space="preserve">Table </w:t>
      </w:r>
      <w:r w:rsidRPr="00B431AC">
        <w:rPr>
          <w:noProof/>
        </w:rPr>
        <w:t>1</w:t>
      </w:r>
      <w:r w:rsidRPr="00A63D87">
        <w:rPr>
          <w:lang w:val="en"/>
        </w:rPr>
        <w:fldChar w:fldCharType="end"/>
      </w:r>
      <w:r>
        <w:rPr>
          <w:lang w:val="en"/>
        </w:rPr>
        <w:t>.</w:t>
      </w:r>
      <w:r>
        <w:rPr>
          <w:rStyle w:val="rynqvb"/>
          <w:rFonts w:eastAsiaTheme="minorEastAsia"/>
        </w:rPr>
        <w:t xml:space="preserve"> </w:t>
      </w:r>
      <w:r w:rsidR="00FF0716">
        <w:rPr>
          <w:rStyle w:val="rynqvb"/>
          <w:rFonts w:eastAsiaTheme="minorEastAsia"/>
        </w:rPr>
        <w:t>Alongside</w:t>
      </w:r>
      <w:r>
        <w:rPr>
          <w:rStyle w:val="rynqvb"/>
          <w:rFonts w:eastAsiaTheme="minorEastAsia"/>
        </w:rPr>
        <w:t xml:space="preserve"> these five codes, t</w:t>
      </w:r>
      <w:r w:rsidRPr="00E728F0">
        <w:rPr>
          <w:rStyle w:val="rynqvb"/>
          <w:rFonts w:eastAsiaTheme="minorEastAsia"/>
        </w:rPr>
        <w:t xml:space="preserve">he teacher-pupil communication was coded </w:t>
      </w:r>
      <w:r w:rsidR="00FF0716">
        <w:rPr>
          <w:rStyle w:val="rynqvb"/>
          <w:rFonts w:eastAsiaTheme="minorEastAsia"/>
        </w:rPr>
        <w:t xml:space="preserve">at </w:t>
      </w:r>
      <w:r w:rsidRPr="00E728F0">
        <w:rPr>
          <w:rStyle w:val="rynqvb"/>
          <w:rFonts w:eastAsiaTheme="minorEastAsia"/>
        </w:rPr>
        <w:t xml:space="preserve">either </w:t>
      </w:r>
      <w:r w:rsidRPr="00E728F0">
        <w:rPr>
          <w:rStyle w:val="rynqvb"/>
          <w:rFonts w:eastAsiaTheme="minorEastAsia"/>
          <w:i/>
          <w:iCs/>
        </w:rPr>
        <w:t>level 0</w:t>
      </w:r>
      <w:r w:rsidRPr="00E728F0">
        <w:rPr>
          <w:rStyle w:val="rynqvb"/>
          <w:rFonts w:eastAsiaTheme="minorEastAsia"/>
        </w:rPr>
        <w:t xml:space="preserve"> or </w:t>
      </w:r>
      <w:r w:rsidRPr="00E728F0">
        <w:rPr>
          <w:rStyle w:val="rynqvb"/>
          <w:rFonts w:eastAsiaTheme="minorEastAsia"/>
          <w:i/>
          <w:iCs/>
        </w:rPr>
        <w:t>1</w:t>
      </w:r>
      <w:r w:rsidRPr="00E728F0">
        <w:rPr>
          <w:rStyle w:val="rynqvb"/>
          <w:rFonts w:eastAsiaTheme="minorEastAsia"/>
        </w:rPr>
        <w:t xml:space="preserve">. At level 0 the teacher is telling and showing. The pupil is not expected to elaborate on the frequent and short questions, only reply with the expected answer. The pupil’s answers are not followed up by probing following-up questions. At level 1 the focus of the teacher’s questions has moved towards the pupil’s thinking. The teacher asks more probing questions, and the pupil becomes more involved and has an impact on </w:t>
      </w:r>
      <w:r>
        <w:rPr>
          <w:rStyle w:val="rynqvb"/>
          <w:rFonts w:eastAsiaTheme="minorEastAsia"/>
        </w:rPr>
        <w:t xml:space="preserve">his or </w:t>
      </w:r>
      <w:r w:rsidRPr="00E728F0">
        <w:rPr>
          <w:rStyle w:val="rynqvb"/>
          <w:rFonts w:eastAsiaTheme="minorEastAsia"/>
        </w:rPr>
        <w:t xml:space="preserve">her </w:t>
      </w:r>
      <w:r w:rsidR="007E3311">
        <w:rPr>
          <w:rStyle w:val="rynqvb"/>
          <w:rFonts w:eastAsiaTheme="minorEastAsia"/>
        </w:rPr>
        <w:t xml:space="preserve">own </w:t>
      </w:r>
      <w:r w:rsidRPr="00E728F0">
        <w:rPr>
          <w:rStyle w:val="rynqvb"/>
          <w:rFonts w:eastAsiaTheme="minorEastAsia"/>
        </w:rPr>
        <w:t>learning.</w:t>
      </w:r>
    </w:p>
    <w:p w14:paraId="14739266" w14:textId="77777777" w:rsidR="00DF652F" w:rsidRPr="00DF652F" w:rsidRDefault="00DF652F" w:rsidP="00DF652F">
      <w:pPr>
        <w:rPr>
          <w:rFonts w:eastAsiaTheme="minorEastAsia"/>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4961"/>
        <w:gridCol w:w="2276"/>
      </w:tblGrid>
      <w:tr w:rsidR="006A3148" w14:paraId="74D47ED9" w14:textId="77777777" w:rsidTr="00BE1230">
        <w:trPr>
          <w:jc w:val="center"/>
        </w:trPr>
        <w:tc>
          <w:tcPr>
            <w:tcW w:w="1835" w:type="dxa"/>
            <w:tcBorders>
              <w:top w:val="single" w:sz="6" w:space="0" w:color="auto"/>
              <w:left w:val="single" w:sz="6" w:space="0" w:color="auto"/>
              <w:bottom w:val="single" w:sz="6" w:space="0" w:color="auto"/>
              <w:right w:val="single" w:sz="6" w:space="0" w:color="auto"/>
            </w:tcBorders>
          </w:tcPr>
          <w:p w14:paraId="03CC6C23" w14:textId="6E827348" w:rsidR="006A3148" w:rsidRDefault="005A73DC" w:rsidP="001B2359">
            <w:r>
              <w:rPr>
                <w:rStyle w:val="rynqvb"/>
                <w:b/>
                <w:bCs/>
                <w:lang w:val="en"/>
              </w:rPr>
              <w:t>Codes</w:t>
            </w:r>
          </w:p>
        </w:tc>
        <w:tc>
          <w:tcPr>
            <w:tcW w:w="4961" w:type="dxa"/>
            <w:tcBorders>
              <w:top w:val="single" w:sz="6" w:space="0" w:color="auto"/>
              <w:left w:val="single" w:sz="6" w:space="0" w:color="auto"/>
              <w:bottom w:val="single" w:sz="6" w:space="0" w:color="auto"/>
              <w:right w:val="single" w:sz="6" w:space="0" w:color="auto"/>
            </w:tcBorders>
          </w:tcPr>
          <w:p w14:paraId="545D3B9A" w14:textId="1E4601DC" w:rsidR="006A3148" w:rsidRDefault="008B0DD4" w:rsidP="001B2359">
            <w:r w:rsidRPr="00565DF7">
              <w:rPr>
                <w:rStyle w:val="rynqvb"/>
                <w:b/>
                <w:bCs/>
                <w:lang w:val="en"/>
              </w:rPr>
              <w:t>Cri</w:t>
            </w:r>
            <w:r>
              <w:rPr>
                <w:rStyle w:val="rynqvb"/>
                <w:b/>
                <w:bCs/>
                <w:lang w:val="en"/>
              </w:rPr>
              <w:t>teria, characteristics</w:t>
            </w:r>
          </w:p>
        </w:tc>
        <w:tc>
          <w:tcPr>
            <w:tcW w:w="2276" w:type="dxa"/>
            <w:tcBorders>
              <w:top w:val="single" w:sz="6" w:space="0" w:color="auto"/>
              <w:left w:val="single" w:sz="6" w:space="0" w:color="auto"/>
              <w:bottom w:val="single" w:sz="6" w:space="0" w:color="auto"/>
              <w:right w:val="single" w:sz="6" w:space="0" w:color="auto"/>
            </w:tcBorders>
          </w:tcPr>
          <w:p w14:paraId="64E308C6" w14:textId="28765E50" w:rsidR="006A3148" w:rsidRDefault="00D34556" w:rsidP="001B2359">
            <w:r w:rsidRPr="00565DF7">
              <w:rPr>
                <w:rStyle w:val="rynqvb"/>
                <w:b/>
                <w:bCs/>
                <w:lang w:val="en"/>
              </w:rPr>
              <w:t>Example</w:t>
            </w:r>
          </w:p>
        </w:tc>
      </w:tr>
      <w:tr w:rsidR="006A3148" w14:paraId="29347776" w14:textId="77777777" w:rsidTr="00BE1230">
        <w:trPr>
          <w:jc w:val="center"/>
        </w:trPr>
        <w:tc>
          <w:tcPr>
            <w:tcW w:w="1835" w:type="dxa"/>
            <w:tcBorders>
              <w:top w:val="single" w:sz="6" w:space="0" w:color="auto"/>
              <w:left w:val="single" w:sz="6" w:space="0" w:color="auto"/>
              <w:bottom w:val="single" w:sz="6" w:space="0" w:color="auto"/>
              <w:right w:val="single" w:sz="6" w:space="0" w:color="auto"/>
            </w:tcBorders>
          </w:tcPr>
          <w:p w14:paraId="171352C1" w14:textId="3A4F66F8" w:rsidR="006A3148" w:rsidRDefault="00747C46" w:rsidP="005673B1">
            <w:pPr>
              <w:pStyle w:val="Brdtext"/>
              <w:jc w:val="left"/>
            </w:pPr>
            <w:r>
              <w:rPr>
                <w:rStyle w:val="rynqvb"/>
                <w:lang w:val="en"/>
              </w:rPr>
              <w:t xml:space="preserve">Task </w:t>
            </w:r>
            <w:r w:rsidR="001455B4">
              <w:rPr>
                <w:rStyle w:val="rynqvb"/>
                <w:lang w:val="en"/>
              </w:rPr>
              <w:t>focus</w:t>
            </w:r>
          </w:p>
        </w:tc>
        <w:tc>
          <w:tcPr>
            <w:tcW w:w="4961" w:type="dxa"/>
            <w:tcBorders>
              <w:top w:val="single" w:sz="6" w:space="0" w:color="auto"/>
              <w:left w:val="single" w:sz="6" w:space="0" w:color="auto"/>
              <w:bottom w:val="single" w:sz="6" w:space="0" w:color="auto"/>
              <w:right w:val="single" w:sz="6" w:space="0" w:color="auto"/>
            </w:tcBorders>
          </w:tcPr>
          <w:p w14:paraId="5B5A7CC5" w14:textId="1C16B07A" w:rsidR="006A3148" w:rsidRDefault="00143F60" w:rsidP="005673B1">
            <w:pPr>
              <w:pStyle w:val="Brdtext"/>
              <w:jc w:val="left"/>
            </w:pPr>
            <w:r>
              <w:t>F</w:t>
            </w:r>
            <w:r w:rsidR="00F212F0" w:rsidRPr="00A44F72">
              <w:rPr>
                <w:rStyle w:val="rynqvb"/>
                <w:lang w:val="en"/>
              </w:rPr>
              <w:t>ocuses on something specific in the task at hand. Corrects, without involving processes</w:t>
            </w:r>
            <w:r w:rsidR="00F212F0">
              <w:rPr>
                <w:rStyle w:val="rynqvb"/>
                <w:lang w:val="en"/>
              </w:rPr>
              <w:t>.</w:t>
            </w:r>
            <w:r w:rsidR="00EA1EAE">
              <w:rPr>
                <w:rStyle w:val="rynqvb"/>
                <w:lang w:val="en"/>
              </w:rPr>
              <w:t xml:space="preserve"> </w:t>
            </w:r>
            <w:r w:rsidR="00F212F0" w:rsidRPr="00A44F72">
              <w:rPr>
                <w:rStyle w:val="rynqvb"/>
                <w:lang w:val="en"/>
              </w:rPr>
              <w:t>Provides solutions. Gives advice lead</w:t>
            </w:r>
            <w:r w:rsidR="00F212F0">
              <w:rPr>
                <w:rStyle w:val="rynqvb"/>
                <w:lang w:val="en"/>
              </w:rPr>
              <w:t>ing</w:t>
            </w:r>
            <w:r w:rsidR="00F212F0" w:rsidRPr="00A44F72">
              <w:rPr>
                <w:rStyle w:val="rynqvb"/>
                <w:lang w:val="en"/>
              </w:rPr>
              <w:t xml:space="preserve"> towards a particular answer or strategy</w:t>
            </w:r>
            <w:r w:rsidR="00F212F0">
              <w:rPr>
                <w:rStyle w:val="rynqvb"/>
                <w:lang w:val="en"/>
              </w:rPr>
              <w:t>.</w:t>
            </w:r>
          </w:p>
        </w:tc>
        <w:tc>
          <w:tcPr>
            <w:tcW w:w="2276" w:type="dxa"/>
            <w:tcBorders>
              <w:top w:val="single" w:sz="6" w:space="0" w:color="auto"/>
              <w:left w:val="single" w:sz="6" w:space="0" w:color="auto"/>
              <w:bottom w:val="single" w:sz="6" w:space="0" w:color="auto"/>
              <w:right w:val="single" w:sz="6" w:space="0" w:color="auto"/>
            </w:tcBorders>
          </w:tcPr>
          <w:p w14:paraId="50D8D371" w14:textId="75FF8071" w:rsidR="006A3148" w:rsidRDefault="00EA1EAE" w:rsidP="005673B1">
            <w:pPr>
              <w:pStyle w:val="Brdtext"/>
              <w:jc w:val="left"/>
            </w:pPr>
            <w:r w:rsidRPr="005C76D9">
              <w:rPr>
                <w:rStyle w:val="rynqvb"/>
                <w:i/>
                <w:iCs/>
                <w:lang w:val="en"/>
              </w:rPr>
              <w:t>Now, subtract 93 and 47, so first mark 93 on the number line.</w:t>
            </w:r>
          </w:p>
        </w:tc>
      </w:tr>
      <w:tr w:rsidR="006A3148" w14:paraId="2DC52DD7" w14:textId="77777777" w:rsidTr="00BE1230">
        <w:trPr>
          <w:jc w:val="center"/>
        </w:trPr>
        <w:tc>
          <w:tcPr>
            <w:tcW w:w="1835" w:type="dxa"/>
            <w:tcBorders>
              <w:top w:val="single" w:sz="6" w:space="0" w:color="auto"/>
              <w:left w:val="single" w:sz="6" w:space="0" w:color="auto"/>
              <w:bottom w:val="single" w:sz="6" w:space="0" w:color="auto"/>
              <w:right w:val="single" w:sz="6" w:space="0" w:color="auto"/>
            </w:tcBorders>
          </w:tcPr>
          <w:p w14:paraId="72A34EE8" w14:textId="039DFCC4" w:rsidR="006A3148" w:rsidRDefault="00C63144" w:rsidP="005673B1">
            <w:pPr>
              <w:pStyle w:val="Brdtext"/>
              <w:jc w:val="left"/>
            </w:pPr>
            <w:r>
              <w:rPr>
                <w:rStyle w:val="rynqvb"/>
                <w:lang w:val="en"/>
              </w:rPr>
              <w:t>Process</w:t>
            </w:r>
            <w:r w:rsidR="0055216E">
              <w:rPr>
                <w:rStyle w:val="rynqvb"/>
                <w:lang w:val="en"/>
              </w:rPr>
              <w:t xml:space="preserve"> </w:t>
            </w:r>
            <w:r w:rsidR="001455B4">
              <w:rPr>
                <w:rStyle w:val="rynqvb"/>
                <w:lang w:val="en"/>
              </w:rPr>
              <w:t>focus</w:t>
            </w:r>
          </w:p>
        </w:tc>
        <w:tc>
          <w:tcPr>
            <w:tcW w:w="4961" w:type="dxa"/>
            <w:tcBorders>
              <w:top w:val="single" w:sz="6" w:space="0" w:color="auto"/>
              <w:left w:val="single" w:sz="6" w:space="0" w:color="auto"/>
              <w:bottom w:val="single" w:sz="6" w:space="0" w:color="auto"/>
              <w:right w:val="single" w:sz="6" w:space="0" w:color="auto"/>
            </w:tcBorders>
          </w:tcPr>
          <w:p w14:paraId="7E171BFB" w14:textId="1F6E9060" w:rsidR="006A3148" w:rsidRDefault="003E62CA" w:rsidP="005673B1">
            <w:pPr>
              <w:pStyle w:val="Brdtext"/>
              <w:jc w:val="left"/>
            </w:pPr>
            <w:r w:rsidRPr="005F5168">
              <w:rPr>
                <w:rStyle w:val="rynqvb"/>
                <w:lang w:val="en"/>
              </w:rPr>
              <w:t xml:space="preserve">Pays attention to process or strategy, beyond the task itself. </w:t>
            </w:r>
            <w:r>
              <w:rPr>
                <w:rStyle w:val="rynqvb"/>
                <w:lang w:val="en"/>
              </w:rPr>
              <w:t>P</w:t>
            </w:r>
            <w:r w:rsidRPr="005F5168">
              <w:rPr>
                <w:rStyle w:val="rynqvb"/>
                <w:lang w:val="en"/>
              </w:rPr>
              <w:t xml:space="preserve">rovides generalizable hints, even if they are targeted at the task. </w:t>
            </w:r>
            <w:r>
              <w:rPr>
                <w:rStyle w:val="rynqvb"/>
                <w:lang w:val="en"/>
              </w:rPr>
              <w:t>“</w:t>
            </w:r>
            <w:r w:rsidRPr="005F5168">
              <w:rPr>
                <w:rStyle w:val="rynqvb"/>
                <w:lang w:val="en"/>
              </w:rPr>
              <w:t>Sketch a graph.</w:t>
            </w:r>
            <w:r>
              <w:rPr>
                <w:rStyle w:val="rynqvb"/>
                <w:lang w:val="en"/>
              </w:rPr>
              <w:t>”</w:t>
            </w:r>
            <w:r w:rsidRPr="005F5168">
              <w:rPr>
                <w:rStyle w:val="rynqvb"/>
                <w:lang w:val="en"/>
              </w:rPr>
              <w:t xml:space="preserve"> Asks for meanings and definitions of different concepts.</w:t>
            </w:r>
            <w:r>
              <w:rPr>
                <w:rStyle w:val="rynqvb"/>
                <w:lang w:val="en"/>
              </w:rPr>
              <w:t xml:space="preserve"> </w:t>
            </w:r>
            <w:r w:rsidRPr="005F5168">
              <w:rPr>
                <w:rStyle w:val="rynqvb"/>
                <w:lang w:val="en"/>
              </w:rPr>
              <w:t>Corrects</w:t>
            </w:r>
            <w:r>
              <w:rPr>
                <w:rStyle w:val="rynqvb"/>
                <w:lang w:val="en"/>
              </w:rPr>
              <w:t>,</w:t>
            </w:r>
            <w:r w:rsidRPr="005F5168">
              <w:rPr>
                <w:rStyle w:val="rynqvb"/>
                <w:lang w:val="en"/>
              </w:rPr>
              <w:t xml:space="preserve"> </w:t>
            </w:r>
            <w:r>
              <w:rPr>
                <w:rStyle w:val="rynqvb"/>
                <w:lang w:val="en"/>
              </w:rPr>
              <w:t xml:space="preserve">by </w:t>
            </w:r>
            <w:r w:rsidRPr="005F5168">
              <w:rPr>
                <w:rStyle w:val="rynqvb"/>
                <w:lang w:val="en"/>
              </w:rPr>
              <w:t>involving processes</w:t>
            </w:r>
            <w:r>
              <w:rPr>
                <w:rStyle w:val="rynqvb"/>
                <w:lang w:val="en"/>
              </w:rPr>
              <w:t>.</w:t>
            </w:r>
          </w:p>
        </w:tc>
        <w:tc>
          <w:tcPr>
            <w:tcW w:w="2276" w:type="dxa"/>
            <w:tcBorders>
              <w:top w:val="single" w:sz="6" w:space="0" w:color="auto"/>
              <w:left w:val="single" w:sz="6" w:space="0" w:color="auto"/>
              <w:bottom w:val="single" w:sz="6" w:space="0" w:color="auto"/>
              <w:right w:val="single" w:sz="6" w:space="0" w:color="auto"/>
            </w:tcBorders>
          </w:tcPr>
          <w:p w14:paraId="308D09FE" w14:textId="1E40FF54" w:rsidR="006A3148" w:rsidRDefault="00C57743" w:rsidP="005673B1">
            <w:pPr>
              <w:pStyle w:val="Brdtext"/>
              <w:jc w:val="left"/>
            </w:pPr>
            <w:r w:rsidRPr="00867A3D">
              <w:rPr>
                <w:rStyle w:val="rynqvb"/>
                <w:i/>
                <w:iCs/>
                <w:lang w:val="en"/>
              </w:rPr>
              <w:t>Why is it like that when you add fractions?</w:t>
            </w:r>
          </w:p>
        </w:tc>
      </w:tr>
      <w:tr w:rsidR="006A3148" w14:paraId="4FE3F670" w14:textId="77777777" w:rsidTr="00BE1230">
        <w:trPr>
          <w:jc w:val="center"/>
        </w:trPr>
        <w:tc>
          <w:tcPr>
            <w:tcW w:w="1835" w:type="dxa"/>
            <w:tcBorders>
              <w:top w:val="single" w:sz="6" w:space="0" w:color="auto"/>
              <w:left w:val="single" w:sz="6" w:space="0" w:color="auto"/>
              <w:bottom w:val="single" w:sz="6" w:space="0" w:color="auto"/>
              <w:right w:val="single" w:sz="6" w:space="0" w:color="auto"/>
            </w:tcBorders>
          </w:tcPr>
          <w:p w14:paraId="212539A8" w14:textId="3294CB72" w:rsidR="006A3148" w:rsidRDefault="008B5DDA" w:rsidP="005673B1">
            <w:pPr>
              <w:pStyle w:val="Brdtext"/>
              <w:jc w:val="left"/>
            </w:pPr>
            <w:r w:rsidRPr="007D719D">
              <w:rPr>
                <w:rStyle w:val="rynqvb"/>
                <w:lang w:val="en"/>
              </w:rPr>
              <w:t xml:space="preserve">Self-regulation </w:t>
            </w:r>
            <w:r w:rsidR="00D15CB6">
              <w:rPr>
                <w:rStyle w:val="rynqvb"/>
                <w:lang w:val="en"/>
              </w:rPr>
              <w:t>focus</w:t>
            </w:r>
          </w:p>
        </w:tc>
        <w:tc>
          <w:tcPr>
            <w:tcW w:w="4961" w:type="dxa"/>
            <w:tcBorders>
              <w:top w:val="single" w:sz="6" w:space="0" w:color="auto"/>
              <w:left w:val="single" w:sz="6" w:space="0" w:color="auto"/>
              <w:bottom w:val="single" w:sz="6" w:space="0" w:color="auto"/>
              <w:right w:val="single" w:sz="6" w:space="0" w:color="auto"/>
            </w:tcBorders>
          </w:tcPr>
          <w:p w14:paraId="2C21B8BA" w14:textId="35BDB319" w:rsidR="006A3148" w:rsidRDefault="00810089" w:rsidP="005673B1">
            <w:pPr>
              <w:pStyle w:val="Brdtext"/>
              <w:jc w:val="left"/>
            </w:pPr>
            <w:r w:rsidRPr="000E3780">
              <w:rPr>
                <w:rStyle w:val="rynqvb"/>
                <w:lang w:val="en"/>
              </w:rPr>
              <w:t xml:space="preserve">Provides feedback aimed at the </w:t>
            </w:r>
            <w:r>
              <w:rPr>
                <w:rStyle w:val="rynqvb"/>
                <w:lang w:val="en"/>
              </w:rPr>
              <w:t>pupil</w:t>
            </w:r>
            <w:r w:rsidRPr="000E3780">
              <w:rPr>
                <w:rStyle w:val="rynqvb"/>
                <w:lang w:val="en"/>
              </w:rPr>
              <w:t xml:space="preserve"> developing </w:t>
            </w:r>
            <w:r>
              <w:rPr>
                <w:rStyle w:val="rynqvb"/>
                <w:lang w:val="en"/>
              </w:rPr>
              <w:t>her</w:t>
            </w:r>
            <w:r w:rsidRPr="000E3780">
              <w:rPr>
                <w:rStyle w:val="rynqvb"/>
                <w:lang w:val="en"/>
              </w:rPr>
              <w:t xml:space="preserve"> ability to control </w:t>
            </w:r>
            <w:r>
              <w:rPr>
                <w:rStyle w:val="rynqvb"/>
                <w:lang w:val="en"/>
              </w:rPr>
              <w:t>her</w:t>
            </w:r>
            <w:r w:rsidRPr="000E3780">
              <w:rPr>
                <w:rStyle w:val="rynqvb"/>
                <w:lang w:val="en"/>
              </w:rPr>
              <w:t xml:space="preserve"> own learning. Supports the </w:t>
            </w:r>
            <w:r>
              <w:rPr>
                <w:rStyle w:val="rynqvb"/>
                <w:lang w:val="en"/>
              </w:rPr>
              <w:t>pupil</w:t>
            </w:r>
            <w:r w:rsidRPr="000E3780">
              <w:rPr>
                <w:rStyle w:val="rynqvb"/>
                <w:lang w:val="en"/>
              </w:rPr>
              <w:t xml:space="preserve"> to review </w:t>
            </w:r>
            <w:r>
              <w:rPr>
                <w:rStyle w:val="rynqvb"/>
                <w:lang w:val="en"/>
              </w:rPr>
              <w:t xml:space="preserve">and re-count </w:t>
            </w:r>
            <w:r w:rsidRPr="000E3780">
              <w:rPr>
                <w:rStyle w:val="rynqvb"/>
                <w:lang w:val="en"/>
              </w:rPr>
              <w:t>solutions.</w:t>
            </w:r>
          </w:p>
        </w:tc>
        <w:tc>
          <w:tcPr>
            <w:tcW w:w="2276" w:type="dxa"/>
            <w:tcBorders>
              <w:top w:val="single" w:sz="6" w:space="0" w:color="auto"/>
              <w:left w:val="single" w:sz="6" w:space="0" w:color="auto"/>
              <w:bottom w:val="single" w:sz="6" w:space="0" w:color="auto"/>
              <w:right w:val="single" w:sz="6" w:space="0" w:color="auto"/>
            </w:tcBorders>
          </w:tcPr>
          <w:p w14:paraId="52D8528E" w14:textId="289F4B4D" w:rsidR="006A3148" w:rsidRDefault="00803003" w:rsidP="005673B1">
            <w:pPr>
              <w:pStyle w:val="Brdtext"/>
              <w:jc w:val="left"/>
            </w:pPr>
            <w:r w:rsidRPr="00B4511A">
              <w:rPr>
                <w:rStyle w:val="rynqvb"/>
                <w:i/>
                <w:iCs/>
                <w:lang w:val="en"/>
              </w:rPr>
              <w:t>Is the answer reasonable? Test your solutions</w:t>
            </w:r>
          </w:p>
        </w:tc>
      </w:tr>
      <w:tr w:rsidR="006A3148" w14:paraId="78124008" w14:textId="77777777" w:rsidTr="00BE1230">
        <w:trPr>
          <w:jc w:val="center"/>
        </w:trPr>
        <w:tc>
          <w:tcPr>
            <w:tcW w:w="1835" w:type="dxa"/>
            <w:tcBorders>
              <w:top w:val="single" w:sz="6" w:space="0" w:color="auto"/>
              <w:left w:val="single" w:sz="6" w:space="0" w:color="auto"/>
              <w:bottom w:val="single" w:sz="6" w:space="0" w:color="auto"/>
              <w:right w:val="single" w:sz="6" w:space="0" w:color="auto"/>
            </w:tcBorders>
          </w:tcPr>
          <w:p w14:paraId="77721341" w14:textId="7EB9FC4A" w:rsidR="006A3148" w:rsidRDefault="002A1B45" w:rsidP="005673B1">
            <w:pPr>
              <w:pStyle w:val="Brdtext"/>
              <w:jc w:val="left"/>
            </w:pPr>
            <w:r>
              <w:rPr>
                <w:rStyle w:val="rynqvb"/>
                <w:lang w:val="en"/>
              </w:rPr>
              <w:t>Self</w:t>
            </w:r>
            <w:r w:rsidR="00DD33F0">
              <w:rPr>
                <w:rStyle w:val="rynqvb"/>
                <w:lang w:val="en"/>
              </w:rPr>
              <w:t>-</w:t>
            </w:r>
            <w:r w:rsidR="001455B4">
              <w:rPr>
                <w:rStyle w:val="rynqvb"/>
                <w:lang w:val="en"/>
              </w:rPr>
              <w:t>focus</w:t>
            </w:r>
          </w:p>
        </w:tc>
        <w:tc>
          <w:tcPr>
            <w:tcW w:w="4961" w:type="dxa"/>
            <w:tcBorders>
              <w:top w:val="single" w:sz="6" w:space="0" w:color="auto"/>
              <w:left w:val="single" w:sz="6" w:space="0" w:color="auto"/>
              <w:bottom w:val="single" w:sz="6" w:space="0" w:color="auto"/>
              <w:right w:val="single" w:sz="6" w:space="0" w:color="auto"/>
            </w:tcBorders>
          </w:tcPr>
          <w:p w14:paraId="6E59AC61" w14:textId="7E145F8F" w:rsidR="006A3148" w:rsidRDefault="009A6BEF" w:rsidP="005673B1">
            <w:pPr>
              <w:pStyle w:val="Brdtext"/>
              <w:jc w:val="left"/>
            </w:pPr>
            <w:r>
              <w:rPr>
                <w:rStyle w:val="rynqvb"/>
                <w:lang w:val="en"/>
              </w:rPr>
              <w:t>F</w:t>
            </w:r>
            <w:r w:rsidRPr="00724AD0">
              <w:rPr>
                <w:rStyle w:val="rynqvb"/>
                <w:lang w:val="en"/>
              </w:rPr>
              <w:t xml:space="preserve">eedback only </w:t>
            </w:r>
            <w:r>
              <w:rPr>
                <w:rStyle w:val="rynqvb"/>
                <w:lang w:val="en"/>
              </w:rPr>
              <w:t xml:space="preserve">relates </w:t>
            </w:r>
            <w:r w:rsidRPr="00724AD0">
              <w:rPr>
                <w:rStyle w:val="rynqvb"/>
                <w:lang w:val="en"/>
              </w:rPr>
              <w:t>to the individual.</w:t>
            </w:r>
          </w:p>
        </w:tc>
        <w:tc>
          <w:tcPr>
            <w:tcW w:w="2276" w:type="dxa"/>
            <w:tcBorders>
              <w:top w:val="single" w:sz="6" w:space="0" w:color="auto"/>
              <w:left w:val="single" w:sz="6" w:space="0" w:color="auto"/>
              <w:bottom w:val="single" w:sz="6" w:space="0" w:color="auto"/>
              <w:right w:val="single" w:sz="6" w:space="0" w:color="auto"/>
            </w:tcBorders>
          </w:tcPr>
          <w:p w14:paraId="379C0901" w14:textId="3E1C53DE" w:rsidR="006A3148" w:rsidRDefault="00F21C81" w:rsidP="005673B1">
            <w:pPr>
              <w:pStyle w:val="Brdtext"/>
              <w:jc w:val="left"/>
            </w:pPr>
            <w:r w:rsidRPr="00BA75BE">
              <w:rPr>
                <w:rStyle w:val="rynqvb"/>
                <w:i/>
                <w:iCs/>
                <w:lang w:val="en"/>
              </w:rPr>
              <w:t>Good job!</w:t>
            </w:r>
          </w:p>
        </w:tc>
      </w:tr>
      <w:tr w:rsidR="00D17D92" w14:paraId="15DFEF82" w14:textId="77777777" w:rsidTr="00BE1230">
        <w:trPr>
          <w:jc w:val="center"/>
        </w:trPr>
        <w:tc>
          <w:tcPr>
            <w:tcW w:w="1835" w:type="dxa"/>
            <w:tcBorders>
              <w:top w:val="single" w:sz="6" w:space="0" w:color="auto"/>
              <w:left w:val="single" w:sz="6" w:space="0" w:color="auto"/>
              <w:bottom w:val="single" w:sz="6" w:space="0" w:color="auto"/>
              <w:right w:val="single" w:sz="6" w:space="0" w:color="auto"/>
            </w:tcBorders>
          </w:tcPr>
          <w:p w14:paraId="6F2F61F3" w14:textId="01D081D2" w:rsidR="00D17D92" w:rsidRDefault="00D17D92" w:rsidP="005673B1">
            <w:pPr>
              <w:pStyle w:val="Brdtext"/>
              <w:jc w:val="left"/>
            </w:pPr>
            <w:r>
              <w:rPr>
                <w:rStyle w:val="rynqvb"/>
                <w:lang w:val="en"/>
              </w:rPr>
              <w:t>Expression form</w:t>
            </w:r>
          </w:p>
        </w:tc>
        <w:tc>
          <w:tcPr>
            <w:tcW w:w="7237" w:type="dxa"/>
            <w:gridSpan w:val="2"/>
            <w:tcBorders>
              <w:top w:val="single" w:sz="6" w:space="0" w:color="auto"/>
              <w:left w:val="single" w:sz="6" w:space="0" w:color="auto"/>
              <w:bottom w:val="single" w:sz="6" w:space="0" w:color="auto"/>
              <w:right w:val="single" w:sz="6" w:space="0" w:color="auto"/>
            </w:tcBorders>
          </w:tcPr>
          <w:p w14:paraId="2D68505E" w14:textId="35A60FFC" w:rsidR="00D17D92" w:rsidRDefault="0002776C" w:rsidP="005673B1">
            <w:pPr>
              <w:pStyle w:val="Brdtext"/>
              <w:jc w:val="left"/>
            </w:pPr>
            <w:r>
              <w:rPr>
                <w:rStyle w:val="rynqvb"/>
                <w:lang w:val="en"/>
              </w:rPr>
              <w:t>Besides verbally, f</w:t>
            </w:r>
            <w:r w:rsidRPr="000157DA">
              <w:rPr>
                <w:rStyle w:val="rynqvb"/>
                <w:lang w:val="en"/>
              </w:rPr>
              <w:t xml:space="preserve">eedback </w:t>
            </w:r>
            <w:r>
              <w:rPr>
                <w:rStyle w:val="rynqvb"/>
                <w:lang w:val="en"/>
              </w:rPr>
              <w:t>can be</w:t>
            </w:r>
            <w:r w:rsidRPr="000157DA">
              <w:rPr>
                <w:rStyle w:val="rynqvb"/>
                <w:lang w:val="en"/>
              </w:rPr>
              <w:t xml:space="preserve"> expressed </w:t>
            </w:r>
            <w:r>
              <w:rPr>
                <w:rStyle w:val="rynqvb"/>
                <w:lang w:val="en"/>
              </w:rPr>
              <w:t>by using or articulating the use or need of</w:t>
            </w:r>
            <w:r w:rsidRPr="000157DA">
              <w:rPr>
                <w:rStyle w:val="rynqvb"/>
                <w:lang w:val="en"/>
              </w:rPr>
              <w:t xml:space="preserve"> written text, symbols, pictures, images, laboratory materials, body language, or if the acting teacher stays quiet for over three seconds while waiting for the </w:t>
            </w:r>
            <w:r>
              <w:rPr>
                <w:rStyle w:val="rynqvb"/>
                <w:lang w:val="en"/>
              </w:rPr>
              <w:t>pupil</w:t>
            </w:r>
            <w:r w:rsidRPr="000157DA">
              <w:rPr>
                <w:rStyle w:val="rynqvb"/>
                <w:lang w:val="en"/>
              </w:rPr>
              <w:t xml:space="preserve"> to reply to a question.</w:t>
            </w:r>
          </w:p>
        </w:tc>
      </w:tr>
    </w:tbl>
    <w:p w14:paraId="56F0EFDC" w14:textId="5FE083D1" w:rsidR="00F35A48" w:rsidRDefault="00F35A48" w:rsidP="00F35A48">
      <w:pPr>
        <w:pStyle w:val="Headtable"/>
        <w:rPr>
          <w:lang w:val="en"/>
        </w:rPr>
      </w:pPr>
      <w:bookmarkStart w:id="0" w:name="_Ref145947086"/>
      <w:r>
        <w:t xml:space="preserve">Table </w:t>
      </w:r>
      <w:r>
        <w:fldChar w:fldCharType="begin"/>
      </w:r>
      <w:r>
        <w:instrText xml:space="preserve"> SEQ Table \* ARABIC </w:instrText>
      </w:r>
      <w:r>
        <w:fldChar w:fldCharType="separate"/>
      </w:r>
      <w:r>
        <w:rPr>
          <w:noProof/>
        </w:rPr>
        <w:t>1</w:t>
      </w:r>
      <w:r>
        <w:fldChar w:fldCharType="end"/>
      </w:r>
      <w:bookmarkEnd w:id="0"/>
      <w:r w:rsidRPr="00A81390">
        <w:t xml:space="preserve">. </w:t>
      </w:r>
      <w:r>
        <w:t xml:space="preserve">Thematic framework for feedback process analysis, based on </w:t>
      </w:r>
      <w:r w:rsidR="008644E1">
        <w:rPr>
          <w:noProof/>
        </w:rPr>
        <w:t>Björklund Boistrup (2022)</w:t>
      </w:r>
      <w:r>
        <w:t xml:space="preserve">, </w:t>
      </w:r>
      <w:r w:rsidR="008644E1">
        <w:rPr>
          <w:noProof/>
        </w:rPr>
        <w:t>Hattie and Timperley (2007)</w:t>
      </w:r>
      <w:r>
        <w:t xml:space="preserve">, and </w:t>
      </w:r>
      <w:r w:rsidR="008644E1">
        <w:rPr>
          <w:noProof/>
        </w:rPr>
        <w:t>Rowe (2003)</w:t>
      </w:r>
      <w:r>
        <w:t xml:space="preserve">. Note that the codes for teacher-pupil communication </w:t>
      </w:r>
      <w:r w:rsidR="008644E1">
        <w:rPr>
          <w:noProof/>
        </w:rPr>
        <w:t>(Hufferd-Ackles et al., 2004)</w:t>
      </w:r>
      <w:r>
        <w:t xml:space="preserve"> are not </w:t>
      </w:r>
      <w:r w:rsidR="002065D7">
        <w:t>displayed</w:t>
      </w:r>
      <w:r>
        <w:t xml:space="preserve"> in the table.</w:t>
      </w:r>
    </w:p>
    <w:p w14:paraId="0777BD47" w14:textId="797FD8DF" w:rsidR="00704F6E" w:rsidRDefault="00920358" w:rsidP="00704F6E">
      <w:pPr>
        <w:pStyle w:val="Brdtext"/>
      </w:pPr>
      <w:r>
        <w:lastRenderedPageBreak/>
        <w:t xml:space="preserve">The second approach </w:t>
      </w:r>
      <w:r w:rsidR="00704F6E" w:rsidRPr="009A67E1">
        <w:t>capture</w:t>
      </w:r>
      <w:r>
        <w:t>s</w:t>
      </w:r>
      <w:r w:rsidR="00704F6E" w:rsidRPr="009A67E1">
        <w:t xml:space="preserve"> the specifics of role-playing and its implementation in an online environment</w:t>
      </w:r>
      <w:r>
        <w:t>. A</w:t>
      </w:r>
      <w:r w:rsidRPr="009A67E1">
        <w:t xml:space="preserve">n </w:t>
      </w:r>
      <w:r w:rsidR="00704F6E" w:rsidRPr="009A67E1">
        <w:t xml:space="preserve">inductively oriented thematic analysis was </w:t>
      </w:r>
      <w:r>
        <w:t>applied</w:t>
      </w:r>
      <w:r w:rsidR="00704F6E" w:rsidRPr="009A67E1">
        <w:t xml:space="preserve">, discovering content that contributed to a deeper understanding of how role-playing in online MTE can serve as an opportunity to practice feedback. </w:t>
      </w:r>
      <w:r w:rsidR="00704F6E">
        <w:t>During an</w:t>
      </w:r>
      <w:r w:rsidR="00704F6E" w:rsidRPr="009A67E1">
        <w:t xml:space="preserve"> open coding process</w:t>
      </w:r>
      <w:r w:rsidR="00704F6E">
        <w:t>,</w:t>
      </w:r>
      <w:r w:rsidR="00704F6E" w:rsidRPr="009A67E1">
        <w:t xml:space="preserve"> each line and quotation </w:t>
      </w:r>
      <w:r w:rsidR="00704F6E">
        <w:t xml:space="preserve">was labelled </w:t>
      </w:r>
      <w:r w:rsidR="00704F6E" w:rsidRPr="009A67E1">
        <w:t xml:space="preserve">pertaining to feedback, the online environment, </w:t>
      </w:r>
      <w:r w:rsidR="00704F6E">
        <w:t xml:space="preserve">and the </w:t>
      </w:r>
      <w:r w:rsidR="00704F6E" w:rsidRPr="009A67E1">
        <w:t>role-play content</w:t>
      </w:r>
      <w:r w:rsidR="00704F6E">
        <w:t xml:space="preserve"> of the transcripts.</w:t>
      </w:r>
    </w:p>
    <w:p w14:paraId="17A4FA81" w14:textId="77777777" w:rsidR="00704F6E" w:rsidRDefault="00704F6E" w:rsidP="00704F6E">
      <w:r w:rsidRPr="0057728B">
        <w:t>Through the process of searching, reviewing, and refining patterns among the findings</w:t>
      </w:r>
      <w:r>
        <w:t xml:space="preserve"> from the deductively and the inductively oriented thematic analysis</w:t>
      </w:r>
      <w:r w:rsidRPr="0057728B">
        <w:t xml:space="preserve">, three themes </w:t>
      </w:r>
      <w:r>
        <w:t>emerged capturing meaningful data relevant to the research question</w:t>
      </w:r>
      <w:r w:rsidRPr="0057728B">
        <w:t xml:space="preserve">: </w:t>
      </w:r>
      <w:r w:rsidRPr="00356BCE">
        <w:rPr>
          <w:i/>
          <w:iCs/>
        </w:rPr>
        <w:t>Feedback independent of teaching-pupil information</w:t>
      </w:r>
      <w:r w:rsidRPr="0057728B">
        <w:t xml:space="preserve">, </w:t>
      </w:r>
      <w:r>
        <w:rPr>
          <w:i/>
          <w:iCs/>
        </w:rPr>
        <w:t>Context-specific ch</w:t>
      </w:r>
      <w:r w:rsidRPr="008B75C9">
        <w:rPr>
          <w:i/>
          <w:iCs/>
        </w:rPr>
        <w:t>allenges</w:t>
      </w:r>
      <w:r w:rsidRPr="0057728B">
        <w:t xml:space="preserve">, and </w:t>
      </w:r>
      <w:r>
        <w:rPr>
          <w:i/>
          <w:iCs/>
        </w:rPr>
        <w:t>R</w:t>
      </w:r>
      <w:r w:rsidRPr="008B75C9">
        <w:rPr>
          <w:i/>
          <w:iCs/>
        </w:rPr>
        <w:t>ole-play</w:t>
      </w:r>
      <w:r>
        <w:rPr>
          <w:i/>
          <w:iCs/>
        </w:rPr>
        <w:t xml:space="preserve">- </w:t>
      </w:r>
      <w:r w:rsidRPr="008B75C9">
        <w:rPr>
          <w:i/>
          <w:iCs/>
        </w:rPr>
        <w:t xml:space="preserve">specific </w:t>
      </w:r>
      <w:r>
        <w:rPr>
          <w:i/>
          <w:iCs/>
        </w:rPr>
        <w:t>reflections</w:t>
      </w:r>
      <w:r w:rsidRPr="0057728B">
        <w:t>.</w:t>
      </w:r>
    </w:p>
    <w:p w14:paraId="337C7C4C" w14:textId="77777777" w:rsidR="00D6598D" w:rsidRDefault="00D6598D" w:rsidP="00D6598D">
      <w:pPr>
        <w:pStyle w:val="Rubrik2"/>
        <w:rPr>
          <w:rStyle w:val="rynqvb"/>
          <w:lang w:val="en-US"/>
        </w:rPr>
      </w:pPr>
      <w:r>
        <w:rPr>
          <w:rStyle w:val="rynqvb"/>
          <w:lang w:val="en-US"/>
        </w:rPr>
        <w:t>Results</w:t>
      </w:r>
    </w:p>
    <w:p w14:paraId="49B94208" w14:textId="77777777" w:rsidR="00D6598D" w:rsidRDefault="00D6598D" w:rsidP="00D6598D">
      <w:pPr>
        <w:pStyle w:val="Brdtext"/>
        <w:rPr>
          <w:lang w:val="en-US"/>
        </w:rPr>
      </w:pPr>
      <w:r>
        <w:rPr>
          <w:lang w:val="en-US"/>
        </w:rPr>
        <w:t>In this</w:t>
      </w:r>
      <w:r w:rsidRPr="00364CC9">
        <w:rPr>
          <w:lang w:val="en-US"/>
        </w:rPr>
        <w:t xml:space="preserve"> section </w:t>
      </w:r>
      <w:r>
        <w:rPr>
          <w:lang w:val="en-US"/>
        </w:rPr>
        <w:t xml:space="preserve">selected results </w:t>
      </w:r>
      <w:r w:rsidRPr="00364CC9">
        <w:rPr>
          <w:lang w:val="en-US"/>
        </w:rPr>
        <w:t>salient</w:t>
      </w:r>
      <w:r>
        <w:rPr>
          <w:lang w:val="en-US"/>
        </w:rPr>
        <w:t xml:space="preserve"> to each theme</w:t>
      </w:r>
      <w:r w:rsidRPr="00364CC9">
        <w:rPr>
          <w:lang w:val="en-US"/>
        </w:rPr>
        <w:t xml:space="preserve"> </w:t>
      </w:r>
      <w:r>
        <w:rPr>
          <w:lang w:val="en-US"/>
        </w:rPr>
        <w:t>are presented.</w:t>
      </w:r>
    </w:p>
    <w:p w14:paraId="630B5927" w14:textId="77777777" w:rsidR="00166293" w:rsidRDefault="00166293" w:rsidP="00166293">
      <w:pPr>
        <w:pStyle w:val="Rubrik3"/>
        <w:rPr>
          <w:lang w:val="en-US"/>
        </w:rPr>
      </w:pPr>
      <w:r>
        <w:rPr>
          <w:lang w:val="en-US"/>
        </w:rPr>
        <w:t>Feedback independent of teaching-pupil information</w:t>
      </w:r>
    </w:p>
    <w:p w14:paraId="45682773" w14:textId="01D355C2" w:rsidR="00166293" w:rsidRPr="008B75C9" w:rsidRDefault="00166293" w:rsidP="00166293">
      <w:pPr>
        <w:pStyle w:val="Brdtext"/>
        <w:rPr>
          <w:lang w:val="en-US"/>
        </w:rPr>
      </w:pPr>
      <w:r>
        <w:rPr>
          <w:lang w:val="en-US"/>
        </w:rPr>
        <w:t xml:space="preserve">The analysis of the two recorded activities showed that </w:t>
      </w:r>
      <w:r w:rsidRPr="009153A3">
        <w:rPr>
          <w:lang w:val="en-US"/>
        </w:rPr>
        <w:t xml:space="preserve">throughout the various role-plays, there was no feedback </w:t>
      </w:r>
      <w:r>
        <w:rPr>
          <w:lang w:val="en-US"/>
        </w:rPr>
        <w:t>expressed</w:t>
      </w:r>
      <w:r w:rsidRPr="009153A3">
        <w:rPr>
          <w:lang w:val="en-US"/>
        </w:rPr>
        <w:t xml:space="preserve"> regarding self-regulation or </w:t>
      </w:r>
      <w:r>
        <w:rPr>
          <w:lang w:val="en-US"/>
        </w:rPr>
        <w:t xml:space="preserve">the self as a person. </w:t>
      </w:r>
      <w:r w:rsidRPr="00DF5F54">
        <w:rPr>
          <w:lang w:val="en-US"/>
        </w:rPr>
        <w:t xml:space="preserve">This is probably connected with participant reflections on the lack of context such as knowledge of the </w:t>
      </w:r>
      <w:r>
        <w:rPr>
          <w:lang w:val="en-US"/>
        </w:rPr>
        <w:t xml:space="preserve">pupil and </w:t>
      </w:r>
      <w:r>
        <w:t>specific</w:t>
      </w:r>
      <w:r w:rsidRPr="000113D8">
        <w:t xml:space="preserve"> goals</w:t>
      </w:r>
      <w:r w:rsidRPr="00DF5F54">
        <w:rPr>
          <w:lang w:val="en-US"/>
        </w:rPr>
        <w:t>.</w:t>
      </w:r>
      <w:r>
        <w:rPr>
          <w:lang w:val="en-US"/>
        </w:rPr>
        <w:t xml:space="preserve"> </w:t>
      </w:r>
      <w:r w:rsidRPr="006D433A">
        <w:rPr>
          <w:lang w:val="en-US"/>
        </w:rPr>
        <w:t xml:space="preserve">Namely, the instructions for each role-play did not provide information about goals or the fictional </w:t>
      </w:r>
      <w:r>
        <w:rPr>
          <w:lang w:val="en-US"/>
        </w:rPr>
        <w:t>pupil’s</w:t>
      </w:r>
      <w:r w:rsidRPr="006D433A">
        <w:rPr>
          <w:lang w:val="en-US"/>
        </w:rPr>
        <w:t xml:space="preserve"> prior knowledge or social situation.</w:t>
      </w:r>
      <w:r>
        <w:rPr>
          <w:lang w:val="en-US"/>
        </w:rPr>
        <w:t xml:space="preserve"> </w:t>
      </w:r>
      <w:r w:rsidRPr="005B6EB0">
        <w:rPr>
          <w:lang w:val="en-US"/>
        </w:rPr>
        <w:t xml:space="preserve">Such information is what the </w:t>
      </w:r>
      <w:r>
        <w:rPr>
          <w:lang w:val="en-US"/>
        </w:rPr>
        <w:t>name</w:t>
      </w:r>
      <w:r w:rsidRPr="005B6EB0">
        <w:rPr>
          <w:lang w:val="en-US"/>
        </w:rPr>
        <w:t xml:space="preserve"> of this theme refers to as </w:t>
      </w:r>
      <w:r>
        <w:rPr>
          <w:lang w:val="en-US"/>
        </w:rPr>
        <w:t>teaching-pupil</w:t>
      </w:r>
      <w:r w:rsidRPr="005B6EB0">
        <w:rPr>
          <w:lang w:val="en-US"/>
        </w:rPr>
        <w:t xml:space="preserve"> information</w:t>
      </w:r>
      <w:r>
        <w:rPr>
          <w:lang w:val="en-US"/>
        </w:rPr>
        <w:t>. However, a</w:t>
      </w:r>
      <w:r w:rsidRPr="00C555E4">
        <w:rPr>
          <w:lang w:val="en-US"/>
        </w:rPr>
        <w:t>t the same time</w:t>
      </w:r>
      <w:r>
        <w:rPr>
          <w:lang w:val="en-US"/>
        </w:rPr>
        <w:t>,</w:t>
      </w:r>
      <w:r w:rsidRPr="00C555E4">
        <w:rPr>
          <w:lang w:val="en-US"/>
        </w:rPr>
        <w:t xml:space="preserve"> </w:t>
      </w:r>
      <w:r w:rsidRPr="00594728">
        <w:rPr>
          <w:lang w:val="en-US"/>
        </w:rPr>
        <w:t xml:space="preserve">role-playing can lead to the utilizing of feedback </w:t>
      </w:r>
      <w:r w:rsidR="007866CF">
        <w:rPr>
          <w:lang w:val="en-US"/>
        </w:rPr>
        <w:t>focusing on</w:t>
      </w:r>
      <w:r w:rsidRPr="00594728">
        <w:rPr>
          <w:lang w:val="en-US"/>
        </w:rPr>
        <w:t xml:space="preserve"> both the task and </w:t>
      </w:r>
      <w:r w:rsidR="007866CF">
        <w:rPr>
          <w:lang w:val="en-US"/>
        </w:rPr>
        <w:t xml:space="preserve">the </w:t>
      </w:r>
      <w:r w:rsidRPr="00594728">
        <w:rPr>
          <w:lang w:val="en-US"/>
        </w:rPr>
        <w:t>process.</w:t>
      </w:r>
      <w:r>
        <w:rPr>
          <w:lang w:val="en-US"/>
        </w:rPr>
        <w:t xml:space="preserve"> To</w:t>
      </w:r>
      <w:r>
        <w:t xml:space="preserve"> the</w:t>
      </w:r>
      <w:r w:rsidRPr="00AC79A4">
        <w:t xml:space="preserve"> task with the incorrect answer</w:t>
      </w:r>
      <w:r>
        <w:t>,</w:t>
      </w:r>
      <w:r w:rsidRPr="00AC79A4">
        <w:t xml:space="preserve"> </w:t>
      </w:r>
      <m:oMath>
        <m:r>
          <w:rPr>
            <w:rFonts w:ascii="Cambria Math" w:hAnsi="Cambria Math"/>
          </w:rPr>
          <m:t>93-47=54</m:t>
        </m:r>
      </m:oMath>
      <w:r>
        <w:t>, t</w:t>
      </w:r>
      <w:r w:rsidRPr="00AC79A4">
        <w:t xml:space="preserve">he acting teacher </w:t>
      </w:r>
      <w:r>
        <w:t>suggests the</w:t>
      </w:r>
      <w:r w:rsidRPr="00AC79A4">
        <w:t xml:space="preserve"> acting </w:t>
      </w:r>
      <w:r>
        <w:t>pupil</w:t>
      </w:r>
      <w:r w:rsidRPr="00AC79A4">
        <w:t xml:space="preserve"> use a number line. </w:t>
      </w:r>
    </w:p>
    <w:p w14:paraId="47BE5166" w14:textId="77777777" w:rsidR="00166293" w:rsidRPr="00625971" w:rsidRDefault="00166293" w:rsidP="00166293">
      <w:pPr>
        <w:pStyle w:val="Transcript"/>
      </w:pPr>
      <w:r>
        <w:t xml:space="preserve">Teacher: </w:t>
      </w:r>
      <w:r>
        <w:tab/>
      </w:r>
      <w:r w:rsidRPr="00AC79A4">
        <w:t>If you draw a number line? Can you calculate the same task with the number line?</w:t>
      </w:r>
      <w:r>
        <w:t xml:space="preserve"> </w:t>
      </w:r>
      <w:r w:rsidRPr="00F63312">
        <w:t>Could you explain to me step by step how to do it?</w:t>
      </w:r>
    </w:p>
    <w:p w14:paraId="6B45A219" w14:textId="77777777" w:rsidR="00166293" w:rsidRPr="002D27A2" w:rsidRDefault="00166293" w:rsidP="00166293">
      <w:pPr>
        <w:pStyle w:val="Transcript"/>
      </w:pPr>
      <w:r w:rsidRPr="002D27A2">
        <w:t xml:space="preserve">Pupil: </w:t>
      </w:r>
      <w:r>
        <w:tab/>
      </w:r>
      <w:r w:rsidRPr="00A35A9C">
        <w:t xml:space="preserve">What </w:t>
      </w:r>
      <w:r>
        <w:t>do</w:t>
      </w:r>
      <w:r w:rsidRPr="00A35A9C">
        <w:t xml:space="preserve"> you want me to count then? The difference between 3 and 7?</w:t>
      </w:r>
    </w:p>
    <w:p w14:paraId="6968966F" w14:textId="77777777" w:rsidR="00166293" w:rsidRPr="002D27A2" w:rsidRDefault="00166293" w:rsidP="00166293">
      <w:pPr>
        <w:pStyle w:val="Transcript"/>
      </w:pPr>
      <w:r w:rsidRPr="002D27A2">
        <w:t xml:space="preserve">Teacher: </w:t>
      </w:r>
      <w:r>
        <w:tab/>
      </w:r>
      <w:r w:rsidRPr="00B20838">
        <w:t>No, 93 and 47, so mark 93 on the number line.</w:t>
      </w:r>
    </w:p>
    <w:p w14:paraId="6C601C2E" w14:textId="77777777" w:rsidR="00166293" w:rsidRPr="008063B9" w:rsidRDefault="00166293" w:rsidP="00166293">
      <w:pPr>
        <w:pStyle w:val="Transcript"/>
      </w:pPr>
      <w:r w:rsidRPr="008063B9">
        <w:t xml:space="preserve">Pupil: </w:t>
      </w:r>
      <w:r w:rsidRPr="008063B9">
        <w:tab/>
        <w:t>Yes</w:t>
      </w:r>
    </w:p>
    <w:p w14:paraId="3E25F437" w14:textId="77777777" w:rsidR="00166293" w:rsidRPr="00E37E0A" w:rsidRDefault="00166293" w:rsidP="00166293">
      <w:pPr>
        <w:pStyle w:val="Transcript"/>
      </w:pPr>
      <w:r>
        <w:t xml:space="preserve">Teacher: </w:t>
      </w:r>
      <w:r>
        <w:tab/>
        <w:t>And then from 93 you need to subtract 47, but you don’t have to do it in one step. Ehm… without... How do you think you can easier subtract it on the number line?</w:t>
      </w:r>
    </w:p>
    <w:p w14:paraId="5116C436" w14:textId="77777777" w:rsidR="00166293" w:rsidRDefault="00166293" w:rsidP="00166293">
      <w:pPr>
        <w:pStyle w:val="Brdtext"/>
      </w:pPr>
      <w:r w:rsidRPr="00564C4B">
        <w:rPr>
          <w:rStyle w:val="BrdtextChar"/>
        </w:rPr>
        <w:t>In the initial part of the excerpt, the teacher</w:t>
      </w:r>
      <w:r>
        <w:rPr>
          <w:rStyle w:val="BrdtextChar"/>
        </w:rPr>
        <w:t>’</w:t>
      </w:r>
      <w:r w:rsidRPr="00564C4B">
        <w:rPr>
          <w:rStyle w:val="BrdtextChar"/>
        </w:rPr>
        <w:t>s feedback is task</w:t>
      </w:r>
      <w:r>
        <w:rPr>
          <w:rStyle w:val="BrdtextChar"/>
        </w:rPr>
        <w:t xml:space="preserve"> </w:t>
      </w:r>
      <w:r w:rsidRPr="00564C4B">
        <w:rPr>
          <w:rStyle w:val="BrdtextChar"/>
        </w:rPr>
        <w:t>oriented, but it transitions to addressing the pupil</w:t>
      </w:r>
      <w:r>
        <w:rPr>
          <w:rStyle w:val="BrdtextChar"/>
        </w:rPr>
        <w:t>’</w:t>
      </w:r>
      <w:r w:rsidRPr="00564C4B">
        <w:rPr>
          <w:rStyle w:val="BrdtextChar"/>
        </w:rPr>
        <w:t>s understanding of subtraction on the process level in the final sentence.</w:t>
      </w:r>
      <w:r>
        <w:rPr>
          <w:rStyle w:val="BrdtextChar"/>
        </w:rPr>
        <w:t xml:space="preserve"> </w:t>
      </w:r>
      <w:r w:rsidRPr="00E44429">
        <w:rPr>
          <w:rStyle w:val="BrdtextChar"/>
        </w:rPr>
        <w:t xml:space="preserve">Despite the absence of knowledge about the </w:t>
      </w:r>
      <w:r>
        <w:rPr>
          <w:rStyle w:val="BrdtextChar"/>
        </w:rPr>
        <w:t>pupil</w:t>
      </w:r>
      <w:r w:rsidRPr="00E44429">
        <w:rPr>
          <w:rStyle w:val="BrdtextChar"/>
        </w:rPr>
        <w:t xml:space="preserve">, the conversations within the role-plays can prioritize the </w:t>
      </w:r>
      <w:r>
        <w:rPr>
          <w:rStyle w:val="BrdtextChar"/>
        </w:rPr>
        <w:t>pupils’ thinking</w:t>
      </w:r>
      <w:r w:rsidRPr="00E44429">
        <w:rPr>
          <w:rStyle w:val="BrdtextChar"/>
        </w:rPr>
        <w:t>. In the preceding passage, the communication occurs at level 0 up until the final sentence, at which point the teacher shifts to level 1.</w:t>
      </w:r>
      <w:r>
        <w:rPr>
          <w:rStyle w:val="BrdtextChar"/>
        </w:rPr>
        <w:t xml:space="preserve"> </w:t>
      </w:r>
      <w:r w:rsidRPr="008B6890">
        <w:rPr>
          <w:rStyle w:val="BrdtextChar"/>
        </w:rPr>
        <w:t xml:space="preserve">A more distinct illustration of communication at level 1 will be evident in the </w:t>
      </w:r>
      <w:r>
        <w:rPr>
          <w:rStyle w:val="BrdtextChar"/>
        </w:rPr>
        <w:t>next</w:t>
      </w:r>
      <w:r w:rsidRPr="008B6890">
        <w:rPr>
          <w:rStyle w:val="BrdtextChar"/>
        </w:rPr>
        <w:t xml:space="preserve"> role-play</w:t>
      </w:r>
      <w:r>
        <w:rPr>
          <w:rStyle w:val="BrdtextChar"/>
        </w:rPr>
        <w:t xml:space="preserve"> excerpt</w:t>
      </w:r>
      <w:r w:rsidRPr="008B6890">
        <w:rPr>
          <w:rStyle w:val="BrdtextChar"/>
        </w:rPr>
        <w:t>.</w:t>
      </w:r>
      <w:r>
        <w:rPr>
          <w:rStyle w:val="BrdtextChar"/>
        </w:rPr>
        <w:t xml:space="preserve"> </w:t>
      </w:r>
      <w:r>
        <w:t>To the</w:t>
      </w:r>
      <w:r w:rsidRPr="000C3BD2">
        <w:t xml:space="preserve"> incorrect solution</w:t>
      </w:r>
      <w:r>
        <w:t xml:space="preserve">, </w:t>
      </w:r>
      <m:oMath>
        <m:f>
          <m:fPr>
            <m:ctrlPr>
              <w:rPr>
                <w:rFonts w:ascii="Cambria Math" w:hAnsi="Cambria Math"/>
                <w:i/>
                <w:lang w:val="en-US"/>
              </w:rPr>
            </m:ctrlPr>
          </m:fPr>
          <m:num>
            <m:r>
              <w:rPr>
                <w:rFonts w:ascii="Cambria Math" w:hAnsi="Cambria Math"/>
              </w:rPr>
              <m:t>2</m:t>
            </m:r>
          </m:num>
          <m:den>
            <m:r>
              <w:rPr>
                <w:rFonts w:ascii="Cambria Math" w:hAnsi="Cambria Math"/>
              </w:rPr>
              <m:t>7</m:t>
            </m:r>
          </m:den>
        </m:f>
        <m:r>
          <w:rPr>
            <w:rFonts w:ascii="Cambria Math" w:hAnsi="Cambria Math"/>
          </w:rPr>
          <m:t>×</m:t>
        </m:r>
        <m:f>
          <m:fPr>
            <m:ctrlPr>
              <w:rPr>
                <w:rFonts w:ascii="Cambria Math" w:hAnsi="Cambria Math"/>
                <w:i/>
                <w:lang w:val="en-US"/>
              </w:rPr>
            </m:ctrlPr>
          </m:fPr>
          <m:num>
            <m:r>
              <w:rPr>
                <w:rFonts w:ascii="Cambria Math" w:hAnsi="Cambria Math"/>
              </w:rPr>
              <m:t>3</m:t>
            </m:r>
          </m:num>
          <m:den>
            <m:r>
              <w:rPr>
                <w:rFonts w:ascii="Cambria Math" w:hAnsi="Cambria Math"/>
              </w:rPr>
              <m:t>7</m:t>
            </m:r>
          </m:den>
        </m:f>
        <m:r>
          <w:rPr>
            <w:rFonts w:ascii="Cambria Math" w:hAnsi="Cambria Math"/>
          </w:rPr>
          <m:t>=</m:t>
        </m:r>
        <m:f>
          <m:fPr>
            <m:ctrlPr>
              <w:rPr>
                <w:rFonts w:ascii="Cambria Math" w:hAnsi="Cambria Math"/>
                <w:i/>
                <w:lang w:val="en-US"/>
              </w:rPr>
            </m:ctrlPr>
          </m:fPr>
          <m:num>
            <m:r>
              <w:rPr>
                <w:rFonts w:ascii="Cambria Math" w:hAnsi="Cambria Math"/>
              </w:rPr>
              <m:t>6</m:t>
            </m:r>
          </m:num>
          <m:den>
            <m:r>
              <w:rPr>
                <w:rFonts w:ascii="Cambria Math" w:hAnsi="Cambria Math"/>
              </w:rPr>
              <m:t>7</m:t>
            </m:r>
          </m:den>
        </m:f>
      </m:oMath>
      <w:r w:rsidRPr="000C3BD2">
        <w:t xml:space="preserve"> , the acting teacher probes the acting pupil</w:t>
      </w:r>
      <w:r>
        <w:t>’</w:t>
      </w:r>
      <w:r w:rsidRPr="000C3BD2">
        <w:t>s approach by askin</w:t>
      </w:r>
      <w:r>
        <w:t xml:space="preserve">g </w:t>
      </w:r>
      <w:r w:rsidRPr="000C3BD2">
        <w:t>"What are you going to do</w:t>
      </w:r>
      <w:r>
        <w:t>,</w:t>
      </w:r>
      <w:r w:rsidRPr="000C3BD2">
        <w:t xml:space="preserve"> in the ta</w:t>
      </w:r>
      <w:r>
        <w:t>s</w:t>
      </w:r>
      <w:r w:rsidRPr="000C3BD2">
        <w:t xml:space="preserve">k?" It becomes clear that the pupil understands the need to multiply fractions but incorrectly </w:t>
      </w:r>
      <w:r w:rsidRPr="000C3BD2">
        <w:lastRenderedPageBreak/>
        <w:t>believes that the denominators should remain the same when multiplying fractions with equal denominators.</w:t>
      </w:r>
      <w:r>
        <w:t xml:space="preserve"> </w:t>
      </w:r>
      <w:r w:rsidRPr="00D93AB8">
        <w:t xml:space="preserve">The teacher continues, </w:t>
      </w:r>
    </w:p>
    <w:p w14:paraId="71722A79" w14:textId="77777777" w:rsidR="00166293" w:rsidRDefault="00166293" w:rsidP="00166293">
      <w:pPr>
        <w:pStyle w:val="Transcript"/>
      </w:pPr>
      <w:r>
        <w:t xml:space="preserve">Teacher: </w:t>
      </w:r>
      <w:r>
        <w:tab/>
      </w:r>
      <w:r w:rsidRPr="00D93AB8">
        <w:t>Is it the same rule when adding fractions?</w:t>
      </w:r>
    </w:p>
    <w:p w14:paraId="43D46283" w14:textId="77777777" w:rsidR="00166293" w:rsidRDefault="00166293" w:rsidP="00166293">
      <w:pPr>
        <w:pStyle w:val="Transcript"/>
        <w:ind w:firstLine="0"/>
      </w:pPr>
      <w:r>
        <w:t>[Silence, 8 sec]</w:t>
      </w:r>
    </w:p>
    <w:p w14:paraId="45D40D7D" w14:textId="77777777" w:rsidR="00166293" w:rsidRDefault="00166293" w:rsidP="00166293">
      <w:pPr>
        <w:pStyle w:val="Transcript"/>
      </w:pPr>
      <w:r>
        <w:t xml:space="preserve">Pupil: </w:t>
      </w:r>
      <w:r>
        <w:tab/>
        <w:t>Yes, I think so.</w:t>
      </w:r>
    </w:p>
    <w:p w14:paraId="73163C57" w14:textId="77777777" w:rsidR="00166293" w:rsidRDefault="00166293" w:rsidP="00166293">
      <w:pPr>
        <w:pStyle w:val="Transcript"/>
      </w:pPr>
      <w:r>
        <w:t xml:space="preserve">Teacher: </w:t>
      </w:r>
      <w:r>
        <w:tab/>
      </w:r>
      <w:r w:rsidRPr="00123F3C">
        <w:t>Why is it like that when you add fractions?</w:t>
      </w:r>
    </w:p>
    <w:p w14:paraId="3715BDD5" w14:textId="77777777" w:rsidR="00166293" w:rsidRDefault="00166293" w:rsidP="00166293">
      <w:pPr>
        <w:pStyle w:val="Transcript"/>
        <w:ind w:firstLine="0"/>
      </w:pPr>
      <w:r>
        <w:t>[Silence, 5 sec]</w:t>
      </w:r>
    </w:p>
    <w:p w14:paraId="58206154" w14:textId="77777777" w:rsidR="00166293" w:rsidRDefault="00166293" w:rsidP="00166293">
      <w:pPr>
        <w:pStyle w:val="Transcript"/>
      </w:pPr>
      <w:r>
        <w:t xml:space="preserve">Pupil: </w:t>
      </w:r>
      <w:r>
        <w:tab/>
        <w:t>When we add the two?</w:t>
      </w:r>
    </w:p>
    <w:p w14:paraId="6D42C242" w14:textId="77777777" w:rsidR="00166293" w:rsidRDefault="00166293" w:rsidP="00166293">
      <w:pPr>
        <w:pStyle w:val="Transcript"/>
      </w:pPr>
      <w:r>
        <w:t xml:space="preserve">Teacher: </w:t>
      </w:r>
      <w:r>
        <w:tab/>
        <w:t>Yes, if there had been an addition sign instead of a multiplication sign?</w:t>
      </w:r>
    </w:p>
    <w:p w14:paraId="352349A6" w14:textId="77777777" w:rsidR="00166293" w:rsidRDefault="00166293" w:rsidP="00166293">
      <w:pPr>
        <w:pStyle w:val="Transcript"/>
      </w:pPr>
      <w:r>
        <w:t xml:space="preserve">Pupil: </w:t>
      </w:r>
      <w:r>
        <w:tab/>
        <w:t>Since we have the same denominator then it equals... [short silence] ... five times...5 through 7.</w:t>
      </w:r>
    </w:p>
    <w:p w14:paraId="25CD3FE5" w14:textId="18666DC6" w:rsidR="00166293" w:rsidRDefault="00166293" w:rsidP="00166293">
      <w:pPr>
        <w:pStyle w:val="Brdtext"/>
      </w:pPr>
      <w:r w:rsidRPr="00B9695B">
        <w:t xml:space="preserve">Communication </w:t>
      </w:r>
      <w:r>
        <w:t>thus</w:t>
      </w:r>
      <w:r w:rsidRPr="00B9695B">
        <w:t xml:space="preserve"> far is at level 1</w:t>
      </w:r>
      <w:r>
        <w:t xml:space="preserve"> and focused on </w:t>
      </w:r>
      <w:r w:rsidRPr="00B9695B">
        <w:t>process</w:t>
      </w:r>
      <w:r>
        <w:t>es</w:t>
      </w:r>
      <w:r w:rsidRPr="00B9695B">
        <w:t xml:space="preserve">, featuring an instance where the teacher employs silence. The teacher </w:t>
      </w:r>
      <w:r>
        <w:t>continues</w:t>
      </w:r>
      <w:r w:rsidRPr="00B9695B">
        <w:t xml:space="preserve"> the feedback process by prompting the pupil to contemplate another multiplication, hoping this will lead to insights that assist in solving the initial problem.</w:t>
      </w:r>
      <w:r w:rsidRPr="00941752">
        <w:t xml:space="preserve"> In contrast to the prior excerpt, the teacher </w:t>
      </w:r>
      <w:r>
        <w:t xml:space="preserve">now </w:t>
      </w:r>
      <w:r w:rsidRPr="00941752">
        <w:t xml:space="preserve">transitions to communication level 0 but maintains a </w:t>
      </w:r>
      <w:r>
        <w:t xml:space="preserve">process </w:t>
      </w:r>
      <w:r w:rsidR="00FC5F75">
        <w:t>focus</w:t>
      </w:r>
      <w:r w:rsidR="00FC5F75" w:rsidRPr="00941752">
        <w:t xml:space="preserve"> </w:t>
      </w:r>
      <w:r w:rsidR="009C36CD">
        <w:t>of the</w:t>
      </w:r>
      <w:r w:rsidR="009C36CD" w:rsidRPr="00941752">
        <w:t xml:space="preserve"> </w:t>
      </w:r>
      <w:r w:rsidRPr="00941752">
        <w:t>feedback. This feedback may also serve a self-regulatory purpose if the pupil can apply the strategy to solve similar, simpler problems.</w:t>
      </w:r>
    </w:p>
    <w:p w14:paraId="6C2E4085" w14:textId="77777777" w:rsidR="002244E6" w:rsidRPr="00422607" w:rsidRDefault="002244E6" w:rsidP="002244E6">
      <w:pPr>
        <w:pStyle w:val="Rubrik3"/>
      </w:pPr>
      <w:r>
        <w:t>Context-specific obstacles</w:t>
      </w:r>
    </w:p>
    <w:p w14:paraId="456E0D07" w14:textId="77777777" w:rsidR="002244E6" w:rsidRDefault="002244E6" w:rsidP="002244E6">
      <w:pPr>
        <w:pStyle w:val="Brdtext"/>
      </w:pPr>
      <w:r w:rsidRPr="00564C4B">
        <w:rPr>
          <w:rStyle w:val="BrdtextChar"/>
        </w:rPr>
        <w:t>The teacher</w:t>
      </w:r>
      <w:r>
        <w:rPr>
          <w:rStyle w:val="BrdtextChar"/>
        </w:rPr>
        <w:t>’</w:t>
      </w:r>
      <w:r w:rsidRPr="00564C4B">
        <w:rPr>
          <w:rStyle w:val="BrdtextChar"/>
        </w:rPr>
        <w:t>s introduction of a number line</w:t>
      </w:r>
      <w:r>
        <w:rPr>
          <w:rStyle w:val="BrdtextChar"/>
        </w:rPr>
        <w:t xml:space="preserve"> in the first excerpt</w:t>
      </w:r>
      <w:r w:rsidRPr="00564C4B">
        <w:rPr>
          <w:rStyle w:val="BrdtextChar"/>
        </w:rPr>
        <w:t xml:space="preserve"> </w:t>
      </w:r>
      <w:r>
        <w:rPr>
          <w:rStyle w:val="BrdtextChar"/>
        </w:rPr>
        <w:t xml:space="preserve">of the previous theme </w:t>
      </w:r>
      <w:r w:rsidRPr="00564C4B">
        <w:rPr>
          <w:rStyle w:val="BrdtextChar"/>
        </w:rPr>
        <w:t>suggests an attempt to incorporate non-verbal forms of feedback. Later in th</w:t>
      </w:r>
      <w:r>
        <w:rPr>
          <w:rStyle w:val="BrdtextChar"/>
        </w:rPr>
        <w:t>at</w:t>
      </w:r>
      <w:r w:rsidRPr="00564C4B">
        <w:rPr>
          <w:rStyle w:val="BrdtextChar"/>
        </w:rPr>
        <w:t xml:space="preserve"> role-play, the pupil displays her </w:t>
      </w:r>
      <w:r>
        <w:rPr>
          <w:rStyle w:val="BrdtextChar"/>
        </w:rPr>
        <w:t xml:space="preserve">attempt at a </w:t>
      </w:r>
      <w:r w:rsidRPr="00564C4B">
        <w:rPr>
          <w:rStyle w:val="BrdtextChar"/>
        </w:rPr>
        <w:t xml:space="preserve">drawn number line </w:t>
      </w:r>
      <w:r>
        <w:rPr>
          <w:rStyle w:val="BrdtextChar"/>
        </w:rPr>
        <w:t>in</w:t>
      </w:r>
      <w:r w:rsidRPr="00564C4B">
        <w:rPr>
          <w:rStyle w:val="BrdtextChar"/>
        </w:rPr>
        <w:t xml:space="preserve"> the webcam.</w:t>
      </w:r>
      <w:r>
        <w:rPr>
          <w:rStyle w:val="BrdtextChar"/>
        </w:rPr>
        <w:t xml:space="preserve"> </w:t>
      </w:r>
      <w:r w:rsidRPr="005F486E">
        <w:rPr>
          <w:rStyle w:val="BrdtextChar"/>
        </w:rPr>
        <w:t>Here, the limitations of the digital online environment are illustrated as efforts to transition between various forms of expression are impeded by contextual constraints.</w:t>
      </w:r>
      <w:r>
        <w:rPr>
          <w:rStyle w:val="BrdtextChar"/>
        </w:rPr>
        <w:t xml:space="preserve"> </w:t>
      </w:r>
      <w:r w:rsidRPr="00830B05">
        <w:rPr>
          <w:rStyle w:val="BrdtextChar"/>
        </w:rPr>
        <w:t xml:space="preserve">During the analysis phase, participants </w:t>
      </w:r>
      <w:r>
        <w:rPr>
          <w:rStyle w:val="BrdtextChar"/>
        </w:rPr>
        <w:t xml:space="preserve">also </w:t>
      </w:r>
      <w:r w:rsidRPr="00830B05">
        <w:rPr>
          <w:rStyle w:val="BrdtextChar"/>
        </w:rPr>
        <w:t>acknowledged the limitations posed by the online context, especially when it came to mathematics instruction</w:t>
      </w:r>
      <w:r>
        <w:rPr>
          <w:rStyle w:val="BrdtextChar"/>
        </w:rPr>
        <w:t xml:space="preserve">. </w:t>
      </w:r>
      <w:r w:rsidRPr="000113D8">
        <w:t>The online environment was perceived as a safer space for role-play compared to in-person meetings, although gestures or facial expressions were difficult to interpret.</w:t>
      </w:r>
    </w:p>
    <w:p w14:paraId="29F68FCC" w14:textId="77777777" w:rsidR="002244E6" w:rsidRPr="008B75C9" w:rsidRDefault="002244E6" w:rsidP="002244E6">
      <w:pPr>
        <w:pStyle w:val="Rubrik3"/>
      </w:pPr>
      <w:r>
        <w:t>Role-play-specific reflections</w:t>
      </w:r>
    </w:p>
    <w:p w14:paraId="72F75F2C" w14:textId="77777777" w:rsidR="002244E6" w:rsidRPr="00046343" w:rsidRDefault="002244E6" w:rsidP="00436455">
      <w:pPr>
        <w:pStyle w:val="Brdtext"/>
      </w:pPr>
      <w:r>
        <w:t>The participants</w:t>
      </w:r>
      <w:r w:rsidRPr="000113D8">
        <w:t xml:space="preserve"> viewed the role-play</w:t>
      </w:r>
      <w:r>
        <w:t>s</w:t>
      </w:r>
      <w:r w:rsidRPr="000113D8">
        <w:t xml:space="preserve"> as a valuable opportunity to practice teaching, asking questions, and providing helpful feedback that goes beyond simply describing rules or solutions. Participants also found value in exploring different forms of feedback and becoming more aware of their own feedback style. Among the participants, previous experiences of approximations of teaching were limited to reflexive writing and discussions about </w:t>
      </w:r>
      <w:r>
        <w:t>pupils’</w:t>
      </w:r>
      <w:r w:rsidRPr="000113D8">
        <w:t xml:space="preserve"> written solutions.</w:t>
      </w:r>
      <w:r>
        <w:t xml:space="preserve"> Additionally, suggestions from</w:t>
      </w:r>
      <w:r w:rsidRPr="0034296D">
        <w:t xml:space="preserve"> the participants were more time for discussion</w:t>
      </w:r>
      <w:r>
        <w:t xml:space="preserve"> after every role-play</w:t>
      </w:r>
      <w:r w:rsidRPr="0034296D">
        <w:t xml:space="preserve"> and an actively participating mathematics teacher educator. </w:t>
      </w:r>
    </w:p>
    <w:p w14:paraId="143ADAAD" w14:textId="77777777" w:rsidR="008527B7" w:rsidRDefault="008527B7" w:rsidP="008527B7">
      <w:pPr>
        <w:pStyle w:val="Rubrik2"/>
      </w:pPr>
      <w:r>
        <w:lastRenderedPageBreak/>
        <w:t>Discussion</w:t>
      </w:r>
    </w:p>
    <w:p w14:paraId="30E3E881" w14:textId="7DE5BE09" w:rsidR="008527B7" w:rsidRDefault="008527B7" w:rsidP="008527B7">
      <w:pPr>
        <w:pStyle w:val="Brdtext"/>
      </w:pPr>
      <w:r w:rsidRPr="00B85C11">
        <w:t>Initially, the question was asked</w:t>
      </w:r>
      <w:r>
        <w:t xml:space="preserve">: </w:t>
      </w:r>
      <w:r w:rsidRPr="00B85C11">
        <w:t>What do</w:t>
      </w:r>
      <w:r>
        <w:t>es</w:t>
      </w:r>
      <w:r w:rsidRPr="00B85C11">
        <w:t xml:space="preserve"> role-play as an approximation of teaching </w:t>
      </w:r>
      <w:r w:rsidRPr="008530B5">
        <w:t xml:space="preserve">offer online MTE in terms of training of feedback? Communication during the feedback process was observed at level 0 and 1, with instances of participants transitioning between the two. In this way, the role-plays illuminate the communication characteristics as described by </w:t>
      </w:r>
      <w:r w:rsidR="008644E1" w:rsidRPr="008530B5">
        <w:rPr>
          <w:noProof/>
        </w:rPr>
        <w:t>Hufferd-Ackles et al. (2004)</w:t>
      </w:r>
      <w:r w:rsidRPr="008530B5">
        <w:t xml:space="preserve"> in the feedback process. Shifting between communication levels may result from the</w:t>
      </w:r>
      <w:r>
        <w:t xml:space="preserve"> focus on feedback in the</w:t>
      </w:r>
      <w:r w:rsidRPr="008530B5">
        <w:t xml:space="preserve"> role-plays, as participants viewed </w:t>
      </w:r>
      <w:r>
        <w:t>the role-plays</w:t>
      </w:r>
      <w:r w:rsidRPr="008530B5">
        <w:t xml:space="preserve"> as opportunities to test various feedback types. Participants also </w:t>
      </w:r>
      <w:r>
        <w:t>talked about</w:t>
      </w:r>
      <w:r w:rsidRPr="008530B5">
        <w:t xml:space="preserve"> limitations in providing feedback due to </w:t>
      </w:r>
      <w:r>
        <w:t xml:space="preserve">the </w:t>
      </w:r>
      <w:r w:rsidRPr="008530B5">
        <w:t xml:space="preserve">limited knowledge of </w:t>
      </w:r>
      <w:r>
        <w:t xml:space="preserve">the fictional </w:t>
      </w:r>
      <w:r w:rsidRPr="008530B5">
        <w:t xml:space="preserve">pupils </w:t>
      </w:r>
      <w:r>
        <w:t xml:space="preserve">and </w:t>
      </w:r>
      <w:r w:rsidRPr="008530B5">
        <w:t xml:space="preserve">the </w:t>
      </w:r>
      <w:r w:rsidR="00D25889">
        <w:t>scarcity</w:t>
      </w:r>
      <w:r w:rsidR="00764024" w:rsidRPr="008530B5">
        <w:t xml:space="preserve"> </w:t>
      </w:r>
      <w:r w:rsidRPr="008530B5">
        <w:t xml:space="preserve">of clear goals </w:t>
      </w:r>
      <w:r>
        <w:t>for the mathematics teaching situation presented in each role-play. These limitations</w:t>
      </w:r>
      <w:r w:rsidRPr="008530B5">
        <w:t xml:space="preserve"> may have </w:t>
      </w:r>
      <w:r w:rsidRPr="00C03734">
        <w:t>contributed</w:t>
      </w:r>
      <w:r w:rsidRPr="008530B5">
        <w:t xml:space="preserve"> to the almost</w:t>
      </w:r>
      <w:r w:rsidRPr="00C1698A">
        <w:t xml:space="preserve"> total absence of self-regulation and self</w:t>
      </w:r>
      <w:r w:rsidR="00E80A33">
        <w:t>-</w:t>
      </w:r>
      <w:r w:rsidR="00D30679">
        <w:t>focused</w:t>
      </w:r>
      <w:r w:rsidR="00D30679" w:rsidRPr="00C1698A">
        <w:t xml:space="preserve"> </w:t>
      </w:r>
      <w:r w:rsidRPr="00C1698A">
        <w:t>feedback</w:t>
      </w:r>
      <w:r w:rsidRPr="00575BF7">
        <w:t xml:space="preserve">. </w:t>
      </w:r>
      <w:r w:rsidRPr="00667713">
        <w:t>In contrast, the role</w:t>
      </w:r>
      <w:r w:rsidR="00E508BD">
        <w:t>-</w:t>
      </w:r>
      <w:r w:rsidRPr="00667713">
        <w:t xml:space="preserve">plays </w:t>
      </w:r>
      <w:r>
        <w:t>yielded</w:t>
      </w:r>
      <w:r w:rsidRPr="00667713">
        <w:t xml:space="preserve"> repeated feedback </w:t>
      </w:r>
      <w:r w:rsidR="003525D2">
        <w:t>on</w:t>
      </w:r>
      <w:r w:rsidRPr="00667713">
        <w:t xml:space="preserve"> both the process</w:t>
      </w:r>
      <w:r w:rsidR="003525D2">
        <w:t>es</w:t>
      </w:r>
      <w:r w:rsidRPr="00667713">
        <w:t xml:space="preserve"> and </w:t>
      </w:r>
      <w:r w:rsidR="003525D2">
        <w:t xml:space="preserve">the </w:t>
      </w:r>
      <w:r w:rsidRPr="00667713">
        <w:t>task</w:t>
      </w:r>
      <w:r w:rsidR="003525D2">
        <w:t>s</w:t>
      </w:r>
      <w:r w:rsidRPr="00667713">
        <w:t>.</w:t>
      </w:r>
      <w:r>
        <w:t xml:space="preserve"> C</w:t>
      </w:r>
      <w:r w:rsidRPr="00345B1F">
        <w:t xml:space="preserve">reating informative contexts around the exercises and </w:t>
      </w:r>
      <w:r>
        <w:t>pupils’</w:t>
      </w:r>
      <w:r w:rsidRPr="00345B1F">
        <w:t xml:space="preserve"> situations</w:t>
      </w:r>
      <w:r>
        <w:t xml:space="preserve"> may</w:t>
      </w:r>
      <w:r w:rsidRPr="003D0886">
        <w:t xml:space="preserve"> </w:t>
      </w:r>
      <w:r>
        <w:t>e</w:t>
      </w:r>
      <w:r w:rsidRPr="003D0886">
        <w:t>nhanc</w:t>
      </w:r>
      <w:r>
        <w:t>e</w:t>
      </w:r>
      <w:r w:rsidRPr="003D0886">
        <w:t xml:space="preserve"> the authenticity of role-plays</w:t>
      </w:r>
      <w:r>
        <w:t xml:space="preserve">, as </w:t>
      </w:r>
      <w:r w:rsidR="008644E1">
        <w:rPr>
          <w:noProof/>
        </w:rPr>
        <w:t>Howell and Mikeska (2021)</w:t>
      </w:r>
      <w:r>
        <w:t xml:space="preserve"> emphasize,</w:t>
      </w:r>
      <w:r w:rsidRPr="00345B1F">
        <w:t xml:space="preserve"> </w:t>
      </w:r>
      <w:r>
        <w:t>which might</w:t>
      </w:r>
      <w:r w:rsidRPr="00345B1F">
        <w:t xml:space="preserve"> </w:t>
      </w:r>
      <w:r>
        <w:t>improve</w:t>
      </w:r>
      <w:r w:rsidRPr="00345B1F">
        <w:t xml:space="preserve"> the conditions for providing diverse and well-</w:t>
      </w:r>
      <w:r>
        <w:t>grounded</w:t>
      </w:r>
      <w:r w:rsidRPr="00345B1F">
        <w:t xml:space="preserve"> feedback in these scenarios.</w:t>
      </w:r>
    </w:p>
    <w:p w14:paraId="325B658B" w14:textId="6F47F529" w:rsidR="008527B7" w:rsidRDefault="008527B7" w:rsidP="008527B7">
      <w:r w:rsidRPr="00B5068E">
        <w:t xml:space="preserve">In the </w:t>
      </w:r>
      <w:r>
        <w:t>online</w:t>
      </w:r>
      <w:r w:rsidRPr="00B5068E">
        <w:t xml:space="preserve"> environment, limitations became apparent when there was a need to use symbols spontaneously</w:t>
      </w:r>
      <w:r w:rsidR="00764024">
        <w:t>,</w:t>
      </w:r>
      <w:r w:rsidRPr="00B5068E">
        <w:t xml:space="preserve"> and alternative means of expression beyond verbal communication were sought. These obstacles may arise from the specific demands of online mathematics teaching </w:t>
      </w:r>
      <w:r w:rsidR="008644E1" w:rsidRPr="00E138D5">
        <w:rPr>
          <w:noProof/>
        </w:rPr>
        <w:t>(Radmehr &amp; Goodchild, 2022)</w:t>
      </w:r>
      <w:r w:rsidRPr="00E138D5">
        <w:t>.</w:t>
      </w:r>
      <w:r>
        <w:t xml:space="preserve"> </w:t>
      </w:r>
      <w:r w:rsidRPr="004B2628">
        <w:t xml:space="preserve">Participants attempted diverse expression forms during the feedback process, including silence </w:t>
      </w:r>
      <w:r>
        <w:t xml:space="preserve">and </w:t>
      </w:r>
      <w:r w:rsidRPr="004B2628">
        <w:t xml:space="preserve">visual aids like number lines, and expressed difficulties in interpreting body language. While these modes of expression align with the </w:t>
      </w:r>
      <w:r w:rsidRPr="00E138D5">
        <w:t xml:space="preserve">ideas of </w:t>
      </w:r>
      <w:r w:rsidR="008644E1" w:rsidRPr="00E138D5">
        <w:rPr>
          <w:noProof/>
        </w:rPr>
        <w:t>Björklund Boistrup (2022)</w:t>
      </w:r>
      <w:r w:rsidRPr="00E138D5">
        <w:t xml:space="preserve">, </w:t>
      </w:r>
      <w:r w:rsidR="008644E1" w:rsidRPr="00E138D5">
        <w:rPr>
          <w:noProof/>
        </w:rPr>
        <w:t>Rowe (2003)</w:t>
      </w:r>
      <w:r w:rsidRPr="00E138D5">
        <w:t xml:space="preserve">, and </w:t>
      </w:r>
      <w:r w:rsidR="008644E1" w:rsidRPr="00E138D5">
        <w:rPr>
          <w:noProof/>
        </w:rPr>
        <w:t>Van Leeuwen (2005)</w:t>
      </w:r>
      <w:r w:rsidRPr="00E138D5">
        <w:t xml:space="preserve"> regarding</w:t>
      </w:r>
      <w:r w:rsidRPr="00B30B6E">
        <w:t xml:space="preserve"> the feedback process, they are constrained within the virtual </w:t>
      </w:r>
      <w:r w:rsidRPr="00E138D5">
        <w:t>environment. However</w:t>
      </w:r>
      <w:r>
        <w:t>, t</w:t>
      </w:r>
      <w:r w:rsidRPr="00DB79AA">
        <w:t xml:space="preserve">hese challenges underscore the </w:t>
      </w:r>
      <w:r>
        <w:t>importance of</w:t>
      </w:r>
      <w:r w:rsidRPr="00DB79AA">
        <w:t xml:space="preserve"> </w:t>
      </w:r>
      <w:r>
        <w:t xml:space="preserve">preparing the exercises and </w:t>
      </w:r>
      <w:r w:rsidRPr="00386EB4">
        <w:t>explor</w:t>
      </w:r>
      <w:r>
        <w:t>ing</w:t>
      </w:r>
      <w:r w:rsidRPr="00386EB4">
        <w:t xml:space="preserve"> alternative digital resources, such as synchronous drawing tools</w:t>
      </w:r>
      <w:r>
        <w:t>,</w:t>
      </w:r>
      <w:r w:rsidRPr="00386EB4">
        <w:t xml:space="preserve"> to facilitate diverse forms of expression.</w:t>
      </w:r>
    </w:p>
    <w:p w14:paraId="775366AD" w14:textId="1E897D6A" w:rsidR="008527B7" w:rsidRDefault="008644E1" w:rsidP="008527B7">
      <w:r w:rsidRPr="00F02B40">
        <w:rPr>
          <w:noProof/>
        </w:rPr>
        <w:t>Lampert et al. (2013)</w:t>
      </w:r>
      <w:r w:rsidR="008527B7" w:rsidRPr="00F02B40">
        <w:t xml:space="preserve"> and </w:t>
      </w:r>
      <w:r>
        <w:rPr>
          <w:noProof/>
        </w:rPr>
        <w:t>Lajoie (2018)</w:t>
      </w:r>
      <w:r w:rsidR="008527B7" w:rsidRPr="00F02B40">
        <w:t xml:space="preserve"> emphasize the importance of </w:t>
      </w:r>
      <w:r w:rsidR="008527B7">
        <w:t>practising</w:t>
      </w:r>
      <w:r w:rsidR="008527B7" w:rsidRPr="00F02B40">
        <w:t xml:space="preserve"> challenging parts of teaching and </w:t>
      </w:r>
      <w:r w:rsidR="008527B7">
        <w:t>preparing</w:t>
      </w:r>
      <w:r w:rsidR="008527B7" w:rsidRPr="00F02B40">
        <w:t xml:space="preserve"> to act in the moment. These opportunities can be seen in online role-plays</w:t>
      </w:r>
      <w:r w:rsidR="008527B7">
        <w:t xml:space="preserve"> as the acting teacher has to</w:t>
      </w:r>
      <w:r w:rsidR="008527B7" w:rsidRPr="00BF59A6">
        <w:t xml:space="preserve"> </w:t>
      </w:r>
      <w:r w:rsidR="008527B7">
        <w:t xml:space="preserve">decide how to </w:t>
      </w:r>
      <w:r w:rsidR="008527B7" w:rsidRPr="00BF59A6">
        <w:t>re</w:t>
      </w:r>
      <w:r w:rsidR="008527B7">
        <w:t xml:space="preserve">spond based on </w:t>
      </w:r>
      <w:r w:rsidR="008527B7" w:rsidRPr="00BF59A6">
        <w:t xml:space="preserve">the information </w:t>
      </w:r>
      <w:r w:rsidR="008527B7">
        <w:t xml:space="preserve">he or she </w:t>
      </w:r>
      <w:r w:rsidR="008527B7" w:rsidRPr="00BF59A6">
        <w:t xml:space="preserve">just received </w:t>
      </w:r>
      <w:r w:rsidR="008527B7">
        <w:t xml:space="preserve">from </w:t>
      </w:r>
      <w:r w:rsidR="008527B7" w:rsidRPr="00BF59A6">
        <w:t xml:space="preserve">the acting </w:t>
      </w:r>
      <w:r w:rsidR="008527B7">
        <w:t>pupil</w:t>
      </w:r>
      <w:r w:rsidR="008527B7" w:rsidRPr="00BF59A6">
        <w:t xml:space="preserve"> </w:t>
      </w:r>
      <w:r w:rsidR="008527B7">
        <w:t>at that</w:t>
      </w:r>
      <w:r w:rsidR="008527B7" w:rsidRPr="00BF59A6">
        <w:t xml:space="preserve"> very moment.</w:t>
      </w:r>
      <w:r w:rsidR="008527B7" w:rsidRPr="00F02B40">
        <w:t xml:space="preserve"> </w:t>
      </w:r>
      <w:r w:rsidR="008527B7">
        <w:t>I</w:t>
      </w:r>
      <w:r w:rsidR="008527B7" w:rsidRPr="00F02B40">
        <w:t>n their reflections</w:t>
      </w:r>
      <w:r w:rsidR="008527B7">
        <w:t>, the participants also</w:t>
      </w:r>
      <w:r w:rsidR="008527B7" w:rsidRPr="00F02B40">
        <w:t xml:space="preserve"> placed great value on </w:t>
      </w:r>
      <w:r w:rsidR="008527B7">
        <w:t xml:space="preserve">being able to practice </w:t>
      </w:r>
      <w:r w:rsidR="008527B7" w:rsidRPr="00F02B40">
        <w:t>act</w:t>
      </w:r>
      <w:r w:rsidR="008527B7">
        <w:t>ing</w:t>
      </w:r>
      <w:r w:rsidR="008527B7" w:rsidRPr="00F02B40">
        <w:t xml:space="preserve"> as a teacher, responding to pupils, and testing different types of feedback. </w:t>
      </w:r>
      <w:r w:rsidR="008527B7" w:rsidRPr="004059B7">
        <w:t>The willingness to test and experiment</w:t>
      </w:r>
      <w:r w:rsidR="008527B7" w:rsidRPr="00F02B40">
        <w:t xml:space="preserve"> with feedback can be attributed to the controlled and</w:t>
      </w:r>
      <w:r w:rsidR="008527B7" w:rsidRPr="00E6523F">
        <w:t xml:space="preserve"> scaffolded environment that approximations provide </w:t>
      </w:r>
      <w:r>
        <w:rPr>
          <w:noProof/>
        </w:rPr>
        <w:t>(Grossman et al., 2009)</w:t>
      </w:r>
      <w:r w:rsidR="008527B7">
        <w:t xml:space="preserve">. </w:t>
      </w:r>
      <w:r w:rsidR="008527B7" w:rsidRPr="00CA2615">
        <w:t>The feeling of security was also particularly expressed regarding the online environment.</w:t>
      </w:r>
      <w:r w:rsidR="008527B7" w:rsidRPr="00CA2615" w:rsidDel="004628F6">
        <w:t xml:space="preserve"> </w:t>
      </w:r>
      <w:r w:rsidR="008527B7" w:rsidRPr="00F02B40">
        <w:t xml:space="preserve">In contrast to the participants’ prior experiences of approximations, which </w:t>
      </w:r>
      <w:r w:rsidR="008527B7">
        <w:t>concerning</w:t>
      </w:r>
      <w:r w:rsidR="008527B7" w:rsidRPr="00F02B40">
        <w:t xml:space="preserve"> </w:t>
      </w:r>
      <w:r w:rsidRPr="00F02B40">
        <w:rPr>
          <w:noProof/>
        </w:rPr>
        <w:t>Howell and Mikeska (2021)</w:t>
      </w:r>
      <w:r w:rsidR="008527B7" w:rsidRPr="00F02B40">
        <w:t xml:space="preserve"> </w:t>
      </w:r>
      <w:r w:rsidR="008527B7">
        <w:t>can be considered l</w:t>
      </w:r>
      <w:r w:rsidR="008527B7" w:rsidRPr="008013D0">
        <w:t>ess authentic for in-the-moment feedback, the role-plays offer a chance for enacting feedback practices in addition to investigating</w:t>
      </w:r>
      <w:r w:rsidR="0004565D">
        <w:t xml:space="preserve"> feedback practices</w:t>
      </w:r>
      <w:r w:rsidR="008527B7" w:rsidRPr="008013D0">
        <w:t>.</w:t>
      </w:r>
    </w:p>
    <w:p w14:paraId="5596EB3D" w14:textId="77777777" w:rsidR="008527B7" w:rsidRDefault="008527B7" w:rsidP="008527B7">
      <w:r w:rsidRPr="00CD1B07">
        <w:lastRenderedPageBreak/>
        <w:t xml:space="preserve">It is essential to acknowledge the potential limitations in objectivity inherent in the presented results, given that the researcher both collected and analysed the data. Additionally, a </w:t>
      </w:r>
      <w:r>
        <w:t>discussion</w:t>
      </w:r>
      <w:r w:rsidRPr="00CD1B07">
        <w:t xml:space="preserve"> of the participant count and </w:t>
      </w:r>
      <w:r>
        <w:t xml:space="preserve">amount of </w:t>
      </w:r>
      <w:r w:rsidRPr="00CD1B07">
        <w:t>data is warranted</w:t>
      </w:r>
      <w:r>
        <w:t>.</w:t>
      </w:r>
      <w:r w:rsidRPr="00CD1B07">
        <w:t xml:space="preserve"> </w:t>
      </w:r>
      <w:r>
        <w:t>F</w:t>
      </w:r>
      <w:r w:rsidRPr="00CD1B07">
        <w:t>uture studies may provide valuable insights for more robust conclusions.</w:t>
      </w:r>
    </w:p>
    <w:p w14:paraId="19CB6EAF" w14:textId="2E34B69F" w:rsidR="008527B7" w:rsidRDefault="008527B7" w:rsidP="008527B7">
      <w:r w:rsidRPr="00B06441">
        <w:t xml:space="preserve">This paper </w:t>
      </w:r>
      <w:r>
        <w:t>shows</w:t>
      </w:r>
      <w:r w:rsidRPr="00B06441">
        <w:t xml:space="preserve"> that </w:t>
      </w:r>
      <w:r>
        <w:t xml:space="preserve">online </w:t>
      </w:r>
      <w:r w:rsidRPr="00B06441">
        <w:t>role</w:t>
      </w:r>
      <w:r>
        <w:t>-</w:t>
      </w:r>
      <w:r w:rsidRPr="00B06441">
        <w:t>play as an approximation of mathematics teaching offer</w:t>
      </w:r>
      <w:r>
        <w:t>s</w:t>
      </w:r>
      <w:r w:rsidRPr="00B06441">
        <w:t xml:space="preserve"> MTE</w:t>
      </w:r>
      <w:r>
        <w:t xml:space="preserve"> opportunities for pre-service mathematics teachers to practice using different types of formative feedback and to prepare for responding to pupils in the moment.</w:t>
      </w:r>
      <w:r w:rsidRPr="003E6F16">
        <w:t xml:space="preserve"> It also underscores the importance of considering specific aspects </w:t>
      </w:r>
      <w:r>
        <w:t xml:space="preserve">like a broader context description to the role-plays and </w:t>
      </w:r>
      <w:r w:rsidRPr="00BC6849">
        <w:t>provid</w:t>
      </w:r>
      <w:r>
        <w:t>ing</w:t>
      </w:r>
      <w:r w:rsidRPr="00BC6849">
        <w:t xml:space="preserve"> the </w:t>
      </w:r>
      <w:r>
        <w:t xml:space="preserve">online </w:t>
      </w:r>
      <w:r w:rsidRPr="00BC6849">
        <w:t>environment with opportunities to use several forms of expression</w:t>
      </w:r>
      <w:r>
        <w:t xml:space="preserve"> </w:t>
      </w:r>
      <w:r w:rsidRPr="003E6F16">
        <w:t>to optimise the effectiveness of online role-playing. The insights gained from this initial study will inform the design and considerations for a follow-up study.</w:t>
      </w:r>
      <w:r w:rsidR="003026ED">
        <w:t xml:space="preserve"> </w:t>
      </w:r>
      <w:r w:rsidR="00D32981" w:rsidRPr="00D32981">
        <w:t xml:space="preserve">Data collection occurred outside of MTE, </w:t>
      </w:r>
      <w:r w:rsidR="00F7794E">
        <w:t xml:space="preserve">highlighting contextual limitations but also </w:t>
      </w:r>
      <w:r w:rsidR="00D32981" w:rsidRPr="00D32981">
        <w:t xml:space="preserve">prompting considerations </w:t>
      </w:r>
      <w:r w:rsidR="007B1BD7">
        <w:t xml:space="preserve">for further </w:t>
      </w:r>
      <w:r w:rsidR="007C5D47">
        <w:t>studies</w:t>
      </w:r>
      <w:r w:rsidR="007B1BD7">
        <w:t xml:space="preserve">. </w:t>
      </w:r>
      <w:r w:rsidR="007B1BD7" w:rsidRPr="007B1BD7">
        <w:t>Building upon the results of this paper and the follow-up study</w:t>
      </w:r>
      <w:r w:rsidR="0037435D">
        <w:t>,</w:t>
      </w:r>
      <w:r w:rsidR="007B1BD7" w:rsidRPr="007B1BD7">
        <w:t xml:space="preserve"> incorporating role-playing in online MTE</w:t>
      </w:r>
      <w:r w:rsidR="0037435D">
        <w:t xml:space="preserve"> could serve as a topic for </w:t>
      </w:r>
      <w:r w:rsidR="00240234">
        <w:t>future research</w:t>
      </w:r>
      <w:r w:rsidR="007B1BD7" w:rsidRPr="007B1BD7">
        <w:t>.</w:t>
      </w:r>
    </w:p>
    <w:p w14:paraId="2BDCB6E8" w14:textId="35CC6DD2" w:rsidR="008527B7" w:rsidRDefault="001A04D2" w:rsidP="001A04D2">
      <w:pPr>
        <w:pStyle w:val="Rubrik2"/>
      </w:pPr>
      <w:r w:rsidRPr="00A04DE8">
        <w:t>References</w:t>
      </w:r>
    </w:p>
    <w:p w14:paraId="61B21BA1" w14:textId="5B090870" w:rsidR="003D0C40" w:rsidRPr="003D0C40" w:rsidRDefault="003D0C40" w:rsidP="003D0C40">
      <w:pPr>
        <w:pStyle w:val="EndNoteBibliography"/>
        <w:ind w:left="420" w:hanging="420"/>
      </w:pPr>
      <w:r w:rsidRPr="003D0C40">
        <w:t xml:space="preserve">Anthony, G., &amp; Walshaw, M. (2009). Characteristics of effective teaching of mathematics: A view from the West. </w:t>
      </w:r>
      <w:r w:rsidRPr="003D0C40">
        <w:rPr>
          <w:i/>
        </w:rPr>
        <w:t>Journal of Mathematics Education</w:t>
      </w:r>
      <w:r w:rsidRPr="003D0C40">
        <w:t>,</w:t>
      </w:r>
      <w:r w:rsidRPr="003D0C40">
        <w:rPr>
          <w:i/>
        </w:rPr>
        <w:t xml:space="preserve"> 2</w:t>
      </w:r>
      <w:r w:rsidRPr="003D0C40">
        <w:t xml:space="preserve">(2), 147–164. </w:t>
      </w:r>
    </w:p>
    <w:p w14:paraId="1A18F1C9" w14:textId="77777777" w:rsidR="003D0C40" w:rsidRPr="003D0C40" w:rsidRDefault="003D0C40" w:rsidP="003D0C40">
      <w:pPr>
        <w:pStyle w:val="EndNoteBibliography"/>
        <w:ind w:left="420" w:hanging="420"/>
      </w:pPr>
      <w:r w:rsidRPr="003D0C40">
        <w:t xml:space="preserve">Ball, D. L., &amp; Cohen, D. K. (1999). Developing practice, developing practitioners: Toward a practice-based theory of professional education. </w:t>
      </w:r>
      <w:r w:rsidRPr="003D0C40">
        <w:rPr>
          <w:i/>
        </w:rPr>
        <w:t>Teaching as the learning profession: Handbook of policy and practice</w:t>
      </w:r>
      <w:r w:rsidRPr="003D0C40">
        <w:t>,</w:t>
      </w:r>
      <w:r w:rsidRPr="003D0C40">
        <w:rPr>
          <w:i/>
        </w:rPr>
        <w:t xml:space="preserve"> 1</w:t>
      </w:r>
      <w:r w:rsidRPr="003D0C40">
        <w:t xml:space="preserve">, 3–22. </w:t>
      </w:r>
    </w:p>
    <w:p w14:paraId="0BB298EF" w14:textId="77777777" w:rsidR="003D0C40" w:rsidRPr="003D0C40" w:rsidRDefault="003D0C40" w:rsidP="003D0C40">
      <w:pPr>
        <w:pStyle w:val="EndNoteBibliography"/>
        <w:ind w:left="420" w:hanging="420"/>
      </w:pPr>
      <w:r w:rsidRPr="007E6226">
        <w:rPr>
          <w:lang w:val="sv-SE"/>
        </w:rPr>
        <w:t xml:space="preserve">Björklund Boistrup, L. (2022). </w:t>
      </w:r>
      <w:r w:rsidRPr="007E6226">
        <w:rPr>
          <w:i/>
          <w:lang w:val="sv-SE"/>
        </w:rPr>
        <w:t>Bedömning i matematik pågår: återkoppling för elevers engagemang och lärande</w:t>
      </w:r>
      <w:r w:rsidRPr="007E6226">
        <w:rPr>
          <w:lang w:val="sv-SE"/>
        </w:rPr>
        <w:t xml:space="preserve"> (2 ed.). </w:t>
      </w:r>
      <w:r w:rsidRPr="003D0C40">
        <w:t xml:space="preserve">Liber. </w:t>
      </w:r>
    </w:p>
    <w:p w14:paraId="0F479B74" w14:textId="77777777" w:rsidR="003D0C40" w:rsidRPr="003D0C40" w:rsidRDefault="003D0C40" w:rsidP="003D0C40">
      <w:pPr>
        <w:pStyle w:val="EndNoteBibliography"/>
        <w:ind w:left="420" w:hanging="420"/>
      </w:pPr>
      <w:r w:rsidRPr="003D0C40">
        <w:t xml:space="preserve">Braun, V., &amp; Clarke, V. (2022). </w:t>
      </w:r>
      <w:r w:rsidRPr="003D0C40">
        <w:rPr>
          <w:i/>
        </w:rPr>
        <w:t>Thematic analysis: A practical guide</w:t>
      </w:r>
      <w:r w:rsidRPr="003D0C40">
        <w:t xml:space="preserve">. Sage Publications Ltd. </w:t>
      </w:r>
    </w:p>
    <w:p w14:paraId="6BC67784" w14:textId="109F6D41" w:rsidR="003D0C40" w:rsidRPr="003D0C40" w:rsidRDefault="003D0C40" w:rsidP="003D0C40">
      <w:pPr>
        <w:pStyle w:val="EndNoteBibliography"/>
        <w:ind w:left="420" w:hanging="420"/>
      </w:pPr>
      <w:r w:rsidRPr="003D0C40">
        <w:t xml:space="preserve">Di Lonardo Burr, S. M., Douglas, H., Vorobeva, M., &amp; Muldner, K. (2020). Refuting Misconceptions: Computer Tutors for Fraction Arithmetic. </w:t>
      </w:r>
      <w:r w:rsidRPr="003D0C40">
        <w:rPr>
          <w:i/>
        </w:rPr>
        <w:t>Journal of Numerical Cognition</w:t>
      </w:r>
      <w:r w:rsidRPr="003D0C40">
        <w:t>,</w:t>
      </w:r>
      <w:r w:rsidRPr="003D0C40">
        <w:rPr>
          <w:i/>
        </w:rPr>
        <w:t xml:space="preserve"> 6</w:t>
      </w:r>
      <w:r w:rsidRPr="003D0C40">
        <w:t xml:space="preserve">(3), 355–377. </w:t>
      </w:r>
      <w:r w:rsidRPr="008644E1">
        <w:t>https://doi.org/10.5964/jnc.v6i3.310</w:t>
      </w:r>
      <w:r w:rsidRPr="003D0C40">
        <w:t xml:space="preserve"> </w:t>
      </w:r>
    </w:p>
    <w:p w14:paraId="026C24C4" w14:textId="209151DC" w:rsidR="003D0C40" w:rsidRPr="003D0C40" w:rsidRDefault="003D0C40" w:rsidP="003D0C40">
      <w:pPr>
        <w:pStyle w:val="EndNoteBibliography"/>
        <w:ind w:left="420" w:hanging="420"/>
      </w:pPr>
      <w:r w:rsidRPr="003D0C40">
        <w:t xml:space="preserve">Dyment, J. E., &amp; Downing, J. J. (2020). Online initial teacher education: a systematic review of the literature. </w:t>
      </w:r>
      <w:r w:rsidRPr="003D0C40">
        <w:rPr>
          <w:i/>
        </w:rPr>
        <w:t>Asia-Pacific Journal of Teacher Education</w:t>
      </w:r>
      <w:r w:rsidRPr="003D0C40">
        <w:t>,</w:t>
      </w:r>
      <w:r w:rsidRPr="003D0C40">
        <w:rPr>
          <w:i/>
        </w:rPr>
        <w:t xml:space="preserve"> 48</w:t>
      </w:r>
      <w:r w:rsidRPr="003D0C40">
        <w:t xml:space="preserve">(3), 316–333. </w:t>
      </w:r>
      <w:r w:rsidRPr="008644E1">
        <w:t>https://doi.org/10.1080/1359866X.2019.1631254</w:t>
      </w:r>
      <w:r w:rsidRPr="003D0C40">
        <w:t xml:space="preserve"> </w:t>
      </w:r>
    </w:p>
    <w:p w14:paraId="182B4796" w14:textId="00B0D150" w:rsidR="003D0C40" w:rsidRPr="003D0C40" w:rsidRDefault="003D0C40" w:rsidP="003D0C40">
      <w:pPr>
        <w:pStyle w:val="EndNoteBibliography"/>
        <w:ind w:left="420" w:hanging="420"/>
      </w:pPr>
      <w:r w:rsidRPr="003D0C40">
        <w:t xml:space="preserve">Grossman, P., Compton, C., Igra, D., Ronfeldt, M., Shahan, E., &amp; Williamson, P. W. (2009). Teaching Practice: A Cross-Professional Perspective. </w:t>
      </w:r>
      <w:r w:rsidRPr="003D0C40">
        <w:rPr>
          <w:i/>
        </w:rPr>
        <w:t>Teachers College Record</w:t>
      </w:r>
      <w:r w:rsidRPr="003D0C40">
        <w:t>,</w:t>
      </w:r>
      <w:r w:rsidRPr="003D0C40">
        <w:rPr>
          <w:i/>
        </w:rPr>
        <w:t xml:space="preserve"> 111</w:t>
      </w:r>
      <w:r w:rsidRPr="003D0C40">
        <w:t xml:space="preserve">(9), 2055–2100. </w:t>
      </w:r>
      <w:r w:rsidRPr="008644E1">
        <w:t>https://doi.org/10.1177/016146810911100905</w:t>
      </w:r>
      <w:r w:rsidRPr="003D0C40">
        <w:t xml:space="preserve"> </w:t>
      </w:r>
    </w:p>
    <w:p w14:paraId="1749458B" w14:textId="74FEEFBE" w:rsidR="003D0C40" w:rsidRPr="003D0C40" w:rsidRDefault="003D0C40" w:rsidP="003D0C40">
      <w:pPr>
        <w:pStyle w:val="EndNoteBibliography"/>
        <w:ind w:left="420" w:hanging="420"/>
      </w:pPr>
      <w:r w:rsidRPr="003D0C40">
        <w:t xml:space="preserve">Hattie, J., &amp; Timperley, H. (2007). The power of feedback. </w:t>
      </w:r>
      <w:r w:rsidRPr="003D0C40">
        <w:rPr>
          <w:i/>
        </w:rPr>
        <w:t>Review of educational research</w:t>
      </w:r>
      <w:r w:rsidRPr="003D0C40">
        <w:t>,</w:t>
      </w:r>
      <w:r w:rsidRPr="003D0C40">
        <w:rPr>
          <w:i/>
        </w:rPr>
        <w:t xml:space="preserve"> 77</w:t>
      </w:r>
      <w:r w:rsidRPr="003D0C40">
        <w:t xml:space="preserve">(1), 81–112. </w:t>
      </w:r>
      <w:r w:rsidRPr="008644E1">
        <w:t>https://www.jstor.org/stable/4624888</w:t>
      </w:r>
      <w:r w:rsidRPr="003D0C40">
        <w:t xml:space="preserve"> </w:t>
      </w:r>
    </w:p>
    <w:p w14:paraId="2DDCE3E8" w14:textId="031CF065" w:rsidR="003D0C40" w:rsidRPr="003D0C40" w:rsidRDefault="003D0C40" w:rsidP="003D0C40">
      <w:pPr>
        <w:pStyle w:val="EndNoteBibliography"/>
        <w:ind w:left="420" w:hanging="420"/>
      </w:pPr>
      <w:r w:rsidRPr="003D0C40">
        <w:t xml:space="preserve">Hayes, S., Capel, S., Katene, W., &amp; Cook, P. (2008). An examination of knowledge prioritisation in secondary physical education teacher education courses. </w:t>
      </w:r>
      <w:r w:rsidRPr="003D0C40">
        <w:rPr>
          <w:i/>
        </w:rPr>
        <w:t>Teaching and teacher education</w:t>
      </w:r>
      <w:r w:rsidRPr="003D0C40">
        <w:t>,</w:t>
      </w:r>
      <w:r w:rsidRPr="003D0C40">
        <w:rPr>
          <w:i/>
        </w:rPr>
        <w:t xml:space="preserve"> 24</w:t>
      </w:r>
      <w:r w:rsidRPr="003D0C40">
        <w:t xml:space="preserve">(2), 330–342. </w:t>
      </w:r>
      <w:r w:rsidRPr="008644E1">
        <w:t>https://doi.org/10.1016/j.tate.2006.10.012</w:t>
      </w:r>
      <w:r w:rsidRPr="003D0C40">
        <w:t xml:space="preserve"> </w:t>
      </w:r>
    </w:p>
    <w:p w14:paraId="50770FB2" w14:textId="77777777" w:rsidR="003D0C40" w:rsidRPr="007E6226" w:rsidRDefault="003D0C40" w:rsidP="003D0C40">
      <w:pPr>
        <w:pStyle w:val="EndNoteBibliography"/>
        <w:ind w:left="420" w:hanging="420"/>
        <w:rPr>
          <w:lang w:val="sv-SE"/>
        </w:rPr>
      </w:pPr>
      <w:r w:rsidRPr="003D0C40">
        <w:t xml:space="preserve">Hirsh, Å., &amp; Lindberg, V. (2015). </w:t>
      </w:r>
      <w:r w:rsidRPr="007E6226">
        <w:rPr>
          <w:i/>
          <w:lang w:val="sv-SE"/>
        </w:rPr>
        <w:t>Formativ bedömning på 2000-talet – en översikt av svensk och internationell forskning</w:t>
      </w:r>
      <w:r w:rsidRPr="007E6226">
        <w:rPr>
          <w:lang w:val="sv-SE"/>
        </w:rPr>
        <w:t xml:space="preserve"> (ISBN: 978-91-7307-269-4). </w:t>
      </w:r>
    </w:p>
    <w:p w14:paraId="22438F8B" w14:textId="2AEA740F" w:rsidR="003D0C40" w:rsidRPr="003D0C40" w:rsidRDefault="003D0C40" w:rsidP="003D0C40">
      <w:pPr>
        <w:pStyle w:val="EndNoteBibliography"/>
        <w:ind w:left="420" w:hanging="420"/>
      </w:pPr>
      <w:r w:rsidRPr="007E6226">
        <w:rPr>
          <w:lang w:val="sv-SE"/>
        </w:rPr>
        <w:t xml:space="preserve">Howell, H., &amp; Mikeska, J. N. (2021). </w:t>
      </w:r>
      <w:r w:rsidRPr="003D0C40">
        <w:t xml:space="preserve">Approximations of practice as a framework for understanding authenticity in simulations of teaching. </w:t>
      </w:r>
      <w:r w:rsidRPr="003D0C40">
        <w:rPr>
          <w:i/>
        </w:rPr>
        <w:t>Journal of Research on Technology in Education</w:t>
      </w:r>
      <w:r w:rsidRPr="003D0C40">
        <w:t>,</w:t>
      </w:r>
      <w:r w:rsidRPr="003D0C40">
        <w:rPr>
          <w:i/>
        </w:rPr>
        <w:t xml:space="preserve"> 53</w:t>
      </w:r>
      <w:r w:rsidRPr="003D0C40">
        <w:t xml:space="preserve">(1), 8–20. </w:t>
      </w:r>
      <w:r w:rsidRPr="008644E1">
        <w:t>https://doi.org/10.1080/15391523.2020.1809033</w:t>
      </w:r>
      <w:r w:rsidRPr="003D0C40">
        <w:t xml:space="preserve"> </w:t>
      </w:r>
    </w:p>
    <w:p w14:paraId="6D864065" w14:textId="0C0638F6" w:rsidR="003D0C40" w:rsidRPr="003D0C40" w:rsidRDefault="003D0C40" w:rsidP="003D0C40">
      <w:pPr>
        <w:pStyle w:val="EndNoteBibliography"/>
        <w:ind w:left="420" w:hanging="420"/>
      </w:pPr>
      <w:r w:rsidRPr="003D0C40">
        <w:lastRenderedPageBreak/>
        <w:t xml:space="preserve">Hufferd-Ackles, K., Fuson, K. C., &amp; Sherin, M. G. (2004). Describing Levels and Components of a Math-Talk Learning Community. </w:t>
      </w:r>
      <w:r w:rsidRPr="003D0C40">
        <w:rPr>
          <w:i/>
        </w:rPr>
        <w:t>Journal for Research in Mathematics education</w:t>
      </w:r>
      <w:r w:rsidRPr="003D0C40">
        <w:t>,</w:t>
      </w:r>
      <w:r w:rsidRPr="003D0C40">
        <w:rPr>
          <w:i/>
        </w:rPr>
        <w:t xml:space="preserve"> 35</w:t>
      </w:r>
      <w:r w:rsidRPr="003D0C40">
        <w:t xml:space="preserve">(2), 81–116. </w:t>
      </w:r>
      <w:r w:rsidRPr="008644E1">
        <w:t>https://doi.org/10.2307/30034933</w:t>
      </w:r>
      <w:r w:rsidRPr="003D0C40">
        <w:t xml:space="preserve"> </w:t>
      </w:r>
    </w:p>
    <w:p w14:paraId="7AEC4673" w14:textId="6ADB9370" w:rsidR="003D0C40" w:rsidRPr="003D0C40" w:rsidRDefault="003D0C40" w:rsidP="003D0C40">
      <w:pPr>
        <w:pStyle w:val="EndNoteBibliography"/>
        <w:ind w:left="420" w:hanging="420"/>
      </w:pPr>
      <w:r w:rsidRPr="003D0C40">
        <w:t xml:space="preserve">Kazemi, E., Ghousseini, H., Cunard, A., &amp; Turrou, A. C. (2015). Getting Inside Rehearsals: Insights From Teacher Educators to Support Work on Complex Practice. </w:t>
      </w:r>
      <w:r w:rsidRPr="003D0C40">
        <w:rPr>
          <w:i/>
        </w:rPr>
        <w:t>Journal of Teacher Education</w:t>
      </w:r>
      <w:r w:rsidRPr="003D0C40">
        <w:t>,</w:t>
      </w:r>
      <w:r w:rsidRPr="003D0C40">
        <w:rPr>
          <w:i/>
        </w:rPr>
        <w:t xml:space="preserve"> 67</w:t>
      </w:r>
      <w:r w:rsidRPr="003D0C40">
        <w:t xml:space="preserve">(1), 18–31. </w:t>
      </w:r>
      <w:r w:rsidRPr="008644E1">
        <w:t>https://doi.org/10.1177/0022487115615191</w:t>
      </w:r>
      <w:r w:rsidRPr="003D0C40">
        <w:t xml:space="preserve"> </w:t>
      </w:r>
    </w:p>
    <w:p w14:paraId="3A24EEF4" w14:textId="00700DAB" w:rsidR="003D0C40" w:rsidRPr="003D0C40" w:rsidRDefault="003D0C40" w:rsidP="003D0C40">
      <w:pPr>
        <w:pStyle w:val="EndNoteBibliography"/>
        <w:ind w:left="420" w:hanging="420"/>
      </w:pPr>
      <w:r w:rsidRPr="003D0C40">
        <w:t xml:space="preserve">Lajoie, C. (2018). Learning to Act in-the-Moment: Prospective Elementary Teachers’ Role-Playing on Numbers. In G. J. Stylianides &amp; K. Hino (Eds.), </w:t>
      </w:r>
      <w:r w:rsidRPr="003D0C40">
        <w:rPr>
          <w:i/>
        </w:rPr>
        <w:t>Research Advances in the Mathematical Education of Pre-service Elementary Teachers: An International Perspective</w:t>
      </w:r>
      <w:r w:rsidRPr="003D0C40">
        <w:t xml:space="preserve"> (pp. 231–243). Springer International Publishing. </w:t>
      </w:r>
      <w:r w:rsidRPr="008644E1">
        <w:t>https://doi.org/10.1007/978-3-319-68342-3_16</w:t>
      </w:r>
      <w:r w:rsidRPr="003D0C40">
        <w:t xml:space="preserve"> </w:t>
      </w:r>
    </w:p>
    <w:p w14:paraId="6A53BBF3" w14:textId="0C4C68B3" w:rsidR="003D0C40" w:rsidRPr="003D0C40" w:rsidRDefault="003D0C40" w:rsidP="003D0C40">
      <w:pPr>
        <w:pStyle w:val="EndNoteBibliography"/>
        <w:ind w:left="420" w:hanging="420"/>
      </w:pPr>
      <w:r w:rsidRPr="003D0C40">
        <w:t xml:space="preserve">Lampert, M., Franke, M. L., Kazemi, E., Ghousseini, H., Turrou, A. C., Beasley, H., Cunard, A., &amp; Crowe, K. (2013). Keeping It Complex: Using Rehearsals to Support Novice Teacher Learning of Ambitious Teaching. </w:t>
      </w:r>
      <w:r w:rsidRPr="003D0C40">
        <w:rPr>
          <w:i/>
        </w:rPr>
        <w:t>Journal of Teacher Education</w:t>
      </w:r>
      <w:r w:rsidRPr="003D0C40">
        <w:t>,</w:t>
      </w:r>
      <w:r w:rsidRPr="003D0C40">
        <w:rPr>
          <w:i/>
        </w:rPr>
        <w:t xml:space="preserve"> 64</w:t>
      </w:r>
      <w:r w:rsidRPr="003D0C40">
        <w:t xml:space="preserve">(3), 226–243. </w:t>
      </w:r>
      <w:r w:rsidRPr="008644E1">
        <w:t>https://doi.org/10.1177/0022487112473837</w:t>
      </w:r>
      <w:r w:rsidRPr="003D0C40">
        <w:t xml:space="preserve"> </w:t>
      </w:r>
    </w:p>
    <w:p w14:paraId="42DF75F7" w14:textId="079FB0F7" w:rsidR="003D0C40" w:rsidRPr="003D0C40" w:rsidRDefault="003D0C40" w:rsidP="003D0C40">
      <w:pPr>
        <w:pStyle w:val="EndNoteBibliography"/>
        <w:ind w:left="420" w:hanging="420"/>
      </w:pPr>
      <w:r w:rsidRPr="003D0C40">
        <w:t xml:space="preserve">Matsumoto-Royo, K., &amp; Ramírez-Montoya, M. S. (2021). Core practices in practice-based teacher education: A systematic literature review of its teaching and assessment process. </w:t>
      </w:r>
      <w:r w:rsidRPr="003D0C40">
        <w:rPr>
          <w:i/>
        </w:rPr>
        <w:t>Studies in Educational Evaluation</w:t>
      </w:r>
      <w:r w:rsidRPr="003D0C40">
        <w:t>,</w:t>
      </w:r>
      <w:r w:rsidRPr="003D0C40">
        <w:rPr>
          <w:i/>
        </w:rPr>
        <w:t xml:space="preserve"> 70</w:t>
      </w:r>
      <w:r w:rsidRPr="003D0C40">
        <w:t xml:space="preserve">. </w:t>
      </w:r>
      <w:r w:rsidRPr="008644E1">
        <w:t>https://doi.org/10.1016/j.stueduc.2021.101047</w:t>
      </w:r>
      <w:r w:rsidRPr="003D0C40">
        <w:t xml:space="preserve"> </w:t>
      </w:r>
    </w:p>
    <w:p w14:paraId="0A99D521" w14:textId="1E4B9A62" w:rsidR="003D0C40" w:rsidRPr="003D0C40" w:rsidRDefault="003D0C40" w:rsidP="003D0C40">
      <w:pPr>
        <w:pStyle w:val="EndNoteBibliography"/>
        <w:ind w:left="420" w:hanging="420"/>
      </w:pPr>
      <w:r w:rsidRPr="003D0C40">
        <w:t xml:space="preserve">McDonald, M., Kazemi, E., &amp; Kavanagh, S. S. (2013). Core Practices and Pedagogies of Teacher Education: A Call for a Common Language and Collective Activity. </w:t>
      </w:r>
      <w:r w:rsidRPr="003D0C40">
        <w:rPr>
          <w:i/>
        </w:rPr>
        <w:t>Journal of Teacher Education</w:t>
      </w:r>
      <w:r w:rsidRPr="003D0C40">
        <w:t>,</w:t>
      </w:r>
      <w:r w:rsidRPr="003D0C40">
        <w:rPr>
          <w:i/>
        </w:rPr>
        <w:t xml:space="preserve"> 64</w:t>
      </w:r>
      <w:r w:rsidRPr="003D0C40">
        <w:t xml:space="preserve">(5), 378–386. </w:t>
      </w:r>
      <w:r w:rsidRPr="008644E1">
        <w:t>https://doi.org/10.1177/0022487113493807</w:t>
      </w:r>
      <w:r w:rsidRPr="003D0C40">
        <w:t xml:space="preserve"> </w:t>
      </w:r>
    </w:p>
    <w:p w14:paraId="4570024E" w14:textId="6FEEFB77" w:rsidR="003D0C40" w:rsidRPr="003D0C40" w:rsidRDefault="003D0C40" w:rsidP="003D0C40">
      <w:pPr>
        <w:pStyle w:val="EndNoteBibliography"/>
        <w:ind w:left="420" w:hanging="420"/>
      </w:pPr>
      <w:r w:rsidRPr="003D0C40">
        <w:t xml:space="preserve">Radmehr, F., &amp; Goodchild, S. (2022). Switching to Fully Online Teaching and Learning of Mathematics: The Case of Norwegian Mathematics Lecturers and University Students During the Covid-19 Pandemic. </w:t>
      </w:r>
      <w:r w:rsidRPr="003D0C40">
        <w:rPr>
          <w:i/>
        </w:rPr>
        <w:t>International Journal of Research in Undergraduate Mathematics Education</w:t>
      </w:r>
      <w:r w:rsidRPr="003D0C40">
        <w:t>,</w:t>
      </w:r>
      <w:r w:rsidRPr="003D0C40">
        <w:rPr>
          <w:i/>
        </w:rPr>
        <w:t xml:space="preserve"> 8</w:t>
      </w:r>
      <w:r w:rsidRPr="003D0C40">
        <w:t xml:space="preserve">(3), 581–611. </w:t>
      </w:r>
      <w:r w:rsidRPr="008644E1">
        <w:t>https://doi.org/10.1007/s40753-021-00162-9</w:t>
      </w:r>
      <w:r w:rsidRPr="003D0C40">
        <w:t xml:space="preserve"> </w:t>
      </w:r>
    </w:p>
    <w:p w14:paraId="259C9B3D" w14:textId="77777777" w:rsidR="003D0C40" w:rsidRPr="003D0C40" w:rsidRDefault="003D0C40" w:rsidP="003D0C40">
      <w:pPr>
        <w:pStyle w:val="EndNoteBibliography"/>
        <w:ind w:left="420" w:hanging="420"/>
      </w:pPr>
      <w:r w:rsidRPr="003D0C40">
        <w:t xml:space="preserve">Rowe, M. B. (2003). Wait-Time and Rewards as Instructional Variables, Their Influence on Language, Logic, and Fate Control: Part One-wait-time. </w:t>
      </w:r>
      <w:r w:rsidRPr="003D0C40">
        <w:rPr>
          <w:i/>
        </w:rPr>
        <w:t>Journal of research in science teaching</w:t>
      </w:r>
      <w:r w:rsidRPr="003D0C40">
        <w:t>,</w:t>
      </w:r>
      <w:r w:rsidRPr="003D0C40">
        <w:rPr>
          <w:i/>
        </w:rPr>
        <w:t xml:space="preserve"> 40</w:t>
      </w:r>
      <w:r w:rsidRPr="003D0C40">
        <w:t xml:space="preserve">(2), 19–32. </w:t>
      </w:r>
    </w:p>
    <w:p w14:paraId="1DC71A69" w14:textId="6D54224E" w:rsidR="003D0C40" w:rsidRPr="003D0C40" w:rsidRDefault="003D0C40" w:rsidP="003D0C40">
      <w:pPr>
        <w:pStyle w:val="EndNoteBibliography"/>
        <w:ind w:left="420" w:hanging="420"/>
      </w:pPr>
      <w:r w:rsidRPr="003D0C40">
        <w:t xml:space="preserve">Ruiz-Primo, M., &amp; Li, M. (2013). Examining Formative Feedback in the Classroom Context. New Research Perspectives. In J. H. McMillan (Ed.), </w:t>
      </w:r>
      <w:r w:rsidRPr="003D0C40">
        <w:rPr>
          <w:i/>
        </w:rPr>
        <w:t>SAGE Handbook of Research on Classroom Assessment</w:t>
      </w:r>
      <w:r w:rsidRPr="003D0C40">
        <w:t xml:space="preserve"> (pp. 215–232). SAGE Publications, Inc. </w:t>
      </w:r>
      <w:r w:rsidRPr="008644E1">
        <w:t>https://doi.org/10.4135/9781452218649</w:t>
      </w:r>
      <w:r w:rsidRPr="003D0C40">
        <w:t xml:space="preserve"> </w:t>
      </w:r>
    </w:p>
    <w:p w14:paraId="2917938D" w14:textId="77777777" w:rsidR="003D0C40" w:rsidRPr="003D0C40" w:rsidRDefault="003D0C40" w:rsidP="003D0C40">
      <w:pPr>
        <w:pStyle w:val="EndNoteBibliography"/>
        <w:ind w:left="420" w:hanging="420"/>
      </w:pPr>
      <w:r w:rsidRPr="003D0C40">
        <w:t xml:space="preserve">Ryve, A., Nilsson, P., Palm, T., Van Steenbrugge, H., Andersson, C., Bergwall, A., Boström, E., Larsson, M., &amp; Vingsle, L. (2015). </w:t>
      </w:r>
      <w:r w:rsidRPr="007E6226">
        <w:rPr>
          <w:i/>
          <w:lang w:val="sv-SE"/>
        </w:rPr>
        <w:t>Kartläggning av forskning om formativ bedömning, klassrumsundervisning och läromedel i matematik: Delrapport från skolforsk-projektet</w:t>
      </w:r>
      <w:r w:rsidRPr="007E6226">
        <w:rPr>
          <w:lang w:val="sv-SE"/>
        </w:rPr>
        <w:t xml:space="preserve"> (ISBN: 978-91-7307-274-8). </w:t>
      </w:r>
      <w:r w:rsidRPr="003D0C40">
        <w:t xml:space="preserve">Vetenskapsrådet. </w:t>
      </w:r>
    </w:p>
    <w:p w14:paraId="109837AF" w14:textId="1EAAAFB0" w:rsidR="003D0C40" w:rsidRPr="007E6226" w:rsidRDefault="003D0C40" w:rsidP="003D0C40">
      <w:pPr>
        <w:pStyle w:val="EndNoteBibliography"/>
        <w:ind w:left="420" w:hanging="420"/>
        <w:rPr>
          <w:lang w:val="sv-SE"/>
        </w:rPr>
      </w:pPr>
      <w:r w:rsidRPr="003D0C40">
        <w:t xml:space="preserve">Shaughnessy, M., &amp; Boerst, T. (2018). Designing Simulations to Learn About Pre-service Teachers’ Capabilities with Eliciting and Interpreting Student Thinking. In G. J. Stylianides &amp; K. Hino (Eds.), </w:t>
      </w:r>
      <w:r w:rsidRPr="003D0C40">
        <w:rPr>
          <w:i/>
        </w:rPr>
        <w:t>Research Advances in the Mathematical Education of Pre-service Elementary Teachers: An International Perspective</w:t>
      </w:r>
      <w:r w:rsidRPr="003D0C40">
        <w:t xml:space="preserve"> (pp. 125–140). </w:t>
      </w:r>
      <w:r w:rsidRPr="007E6226">
        <w:rPr>
          <w:lang w:val="sv-SE"/>
        </w:rPr>
        <w:t xml:space="preserve">Springer International Publishing. https://doi.org/10.1007/978-3-319-68342-3_9 </w:t>
      </w:r>
    </w:p>
    <w:p w14:paraId="24427898" w14:textId="733660F6" w:rsidR="003D0C40" w:rsidRPr="003D0C40" w:rsidRDefault="003D0C40" w:rsidP="003D0C40">
      <w:pPr>
        <w:pStyle w:val="EndNoteBibliography"/>
        <w:ind w:left="420" w:hanging="420"/>
      </w:pPr>
      <w:r w:rsidRPr="007E6226">
        <w:rPr>
          <w:lang w:val="sv-SE"/>
        </w:rPr>
        <w:t xml:space="preserve">Stovner, R. B., &amp; Klette, K. (2022). </w:t>
      </w:r>
      <w:r w:rsidRPr="003D0C40">
        <w:t xml:space="preserve">Teacher feedback on procedural skills, conceptual understanding, and mathematical practices: A video study in lower secondary mathematics classrooms. </w:t>
      </w:r>
      <w:r w:rsidRPr="003D0C40">
        <w:rPr>
          <w:i/>
        </w:rPr>
        <w:t>Teaching and teacher education</w:t>
      </w:r>
      <w:r w:rsidRPr="003D0C40">
        <w:t>,</w:t>
      </w:r>
      <w:r w:rsidRPr="003D0C40">
        <w:rPr>
          <w:i/>
        </w:rPr>
        <w:t xml:space="preserve"> 110</w:t>
      </w:r>
      <w:r w:rsidRPr="003D0C40">
        <w:t xml:space="preserve">, Article 103593. </w:t>
      </w:r>
      <w:r w:rsidRPr="008644E1">
        <w:t>https://doi.org/10.1016/j.tate.2021.103593</w:t>
      </w:r>
      <w:r w:rsidRPr="003D0C40">
        <w:t xml:space="preserve"> </w:t>
      </w:r>
    </w:p>
    <w:p w14:paraId="50DD4695" w14:textId="77777777" w:rsidR="003D0C40" w:rsidRPr="003D0C40" w:rsidRDefault="003D0C40" w:rsidP="003D0C40">
      <w:pPr>
        <w:pStyle w:val="EndNoteBibliography"/>
        <w:ind w:left="420" w:hanging="420"/>
      </w:pPr>
      <w:r w:rsidRPr="003D0C40">
        <w:t xml:space="preserve">Van Leeuwen, T. (2005). </w:t>
      </w:r>
      <w:r w:rsidRPr="003D0C40">
        <w:rPr>
          <w:i/>
        </w:rPr>
        <w:t>Introducing social semiotics</w:t>
      </w:r>
      <w:r w:rsidRPr="003D0C40">
        <w:t xml:space="preserve">. Routledge. </w:t>
      </w:r>
    </w:p>
    <w:p w14:paraId="7FB9621D" w14:textId="4F2F0CC0" w:rsidR="008527B7" w:rsidRPr="008527B7" w:rsidRDefault="008527B7" w:rsidP="003D0C40">
      <w:pPr>
        <w:pStyle w:val="References"/>
      </w:pPr>
    </w:p>
    <w:sectPr w:rsidR="008527B7" w:rsidRPr="008527B7" w:rsidSect="006936EE">
      <w:headerReference w:type="default" r:id="rId8"/>
      <w:footerReference w:type="even" r:id="rId9"/>
      <w:footerReference w:type="default" r:id="rId10"/>
      <w:pgSz w:w="11906" w:h="16838" w:code="9"/>
      <w:pgMar w:top="1701"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7246" w14:textId="77777777" w:rsidR="006936EE" w:rsidRDefault="006936EE">
      <w:pPr>
        <w:spacing w:line="240" w:lineRule="auto"/>
      </w:pPr>
      <w:r>
        <w:separator/>
      </w:r>
    </w:p>
  </w:endnote>
  <w:endnote w:type="continuationSeparator" w:id="0">
    <w:p w14:paraId="080CB0C6" w14:textId="77777777" w:rsidR="006936EE" w:rsidRDefault="006936EE">
      <w:pPr>
        <w:spacing w:line="240" w:lineRule="auto"/>
      </w:pPr>
      <w:r>
        <w:continuationSeparator/>
      </w:r>
    </w:p>
  </w:endnote>
  <w:endnote w:type="continuationNotice" w:id="1">
    <w:p w14:paraId="44D16B52" w14:textId="77777777" w:rsidR="006936EE" w:rsidRDefault="006936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116C"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93848F4" w14:textId="77777777" w:rsidR="0075497C" w:rsidRDefault="007549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251D"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ED2199">
      <w:rPr>
        <w:rStyle w:val="Sidnummer"/>
        <w:noProof/>
      </w:rPr>
      <w:t>1</w:t>
    </w:r>
    <w:r>
      <w:rPr>
        <w:rStyle w:val="Sidnummer"/>
      </w:rPr>
      <w:fldChar w:fldCharType="end"/>
    </w:r>
  </w:p>
  <w:p w14:paraId="21937EF6" w14:textId="77777777" w:rsidR="0075497C" w:rsidRDefault="007549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05A3" w14:textId="77777777" w:rsidR="006936EE" w:rsidRDefault="006936EE">
      <w:pPr>
        <w:spacing w:line="240" w:lineRule="auto"/>
      </w:pPr>
      <w:r>
        <w:separator/>
      </w:r>
    </w:p>
  </w:footnote>
  <w:footnote w:type="continuationSeparator" w:id="0">
    <w:p w14:paraId="1A1338E4" w14:textId="77777777" w:rsidR="006936EE" w:rsidRDefault="006936EE">
      <w:pPr>
        <w:spacing w:line="240" w:lineRule="auto"/>
      </w:pPr>
      <w:r>
        <w:continuationSeparator/>
      </w:r>
    </w:p>
  </w:footnote>
  <w:footnote w:type="continuationNotice" w:id="1">
    <w:p w14:paraId="648FFCD4" w14:textId="77777777" w:rsidR="006936EE" w:rsidRDefault="006936E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864A" w14:textId="77777777" w:rsidR="00CE6A6A" w:rsidRDefault="00CE6A6A">
    <w:pPr>
      <w:framePr w:wrap="auto" w:vAnchor="text" w:hAnchor="margin" w:xAlign="right" w:y="1"/>
    </w:pPr>
  </w:p>
  <w:p w14:paraId="4AC39D26" w14:textId="77777777" w:rsidR="00CE6A6A" w:rsidRDefault="00CE6A6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DE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11501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removePersonalInformation/>
  <w:removeDateAndTime/>
  <w:embedSystemFont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425&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vr2v9vg2af2oe25vqx099n0z2txwsp0pfa&quot;&gt;My EndNote Library&lt;record-ids&gt;&lt;item&gt;44&lt;/item&gt;&lt;item&gt;137&lt;/item&gt;&lt;item&gt;143&lt;/item&gt;&lt;item&gt;157&lt;/item&gt;&lt;item&gt;160&lt;/item&gt;&lt;item&gt;179&lt;/item&gt;&lt;item&gt;183&lt;/item&gt;&lt;item&gt;184&lt;/item&gt;&lt;item&gt;246&lt;/item&gt;&lt;item&gt;256&lt;/item&gt;&lt;item&gt;264&lt;/item&gt;&lt;item&gt;302&lt;/item&gt;&lt;item&gt;333&lt;/item&gt;&lt;item&gt;505&lt;/item&gt;&lt;item&gt;530&lt;/item&gt;&lt;item&gt;563&lt;/item&gt;&lt;item&gt;570&lt;/item&gt;&lt;item&gt;576&lt;/item&gt;&lt;item&gt;577&lt;/item&gt;&lt;item&gt;585&lt;/item&gt;&lt;item&gt;586&lt;/item&gt;&lt;item&gt;594&lt;/item&gt;&lt;item&gt;597&lt;/item&gt;&lt;item&gt;598&lt;/item&gt;&lt;/record-ids&gt;&lt;/item&gt;&lt;/Libraries&gt;"/>
  </w:docVars>
  <w:rsids>
    <w:rsidRoot w:val="00B13C57"/>
    <w:rsid w:val="00015B85"/>
    <w:rsid w:val="00015E53"/>
    <w:rsid w:val="00027202"/>
    <w:rsid w:val="00027705"/>
    <w:rsid w:val="0002776C"/>
    <w:rsid w:val="000323F9"/>
    <w:rsid w:val="00032FF3"/>
    <w:rsid w:val="0004565D"/>
    <w:rsid w:val="00052847"/>
    <w:rsid w:val="00053461"/>
    <w:rsid w:val="0006140C"/>
    <w:rsid w:val="000638B9"/>
    <w:rsid w:val="00064A57"/>
    <w:rsid w:val="00067029"/>
    <w:rsid w:val="00071C4C"/>
    <w:rsid w:val="000744D7"/>
    <w:rsid w:val="00074D87"/>
    <w:rsid w:val="000761F4"/>
    <w:rsid w:val="000802CC"/>
    <w:rsid w:val="00084739"/>
    <w:rsid w:val="000B6B85"/>
    <w:rsid w:val="000D2258"/>
    <w:rsid w:val="000E5145"/>
    <w:rsid w:val="000F7629"/>
    <w:rsid w:val="000F7BC9"/>
    <w:rsid w:val="00103A9C"/>
    <w:rsid w:val="00110072"/>
    <w:rsid w:val="00117643"/>
    <w:rsid w:val="001330D1"/>
    <w:rsid w:val="00133F5F"/>
    <w:rsid w:val="00143F60"/>
    <w:rsid w:val="001455B4"/>
    <w:rsid w:val="00166293"/>
    <w:rsid w:val="0018794C"/>
    <w:rsid w:val="00191733"/>
    <w:rsid w:val="001A04D2"/>
    <w:rsid w:val="001A2A46"/>
    <w:rsid w:val="001C6E7F"/>
    <w:rsid w:val="001E0E73"/>
    <w:rsid w:val="001E1C43"/>
    <w:rsid w:val="001F25FB"/>
    <w:rsid w:val="002010C0"/>
    <w:rsid w:val="002065D7"/>
    <w:rsid w:val="00211C89"/>
    <w:rsid w:val="002244E6"/>
    <w:rsid w:val="0022684A"/>
    <w:rsid w:val="00240234"/>
    <w:rsid w:val="00240723"/>
    <w:rsid w:val="002824CB"/>
    <w:rsid w:val="00283AB6"/>
    <w:rsid w:val="00297F15"/>
    <w:rsid w:val="002A1B45"/>
    <w:rsid w:val="002A38E1"/>
    <w:rsid w:val="002B425C"/>
    <w:rsid w:val="002B7A64"/>
    <w:rsid w:val="002C0B9B"/>
    <w:rsid w:val="002C65E6"/>
    <w:rsid w:val="002E1A34"/>
    <w:rsid w:val="002F108A"/>
    <w:rsid w:val="002F513F"/>
    <w:rsid w:val="00301885"/>
    <w:rsid w:val="003026ED"/>
    <w:rsid w:val="00312A23"/>
    <w:rsid w:val="00316B5A"/>
    <w:rsid w:val="00326978"/>
    <w:rsid w:val="003365EA"/>
    <w:rsid w:val="00342C33"/>
    <w:rsid w:val="0034359A"/>
    <w:rsid w:val="003525D2"/>
    <w:rsid w:val="00352D2B"/>
    <w:rsid w:val="003558A2"/>
    <w:rsid w:val="003623CD"/>
    <w:rsid w:val="00373DC9"/>
    <w:rsid w:val="0037435D"/>
    <w:rsid w:val="003745A5"/>
    <w:rsid w:val="003775A2"/>
    <w:rsid w:val="003835A3"/>
    <w:rsid w:val="00396EAA"/>
    <w:rsid w:val="003B2647"/>
    <w:rsid w:val="003B3A66"/>
    <w:rsid w:val="003C5EDE"/>
    <w:rsid w:val="003D0C40"/>
    <w:rsid w:val="003D0EC4"/>
    <w:rsid w:val="003E4649"/>
    <w:rsid w:val="003E5B44"/>
    <w:rsid w:val="003E62CA"/>
    <w:rsid w:val="003F39E2"/>
    <w:rsid w:val="003F5135"/>
    <w:rsid w:val="003F7B7D"/>
    <w:rsid w:val="00420D64"/>
    <w:rsid w:val="00425FC4"/>
    <w:rsid w:val="00427744"/>
    <w:rsid w:val="00436455"/>
    <w:rsid w:val="004403E1"/>
    <w:rsid w:val="00446344"/>
    <w:rsid w:val="00461D61"/>
    <w:rsid w:val="00491D1B"/>
    <w:rsid w:val="00493C17"/>
    <w:rsid w:val="004B02CC"/>
    <w:rsid w:val="004C07A7"/>
    <w:rsid w:val="004D595F"/>
    <w:rsid w:val="004E2552"/>
    <w:rsid w:val="004E4519"/>
    <w:rsid w:val="004E6BFD"/>
    <w:rsid w:val="004E7B2D"/>
    <w:rsid w:val="00504BE8"/>
    <w:rsid w:val="00527F03"/>
    <w:rsid w:val="005320D8"/>
    <w:rsid w:val="005406FF"/>
    <w:rsid w:val="00551509"/>
    <w:rsid w:val="0055216E"/>
    <w:rsid w:val="005673B1"/>
    <w:rsid w:val="005710F8"/>
    <w:rsid w:val="00581D55"/>
    <w:rsid w:val="005A363B"/>
    <w:rsid w:val="005A44AA"/>
    <w:rsid w:val="005A73DC"/>
    <w:rsid w:val="005D20E1"/>
    <w:rsid w:val="005E03F4"/>
    <w:rsid w:val="005E3911"/>
    <w:rsid w:val="005F2165"/>
    <w:rsid w:val="006027A1"/>
    <w:rsid w:val="006260FC"/>
    <w:rsid w:val="00632924"/>
    <w:rsid w:val="00644A4E"/>
    <w:rsid w:val="00654DBF"/>
    <w:rsid w:val="006604B2"/>
    <w:rsid w:val="00666AEB"/>
    <w:rsid w:val="00672077"/>
    <w:rsid w:val="00682B36"/>
    <w:rsid w:val="006936EE"/>
    <w:rsid w:val="006A3148"/>
    <w:rsid w:val="006B09F9"/>
    <w:rsid w:val="006C1D22"/>
    <w:rsid w:val="00704F6E"/>
    <w:rsid w:val="007158B2"/>
    <w:rsid w:val="007279BA"/>
    <w:rsid w:val="00735820"/>
    <w:rsid w:val="00737C28"/>
    <w:rsid w:val="00737F38"/>
    <w:rsid w:val="007424DB"/>
    <w:rsid w:val="00745659"/>
    <w:rsid w:val="00747C46"/>
    <w:rsid w:val="0075497C"/>
    <w:rsid w:val="00755C47"/>
    <w:rsid w:val="00764024"/>
    <w:rsid w:val="00782C5A"/>
    <w:rsid w:val="007866CF"/>
    <w:rsid w:val="007B1BD7"/>
    <w:rsid w:val="007B6598"/>
    <w:rsid w:val="007C5D47"/>
    <w:rsid w:val="007C7738"/>
    <w:rsid w:val="007D75F2"/>
    <w:rsid w:val="007E3311"/>
    <w:rsid w:val="007E6226"/>
    <w:rsid w:val="007F7770"/>
    <w:rsid w:val="00803003"/>
    <w:rsid w:val="00806078"/>
    <w:rsid w:val="00807BED"/>
    <w:rsid w:val="00810089"/>
    <w:rsid w:val="00812B9B"/>
    <w:rsid w:val="00820052"/>
    <w:rsid w:val="008239D6"/>
    <w:rsid w:val="00833011"/>
    <w:rsid w:val="00833018"/>
    <w:rsid w:val="00842F58"/>
    <w:rsid w:val="008527B7"/>
    <w:rsid w:val="0085408B"/>
    <w:rsid w:val="008569F8"/>
    <w:rsid w:val="008644E1"/>
    <w:rsid w:val="00874A47"/>
    <w:rsid w:val="008767CC"/>
    <w:rsid w:val="008779FB"/>
    <w:rsid w:val="00882ACE"/>
    <w:rsid w:val="0088766B"/>
    <w:rsid w:val="008908DB"/>
    <w:rsid w:val="008B0DD4"/>
    <w:rsid w:val="008B5DDA"/>
    <w:rsid w:val="008C4C60"/>
    <w:rsid w:val="008D4E68"/>
    <w:rsid w:val="008E32C6"/>
    <w:rsid w:val="008F49D0"/>
    <w:rsid w:val="0091579A"/>
    <w:rsid w:val="00920358"/>
    <w:rsid w:val="00923298"/>
    <w:rsid w:val="00924344"/>
    <w:rsid w:val="0092529D"/>
    <w:rsid w:val="00930AB5"/>
    <w:rsid w:val="00933A03"/>
    <w:rsid w:val="00987B27"/>
    <w:rsid w:val="009A435C"/>
    <w:rsid w:val="009A6BEF"/>
    <w:rsid w:val="009B2D57"/>
    <w:rsid w:val="009C103B"/>
    <w:rsid w:val="009C36CD"/>
    <w:rsid w:val="009C6AEA"/>
    <w:rsid w:val="009D1092"/>
    <w:rsid w:val="009D7250"/>
    <w:rsid w:val="00A2654B"/>
    <w:rsid w:val="00A31F78"/>
    <w:rsid w:val="00A340E7"/>
    <w:rsid w:val="00A3652D"/>
    <w:rsid w:val="00A36A82"/>
    <w:rsid w:val="00A51B04"/>
    <w:rsid w:val="00A56DBD"/>
    <w:rsid w:val="00A6323B"/>
    <w:rsid w:val="00A63D87"/>
    <w:rsid w:val="00A70FAC"/>
    <w:rsid w:val="00A759C3"/>
    <w:rsid w:val="00A83698"/>
    <w:rsid w:val="00A8768B"/>
    <w:rsid w:val="00AA6592"/>
    <w:rsid w:val="00AD61EF"/>
    <w:rsid w:val="00AF1127"/>
    <w:rsid w:val="00B13C57"/>
    <w:rsid w:val="00B33BAD"/>
    <w:rsid w:val="00B34085"/>
    <w:rsid w:val="00B431AC"/>
    <w:rsid w:val="00B450E2"/>
    <w:rsid w:val="00B55DD0"/>
    <w:rsid w:val="00B62D12"/>
    <w:rsid w:val="00B70E6F"/>
    <w:rsid w:val="00B773C7"/>
    <w:rsid w:val="00B80F12"/>
    <w:rsid w:val="00BA28F3"/>
    <w:rsid w:val="00BB020A"/>
    <w:rsid w:val="00BD4F6C"/>
    <w:rsid w:val="00BE1230"/>
    <w:rsid w:val="00BE3512"/>
    <w:rsid w:val="00BF2E67"/>
    <w:rsid w:val="00C01F2D"/>
    <w:rsid w:val="00C05FF6"/>
    <w:rsid w:val="00C10AEA"/>
    <w:rsid w:val="00C32D6E"/>
    <w:rsid w:val="00C35799"/>
    <w:rsid w:val="00C57743"/>
    <w:rsid w:val="00C63144"/>
    <w:rsid w:val="00C641BD"/>
    <w:rsid w:val="00CA4801"/>
    <w:rsid w:val="00CA76CB"/>
    <w:rsid w:val="00CB19CB"/>
    <w:rsid w:val="00CC3806"/>
    <w:rsid w:val="00CD3B88"/>
    <w:rsid w:val="00CE6A6A"/>
    <w:rsid w:val="00CF2E43"/>
    <w:rsid w:val="00CF420D"/>
    <w:rsid w:val="00D14117"/>
    <w:rsid w:val="00D15CB6"/>
    <w:rsid w:val="00D17D92"/>
    <w:rsid w:val="00D25889"/>
    <w:rsid w:val="00D26DD8"/>
    <w:rsid w:val="00D30679"/>
    <w:rsid w:val="00D32981"/>
    <w:rsid w:val="00D34556"/>
    <w:rsid w:val="00D44024"/>
    <w:rsid w:val="00D60A5C"/>
    <w:rsid w:val="00D6598D"/>
    <w:rsid w:val="00D66957"/>
    <w:rsid w:val="00D74457"/>
    <w:rsid w:val="00D80F5B"/>
    <w:rsid w:val="00D827A1"/>
    <w:rsid w:val="00DA41C6"/>
    <w:rsid w:val="00DA4AE6"/>
    <w:rsid w:val="00DD33F0"/>
    <w:rsid w:val="00DD5300"/>
    <w:rsid w:val="00DF652F"/>
    <w:rsid w:val="00E10CD4"/>
    <w:rsid w:val="00E1557F"/>
    <w:rsid w:val="00E255B2"/>
    <w:rsid w:val="00E271E0"/>
    <w:rsid w:val="00E31876"/>
    <w:rsid w:val="00E508BD"/>
    <w:rsid w:val="00E56987"/>
    <w:rsid w:val="00E62C71"/>
    <w:rsid w:val="00E80A33"/>
    <w:rsid w:val="00E90B43"/>
    <w:rsid w:val="00E94D47"/>
    <w:rsid w:val="00EA1EAE"/>
    <w:rsid w:val="00EA46DA"/>
    <w:rsid w:val="00ED1DE2"/>
    <w:rsid w:val="00ED2199"/>
    <w:rsid w:val="00EE0F7E"/>
    <w:rsid w:val="00EE17AD"/>
    <w:rsid w:val="00EE1D22"/>
    <w:rsid w:val="00EE2608"/>
    <w:rsid w:val="00EF0580"/>
    <w:rsid w:val="00F02CB0"/>
    <w:rsid w:val="00F04881"/>
    <w:rsid w:val="00F13B31"/>
    <w:rsid w:val="00F212F0"/>
    <w:rsid w:val="00F21C81"/>
    <w:rsid w:val="00F35A48"/>
    <w:rsid w:val="00F42DFA"/>
    <w:rsid w:val="00F43422"/>
    <w:rsid w:val="00F5360B"/>
    <w:rsid w:val="00F5400D"/>
    <w:rsid w:val="00F64DC4"/>
    <w:rsid w:val="00F7794E"/>
    <w:rsid w:val="00FA69EB"/>
    <w:rsid w:val="00FC5F75"/>
    <w:rsid w:val="00FD2CF2"/>
    <w:rsid w:val="00FD76FD"/>
    <w:rsid w:val="00FF0716"/>
  </w:rsids>
  <m:mathPr>
    <m:mathFont m:val="Cambria Math"/>
    <m:brkBin m:val="before"/>
    <m:brkBinSub m:val="--"/>
    <m:smallFrac m:val="0"/>
    <m:dispDef m:val="0"/>
    <m:lMargin m:val="0"/>
    <m:rMargin m:val="0"/>
    <m:defJc m:val="centerGroup"/>
    <m:wrapRight/>
    <m:intLim m:val="subSup"/>
    <m:naryLim m:val="subSup"/>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73F7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read 2"/>
    <w:qFormat/>
    <w:rsid w:val="005067E6"/>
    <w:pPr>
      <w:autoSpaceDE w:val="0"/>
      <w:autoSpaceDN w:val="0"/>
      <w:spacing w:line="320" w:lineRule="atLeast"/>
      <w:ind w:firstLine="425"/>
      <w:jc w:val="both"/>
    </w:pPr>
    <w:rPr>
      <w:sz w:val="26"/>
      <w:szCs w:val="28"/>
      <w:lang w:val="en-GB" w:eastAsia="en-US"/>
    </w:rPr>
  </w:style>
  <w:style w:type="paragraph" w:styleId="Rubrik1">
    <w:name w:val="heading 1"/>
    <w:aliases w:val="Title"/>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aliases w:val="Head 1"/>
    <w:basedOn w:val="Rubrik"/>
    <w:next w:val="Brdtext"/>
    <w:link w:val="Rubrik2Char"/>
    <w:qFormat/>
    <w:rsid w:val="0070249D"/>
    <w:pPr>
      <w:keepNext/>
      <w:spacing w:before="360" w:after="0"/>
      <w:ind w:firstLine="0"/>
      <w:jc w:val="left"/>
      <w:outlineLvl w:val="1"/>
    </w:pPr>
    <w:rPr>
      <w:rFonts w:ascii="Times New Roman" w:hAnsi="Times New Roman"/>
      <w:bCs w:val="0"/>
      <w:sz w:val="28"/>
    </w:rPr>
  </w:style>
  <w:style w:type="paragraph" w:styleId="Rubrik3">
    <w:name w:val="heading 3"/>
    <w:aliases w:val="Head 2"/>
    <w:basedOn w:val="Normal"/>
    <w:next w:val="Normal"/>
    <w:link w:val="Rubrik3Char"/>
    <w:qFormat/>
    <w:rsid w:val="00866094"/>
    <w:pPr>
      <w:keepNext/>
      <w:spacing w:before="240"/>
      <w:ind w:firstLine="0"/>
      <w:jc w:val="left"/>
      <w:outlineLvl w:val="2"/>
    </w:pPr>
    <w:rPr>
      <w:b/>
      <w:bCs/>
    </w:rPr>
  </w:style>
  <w:style w:type="paragraph" w:styleId="Rubrik4">
    <w:name w:val="heading 4"/>
    <w:aliases w:val="Head 3"/>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aliases w:val="Authors"/>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aliases w:val="Institution"/>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aliases w:val="Authors Char"/>
    <w:link w:val="Rubrik8"/>
    <w:uiPriority w:val="9"/>
    <w:rsid w:val="000C4CBD"/>
    <w:rPr>
      <w:rFonts w:eastAsia="Times New Roman" w:cs="Times New Roman"/>
      <w:b/>
      <w:bCs/>
      <w:iCs/>
      <w:kern w:val="28"/>
      <w:sz w:val="28"/>
      <w:szCs w:val="24"/>
      <w:lang w:val="en-GB" w:eastAsia="en-US"/>
    </w:rPr>
  </w:style>
  <w:style w:type="paragraph" w:styleId="Brdtext">
    <w:name w:val="Body Text"/>
    <w:aliases w:val="Bread 1"/>
    <w:basedOn w:val="Normal"/>
    <w:next w:val="Normal"/>
    <w:link w:val="BrdtextChar"/>
    <w:uiPriority w:val="99"/>
    <w:unhideWhenUsed/>
    <w:qFormat/>
    <w:rsid w:val="00FD5842"/>
    <w:pPr>
      <w:ind w:firstLine="0"/>
    </w:pPr>
  </w:style>
  <w:style w:type="character" w:customStyle="1" w:styleId="BrdtextChar">
    <w:name w:val="Brödtext Char"/>
    <w:aliases w:val="Bread 1 Char"/>
    <w:link w:val="Brdtext"/>
    <w:uiPriority w:val="99"/>
    <w:rsid w:val="00FD5842"/>
    <w:rPr>
      <w:sz w:val="26"/>
      <w:szCs w:val="28"/>
      <w:lang w:val="en-GB" w:eastAsia="en-US"/>
    </w:rPr>
  </w:style>
  <w:style w:type="character" w:customStyle="1" w:styleId="Rubrik4Char">
    <w:name w:val="Rubrik 4 Char"/>
    <w:aliases w:val="Head 3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aliases w:val="Institution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qFormat/>
    <w:rsid w:val="00575777"/>
    <w:pPr>
      <w:tabs>
        <w:tab w:val="left" w:pos="1134"/>
      </w:tabs>
      <w:spacing w:before="60" w:after="60" w:line="300" w:lineRule="atLeast"/>
      <w:ind w:left="2693" w:right="425" w:hanging="2268"/>
    </w:pPr>
    <w:rPr>
      <w:szCs w:val="26"/>
    </w:rPr>
  </w:style>
  <w:style w:type="paragraph" w:customStyle="1" w:styleId="Citat1">
    <w:name w:val="Citat1"/>
    <w:basedOn w:val="Brdtext"/>
    <w:qFormat/>
    <w:rsid w:val="00D40F30"/>
    <w:pPr>
      <w:spacing w:before="120" w:after="120"/>
      <w:ind w:left="425" w:right="425"/>
    </w:pPr>
    <w:rPr>
      <w:sz w:val="24"/>
      <w:szCs w:val="26"/>
    </w:rPr>
  </w:style>
  <w:style w:type="paragraph" w:customStyle="1" w:styleId="References">
    <w:name w:val="References"/>
    <w:basedOn w:val="Brdtext"/>
    <w:qFormat/>
    <w:rsid w:val="002A0C36"/>
    <w:pPr>
      <w:spacing w:line="300" w:lineRule="atLeast"/>
      <w:ind w:left="425" w:hanging="425"/>
    </w:pPr>
    <w:rPr>
      <w:sz w:val="24"/>
    </w:rPr>
  </w:style>
  <w:style w:type="paragraph" w:customStyle="1" w:styleId="Endnote">
    <w:name w:val="Endnote"/>
    <w:basedOn w:val="Normal"/>
    <w:qFormat/>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qFormat/>
    <w:rsid w:val="00575777"/>
    <w:pPr>
      <w:spacing w:before="60" w:after="60" w:line="300" w:lineRule="atLeast"/>
      <w:ind w:left="1843" w:right="425" w:hanging="1418"/>
    </w:pPr>
    <w:rPr>
      <w:sz w:val="24"/>
      <w:szCs w:val="26"/>
    </w:rPr>
  </w:style>
  <w:style w:type="character" w:styleId="Sidnummer">
    <w:name w:val="page number"/>
    <w:basedOn w:val="Standardstycketeckensnitt"/>
    <w:rsid w:val="008914F1"/>
  </w:style>
  <w:style w:type="character" w:customStyle="1" w:styleId="HeadtableChar">
    <w:name w:val="Head table Char"/>
    <w:link w:val="Headtable"/>
    <w:rsid w:val="008B3B99"/>
    <w:rPr>
      <w:sz w:val="26"/>
      <w:szCs w:val="28"/>
      <w:lang w:val="en-GB" w:eastAsia="en-US"/>
    </w:rPr>
  </w:style>
  <w:style w:type="paragraph" w:customStyle="1" w:styleId="Headtable">
    <w:name w:val="Head table"/>
    <w:basedOn w:val="Normal"/>
    <w:next w:val="Brdtext"/>
    <w:link w:val="HeadtableChar"/>
    <w:qFormat/>
    <w:rsid w:val="008B3B99"/>
    <w:pPr>
      <w:spacing w:before="120" w:after="120"/>
      <w:ind w:left="425" w:right="425" w:firstLine="0"/>
      <w:jc w:val="left"/>
    </w:pPr>
  </w:style>
  <w:style w:type="paragraph" w:customStyle="1" w:styleId="Abstract">
    <w:name w:val="Abstract"/>
    <w:basedOn w:val="Brdtext"/>
    <w:link w:val="AbstractChar"/>
    <w:qFormat/>
    <w:rsid w:val="00084739"/>
    <w:rPr>
      <w:i/>
    </w:rPr>
  </w:style>
  <w:style w:type="character" w:customStyle="1" w:styleId="AbstractChar">
    <w:name w:val="Abstract Char"/>
    <w:basedOn w:val="BrdtextChar"/>
    <w:link w:val="Abstract"/>
    <w:rsid w:val="00084739"/>
    <w:rPr>
      <w:i/>
      <w:sz w:val="26"/>
      <w:szCs w:val="28"/>
      <w:lang w:val="en-GB" w:eastAsia="en-US"/>
    </w:rPr>
  </w:style>
  <w:style w:type="paragraph" w:styleId="Sidhuvud">
    <w:name w:val="header"/>
    <w:basedOn w:val="Normal"/>
    <w:link w:val="SidhuvudChar"/>
    <w:unhideWhenUsed/>
    <w:rsid w:val="003D0EC4"/>
    <w:pPr>
      <w:tabs>
        <w:tab w:val="center" w:pos="4536"/>
        <w:tab w:val="right" w:pos="9072"/>
      </w:tabs>
      <w:spacing w:line="240" w:lineRule="auto"/>
    </w:pPr>
  </w:style>
  <w:style w:type="character" w:customStyle="1" w:styleId="SidhuvudChar">
    <w:name w:val="Sidhuvud Char"/>
    <w:basedOn w:val="Standardstycketeckensnitt"/>
    <w:link w:val="Sidhuvud"/>
    <w:rsid w:val="003D0EC4"/>
    <w:rPr>
      <w:sz w:val="26"/>
      <w:szCs w:val="28"/>
      <w:lang w:val="en-GB" w:eastAsia="en-US"/>
    </w:rPr>
  </w:style>
  <w:style w:type="character" w:customStyle="1" w:styleId="Rubrik2Char">
    <w:name w:val="Rubrik 2 Char"/>
    <w:aliases w:val="Head 1 Char"/>
    <w:basedOn w:val="Standardstycketeckensnitt"/>
    <w:link w:val="Rubrik2"/>
    <w:rsid w:val="00C10AEA"/>
    <w:rPr>
      <w:b/>
      <w:kern w:val="28"/>
      <w:sz w:val="28"/>
      <w:szCs w:val="32"/>
      <w:lang w:val="en-GB" w:eastAsia="en-US"/>
    </w:rPr>
  </w:style>
  <w:style w:type="character" w:customStyle="1" w:styleId="rynqvb">
    <w:name w:val="rynqvb"/>
    <w:basedOn w:val="Standardstycketeckensnitt"/>
    <w:rsid w:val="00C10AEA"/>
  </w:style>
  <w:style w:type="character" w:customStyle="1" w:styleId="Rubrik3Char">
    <w:name w:val="Rubrik 3 Char"/>
    <w:aliases w:val="Head 2 Char"/>
    <w:basedOn w:val="Standardstycketeckensnitt"/>
    <w:link w:val="Rubrik3"/>
    <w:rsid w:val="000323F9"/>
    <w:rPr>
      <w:b/>
      <w:bCs/>
      <w:sz w:val="26"/>
      <w:szCs w:val="28"/>
      <w:lang w:val="en-GB" w:eastAsia="en-US"/>
    </w:rPr>
  </w:style>
  <w:style w:type="character" w:styleId="Kommentarsreferens">
    <w:name w:val="annotation reference"/>
    <w:basedOn w:val="Standardstycketeckensnitt"/>
    <w:semiHidden/>
    <w:unhideWhenUsed/>
    <w:rsid w:val="008527B7"/>
    <w:rPr>
      <w:sz w:val="16"/>
      <w:szCs w:val="16"/>
    </w:rPr>
  </w:style>
  <w:style w:type="paragraph" w:styleId="Kommentarer">
    <w:name w:val="annotation text"/>
    <w:basedOn w:val="Normal"/>
    <w:link w:val="KommentarerChar"/>
    <w:unhideWhenUsed/>
    <w:rsid w:val="008527B7"/>
    <w:pPr>
      <w:spacing w:line="240" w:lineRule="auto"/>
    </w:pPr>
    <w:rPr>
      <w:sz w:val="20"/>
      <w:szCs w:val="20"/>
    </w:rPr>
  </w:style>
  <w:style w:type="character" w:customStyle="1" w:styleId="KommentarerChar">
    <w:name w:val="Kommentarer Char"/>
    <w:basedOn w:val="Standardstycketeckensnitt"/>
    <w:link w:val="Kommentarer"/>
    <w:rsid w:val="008527B7"/>
    <w:rPr>
      <w:lang w:val="en-GB" w:eastAsia="en-US"/>
    </w:rPr>
  </w:style>
  <w:style w:type="paragraph" w:customStyle="1" w:styleId="EndNoteBibliographyTitle">
    <w:name w:val="EndNote Bibliography Title"/>
    <w:basedOn w:val="Normal"/>
    <w:link w:val="EndNoteBibliographyTitleChar"/>
    <w:rsid w:val="008527B7"/>
    <w:pPr>
      <w:jc w:val="center"/>
    </w:pPr>
    <w:rPr>
      <w:noProof/>
      <w:sz w:val="24"/>
      <w:lang w:val="en-US"/>
    </w:rPr>
  </w:style>
  <w:style w:type="character" w:customStyle="1" w:styleId="EndNoteBibliographyTitleChar">
    <w:name w:val="EndNote Bibliography Title Char"/>
    <w:basedOn w:val="Standardstycketeckensnitt"/>
    <w:link w:val="EndNoteBibliographyTitle"/>
    <w:rsid w:val="008527B7"/>
    <w:rPr>
      <w:noProof/>
      <w:sz w:val="24"/>
      <w:szCs w:val="28"/>
      <w:lang w:val="en-US" w:eastAsia="en-US"/>
    </w:rPr>
  </w:style>
  <w:style w:type="paragraph" w:customStyle="1" w:styleId="EndNoteBibliography">
    <w:name w:val="EndNote Bibliography"/>
    <w:basedOn w:val="Normal"/>
    <w:link w:val="EndNoteBibliographyChar"/>
    <w:rsid w:val="008527B7"/>
    <w:pPr>
      <w:spacing w:line="240" w:lineRule="atLeast"/>
    </w:pPr>
    <w:rPr>
      <w:noProof/>
      <w:sz w:val="24"/>
      <w:lang w:val="en-US"/>
    </w:rPr>
  </w:style>
  <w:style w:type="character" w:customStyle="1" w:styleId="EndNoteBibliographyChar">
    <w:name w:val="EndNote Bibliography Char"/>
    <w:basedOn w:val="Standardstycketeckensnitt"/>
    <w:link w:val="EndNoteBibliography"/>
    <w:rsid w:val="008527B7"/>
    <w:rPr>
      <w:noProof/>
      <w:sz w:val="24"/>
      <w:szCs w:val="28"/>
      <w:lang w:val="en-US" w:eastAsia="en-US"/>
    </w:rPr>
  </w:style>
  <w:style w:type="character" w:styleId="Hyperlnk">
    <w:name w:val="Hyperlink"/>
    <w:basedOn w:val="Standardstycketeckensnitt"/>
    <w:unhideWhenUsed/>
    <w:rsid w:val="008527B7"/>
    <w:rPr>
      <w:color w:val="0000FF" w:themeColor="hyperlink"/>
      <w:u w:val="single"/>
    </w:rPr>
  </w:style>
  <w:style w:type="character" w:styleId="Olstomnmnande">
    <w:name w:val="Unresolved Mention"/>
    <w:basedOn w:val="Standardstycketeckensnitt"/>
    <w:uiPriority w:val="99"/>
    <w:semiHidden/>
    <w:unhideWhenUsed/>
    <w:rsid w:val="008527B7"/>
    <w:rPr>
      <w:color w:val="605E5C"/>
      <w:shd w:val="clear" w:color="auto" w:fill="E1DFDD"/>
    </w:rPr>
  </w:style>
  <w:style w:type="paragraph" w:styleId="Revision">
    <w:name w:val="Revision"/>
    <w:hidden/>
    <w:semiHidden/>
    <w:rsid w:val="00B80F12"/>
    <w:rPr>
      <w:sz w:val="26"/>
      <w:szCs w:val="28"/>
      <w:lang w:val="en-GB" w:eastAsia="en-US"/>
    </w:rPr>
  </w:style>
  <w:style w:type="paragraph" w:styleId="Kommentarsmne">
    <w:name w:val="annotation subject"/>
    <w:basedOn w:val="Kommentarer"/>
    <w:next w:val="Kommentarer"/>
    <w:link w:val="KommentarsmneChar"/>
    <w:semiHidden/>
    <w:unhideWhenUsed/>
    <w:rsid w:val="00E271E0"/>
    <w:rPr>
      <w:b/>
      <w:bCs/>
    </w:rPr>
  </w:style>
  <w:style w:type="character" w:customStyle="1" w:styleId="KommentarsmneChar">
    <w:name w:val="Kommentarsämne Char"/>
    <w:basedOn w:val="KommentarerChar"/>
    <w:link w:val="Kommentarsmne"/>
    <w:semiHidden/>
    <w:rsid w:val="00E271E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36882-0069-45F6-9FEA-D78B7344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4831</Words>
  <Characters>25610</Characters>
  <Application>Microsoft Office Word</Application>
  <DocSecurity>0</DocSecurity>
  <Lines>213</Lines>
  <Paragraphs>60</Paragraphs>
  <ScaleCrop>false</ScaleCrop>
  <HeadingPairs>
    <vt:vector size="6" baseType="variant">
      <vt:variant>
        <vt:lpstr>Rubrik</vt:lpstr>
      </vt:variant>
      <vt:variant>
        <vt:i4>1</vt:i4>
      </vt:variant>
      <vt:variant>
        <vt:lpstr>Titel</vt:lpstr>
      </vt:variant>
      <vt:variant>
        <vt:i4>1</vt:i4>
      </vt:variant>
      <vt:variant>
        <vt:lpstr>Headings</vt:lpstr>
      </vt:variant>
      <vt:variant>
        <vt:i4>9</vt:i4>
      </vt:variant>
    </vt:vector>
  </HeadingPairs>
  <TitlesOfParts>
    <vt:vector size="11" baseType="lpstr">
      <vt:lpstr>MADIF8 PROCEEDINGS STYLE TEMPLATE</vt:lpstr>
      <vt:lpstr>MES6 PROCEEDINGS STYLE TEMPLATE: TYPE YOUR TITLE HERE (THE STYLE IS CALLED HEADING 1)</vt:lpstr>
      <vt:lpstr>MADIF8 Proceedings Style Template: Type Your Title Here With First Letters Capit</vt:lpstr>
      <vt:lpstr>    The main section heading style is called Rubrik 2</vt:lpstr>
      <vt:lpstr>        This is style Rubrik 3, for one level of heading lower than Rubrik 2</vt:lpstr>
      <vt:lpstr>    Notes</vt:lpstr>
      <vt:lpstr>    References</vt:lpstr>
      <vt:lpstr>    Style Summary</vt:lpstr>
      <vt:lpstr>Rubrik 1: 22pt (centred)</vt:lpstr>
      <vt:lpstr>    Rubrik 2: 14 pt bold, spacing above 12pt</vt:lpstr>
      <vt:lpstr>        Rubrik 3: 13 pt bold, spacing above 12pt</vt:lpstr>
    </vt:vector>
  </TitlesOfParts>
  <Manager/>
  <Company/>
  <LinksUpToDate>false</LinksUpToDate>
  <CharactersWithSpaces>30381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
  <cp:keywords/>
  <dc:description/>
  <cp:lastModifiedBy/>
  <cp:revision>1</cp:revision>
  <dcterms:created xsi:type="dcterms:W3CDTF">2024-01-20T12:58:00Z</dcterms:created>
  <dcterms:modified xsi:type="dcterms:W3CDTF">2024-01-24T17:33:00Z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3b08a41ae7f3db64d40ee5a8d296c409bbbafcc56508b88f46e82d9edb5a9252</vt:lpwstr>
  </property>
</Properties>
</file>