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1DB6" w14:textId="77777777" w:rsidR="0032412E" w:rsidRDefault="007012D1" w:rsidP="00E96FC6">
      <w:pPr>
        <w:pStyle w:val="Rubrik1"/>
      </w:pPr>
      <w:r w:rsidRPr="007012D1">
        <w:t xml:space="preserve">Task Frameworks and Teacher Practice: </w:t>
      </w:r>
    </w:p>
    <w:p w14:paraId="5D09B5AF" w14:textId="5176EC6E" w:rsidR="0000350B" w:rsidRPr="00E96FC6" w:rsidRDefault="007012D1" w:rsidP="00E96FC6">
      <w:pPr>
        <w:pStyle w:val="Rubrik1"/>
        <w:rPr>
          <w:sz w:val="24"/>
          <w:szCs w:val="24"/>
          <w:lang w:val="en-US" w:eastAsia="sv-SE"/>
        </w:rPr>
      </w:pPr>
      <w:r w:rsidRPr="007012D1">
        <w:t>A Comparative Analysis</w:t>
      </w:r>
    </w:p>
    <w:p w14:paraId="588BD875" w14:textId="6210CC4A" w:rsidR="0000350B" w:rsidRPr="0000350B" w:rsidRDefault="0000350B" w:rsidP="0000350B">
      <w:pPr>
        <w:pStyle w:val="Normalwebb"/>
        <w:spacing w:before="360" w:beforeAutospacing="0" w:after="0" w:afterAutospacing="0"/>
        <w:jc w:val="center"/>
        <w:rPr>
          <w:color w:val="000000"/>
          <w:lang w:val="en-US"/>
        </w:rPr>
      </w:pPr>
      <w:r w:rsidRPr="0000350B">
        <w:rPr>
          <w:rStyle w:val="Rubrik8Char"/>
          <w:lang w:val="en-US"/>
        </w:rPr>
        <w:t>Julia Tsygan</w:t>
      </w:r>
      <w:r>
        <w:rPr>
          <w:rStyle w:val="Rubrik8Char"/>
          <w:lang w:val="en-US"/>
        </w:rPr>
        <w:t xml:space="preserve"> &amp; </w:t>
      </w:r>
      <w:r w:rsidRPr="0000350B">
        <w:rPr>
          <w:rStyle w:val="Rubrik8Char"/>
          <w:lang w:val="en-US"/>
        </w:rPr>
        <w:t>Ola</w:t>
      </w:r>
      <w:r w:rsidRPr="0000350B">
        <w:rPr>
          <w:b/>
          <w:bCs/>
          <w:color w:val="000000"/>
          <w:sz w:val="28"/>
          <w:szCs w:val="28"/>
          <w:lang w:val="en-US"/>
        </w:rPr>
        <w:t xml:space="preserve"> Helenius</w:t>
      </w:r>
    </w:p>
    <w:p w14:paraId="07FBF133" w14:textId="77777777" w:rsidR="0000350B" w:rsidRDefault="0000350B" w:rsidP="007433A1">
      <w:pPr>
        <w:pStyle w:val="Rubrik9"/>
        <w:rPr>
          <w:lang w:val="en-US"/>
        </w:rPr>
      </w:pPr>
      <w:r w:rsidRPr="0000350B">
        <w:rPr>
          <w:lang w:val="en-US"/>
        </w:rPr>
        <w:t>University of Gothenburg</w:t>
      </w:r>
    </w:p>
    <w:p w14:paraId="6C53AC58" w14:textId="74CD43F2" w:rsidR="0000350B" w:rsidRPr="0000350B" w:rsidRDefault="00676345" w:rsidP="00F312B6">
      <w:pPr>
        <w:pStyle w:val="Abstract"/>
        <w:rPr>
          <w:lang w:val="en-US"/>
        </w:rPr>
      </w:pPr>
      <w:r w:rsidRPr="00676345">
        <w:t>We compare three different mathematical task frameworks by applying them to a teacher-described task implementation. By means of a case study method, we juxtapose the frameworks against the teacher's own account. We find that certain crucial facets of the teacher's task implementation remain unaddressed by the frameworks. We posit that this discrepancy arises from the inherently specialized nature of researcher-designed frameworks, which stem from the researchers' theoretical orientations, in contrast to teachers' complex experiences of task implementation. Consequently, we advocate for the development of more comprehensive frameworks to facilitate genuine teacher-researcher collaborations in task design.</w:t>
      </w:r>
    </w:p>
    <w:p w14:paraId="6760EC32" w14:textId="77777777" w:rsidR="0000350B" w:rsidRDefault="0000350B" w:rsidP="0000350B">
      <w:pPr>
        <w:pStyle w:val="Rubrik3"/>
      </w:pPr>
      <w:r>
        <w:t>Introduction</w:t>
      </w:r>
    </w:p>
    <w:p w14:paraId="0C521CA0" w14:textId="1900DFF4" w:rsidR="0000350B" w:rsidRPr="0000350B" w:rsidRDefault="0000350B" w:rsidP="0000350B">
      <w:pPr>
        <w:pStyle w:val="Brdtext"/>
        <w:rPr>
          <w:lang w:val="en-US"/>
        </w:rPr>
      </w:pPr>
      <w:r w:rsidRPr="0000350B">
        <w:rPr>
          <w:lang w:val="en-US"/>
        </w:rPr>
        <w:t xml:space="preserve">Tasks play a central role in mathematics </w:t>
      </w:r>
      <w:r w:rsidR="00AD52C9" w:rsidRPr="0000350B">
        <w:rPr>
          <w:lang w:val="en-US"/>
        </w:rPr>
        <w:t>instruction</w:t>
      </w:r>
      <w:r w:rsidR="00E96FC6">
        <w:rPr>
          <w:lang w:val="en-US"/>
        </w:rPr>
        <w:t>.</w:t>
      </w:r>
      <w:r w:rsidRPr="0000350B">
        <w:rPr>
          <w:lang w:val="en-US"/>
        </w:rPr>
        <w:t xml:space="preserve"> </w:t>
      </w:r>
      <w:r w:rsidR="00E96FC6">
        <w:rPr>
          <w:lang w:val="en-US"/>
        </w:rPr>
        <w:t>I</w:t>
      </w:r>
      <w:r w:rsidRPr="0000350B">
        <w:rPr>
          <w:lang w:val="en-US"/>
        </w:rPr>
        <w:t xml:space="preserve">t is often argued that tasks with a certain richness are vital for fulfilling some general goals and needs in mathematics education </w:t>
      </w:r>
      <w:r w:rsidRPr="0000350B">
        <w:rPr>
          <w:szCs w:val="26"/>
          <w:lang w:val="en-US"/>
        </w:rPr>
        <w:t>(e.g. Krainer, 1993)</w:t>
      </w:r>
      <w:r w:rsidRPr="0000350B">
        <w:rPr>
          <w:lang w:val="en-US"/>
        </w:rPr>
        <w:t xml:space="preserve">. For this reason, and because teachers often orchestrate student learning using tasks, education designers seeking to improve mathematics teaching and learning often adopt a “task-centric” design </w:t>
      </w:r>
      <w:r w:rsidRPr="0000350B">
        <w:rPr>
          <w:szCs w:val="26"/>
          <w:lang w:val="en-US"/>
        </w:rPr>
        <w:t>(Boston &amp; Smith, 2011)</w:t>
      </w:r>
      <w:r w:rsidRPr="0000350B">
        <w:rPr>
          <w:lang w:val="en-US"/>
        </w:rPr>
        <w:t>. </w:t>
      </w:r>
    </w:p>
    <w:p w14:paraId="4520CD2A" w14:textId="3C7C4333" w:rsidR="0000350B" w:rsidRPr="0000350B" w:rsidRDefault="0000350B" w:rsidP="0000350B">
      <w:pPr>
        <w:rPr>
          <w:lang w:val="en-US"/>
        </w:rPr>
      </w:pPr>
      <w:r w:rsidRPr="0000350B">
        <w:rPr>
          <w:lang w:val="en-US"/>
        </w:rPr>
        <w:t>Such task-centric design research efforts require analysis of the practicality and effectiveness of rich tasks in regular classrooms, which in turn entails analysis of the opportunities for cognitive challenge present in the task as it is a) formulated</w:t>
      </w:r>
      <w:r w:rsidR="00B052B2">
        <w:rPr>
          <w:lang w:val="en-US"/>
        </w:rPr>
        <w:t xml:space="preserve"> by task designers</w:t>
      </w:r>
      <w:r w:rsidRPr="0000350B">
        <w:rPr>
          <w:lang w:val="en-US"/>
        </w:rPr>
        <w:t xml:space="preserve">, b) </w:t>
      </w:r>
      <w:r w:rsidR="000D1C53">
        <w:rPr>
          <w:lang w:val="en-US"/>
        </w:rPr>
        <w:t>set-up</w:t>
      </w:r>
      <w:r w:rsidRPr="0000350B">
        <w:rPr>
          <w:lang w:val="en-US"/>
        </w:rPr>
        <w:t xml:space="preserve"> by the teacher and c) </w:t>
      </w:r>
      <w:r w:rsidR="000D1C53">
        <w:rPr>
          <w:lang w:val="en-US"/>
        </w:rPr>
        <w:t>implemented by</w:t>
      </w:r>
      <w:r w:rsidRPr="0000350B">
        <w:rPr>
          <w:lang w:val="en-US"/>
        </w:rPr>
        <w:t xml:space="preserve"> the</w:t>
      </w:r>
      <w:r w:rsidR="000D1C53">
        <w:rPr>
          <w:lang w:val="en-US"/>
        </w:rPr>
        <w:t xml:space="preserve"> teacher and</w:t>
      </w:r>
      <w:r w:rsidRPr="0000350B">
        <w:rPr>
          <w:lang w:val="en-US"/>
        </w:rPr>
        <w:t xml:space="preserve"> student</w:t>
      </w:r>
      <w:r w:rsidR="000D1C53">
        <w:rPr>
          <w:lang w:val="en-US"/>
        </w:rPr>
        <w:t>s</w:t>
      </w:r>
      <w:r w:rsidR="001A4369">
        <w:rPr>
          <w:lang w:val="en-US"/>
        </w:rPr>
        <w:t xml:space="preserve"> </w:t>
      </w:r>
      <w:r w:rsidR="001A4369" w:rsidRPr="001A4369">
        <w:t>(Tekkumru-Kisa et al., 2020)</w:t>
      </w:r>
      <w:r w:rsidR="001A4369">
        <w:rPr>
          <w:lang w:val="en-US"/>
        </w:rPr>
        <w:t>.</w:t>
      </w:r>
      <w:r w:rsidRPr="0000350B">
        <w:rPr>
          <w:lang w:val="en-US"/>
        </w:rPr>
        <w:t xml:space="preserve"> </w:t>
      </w:r>
      <w:r w:rsidR="001A4369">
        <w:rPr>
          <w:lang w:val="en-US"/>
        </w:rPr>
        <w:t xml:space="preserve">Likewise, in a reflection on the articles in an edition of ZDM Mathematics Education focusing on task design, </w:t>
      </w:r>
      <w:r w:rsidRPr="0000350B">
        <w:rPr>
          <w:lang w:val="en-US"/>
        </w:rPr>
        <w:t xml:space="preserve">Thanheiser </w:t>
      </w:r>
      <w:r w:rsidRPr="0000350B">
        <w:rPr>
          <w:szCs w:val="26"/>
          <w:lang w:val="en-US"/>
        </w:rPr>
        <w:t>(2017)</w:t>
      </w:r>
      <w:r w:rsidRPr="0000350B">
        <w:rPr>
          <w:lang w:val="en-US"/>
        </w:rPr>
        <w:t xml:space="preserve"> states that “tasks cannot be considered independently from their enactment”</w:t>
      </w:r>
      <w:r w:rsidR="001A4369">
        <w:rPr>
          <w:lang w:val="en-US"/>
        </w:rPr>
        <w:t xml:space="preserve">. </w:t>
      </w:r>
    </w:p>
    <w:p w14:paraId="166B9017" w14:textId="1F6A79FF" w:rsidR="0000350B" w:rsidRPr="0000350B" w:rsidRDefault="0000350B" w:rsidP="0000350B">
      <w:pPr>
        <w:rPr>
          <w:lang w:val="en-US"/>
        </w:rPr>
      </w:pPr>
      <w:r w:rsidRPr="0000350B">
        <w:rPr>
          <w:lang w:val="en-US"/>
        </w:rPr>
        <w:t xml:space="preserve">The </w:t>
      </w:r>
      <w:r w:rsidR="001A4369">
        <w:rPr>
          <w:lang w:val="en-US"/>
        </w:rPr>
        <w:t>focus</w:t>
      </w:r>
      <w:r w:rsidR="001A4369" w:rsidRPr="0000350B">
        <w:rPr>
          <w:lang w:val="en-US"/>
        </w:rPr>
        <w:t xml:space="preserve"> </w:t>
      </w:r>
      <w:r w:rsidRPr="0000350B">
        <w:rPr>
          <w:lang w:val="en-US"/>
        </w:rPr>
        <w:t xml:space="preserve">on concepts such as intention, alignment, </w:t>
      </w:r>
      <w:r w:rsidR="00AD52C9" w:rsidRPr="0000350B">
        <w:rPr>
          <w:lang w:val="en-US"/>
        </w:rPr>
        <w:t>implementation,</w:t>
      </w:r>
      <w:r w:rsidRPr="0000350B">
        <w:rPr>
          <w:lang w:val="en-US"/>
        </w:rPr>
        <w:t xml:space="preserve"> and enactment, </w:t>
      </w:r>
      <w:r w:rsidR="00314C92" w:rsidRPr="0000350B">
        <w:rPr>
          <w:lang w:val="en-US"/>
        </w:rPr>
        <w:t>when</w:t>
      </w:r>
      <w:r w:rsidRPr="0000350B">
        <w:rPr>
          <w:lang w:val="en-US"/>
        </w:rPr>
        <w:t xml:space="preserve"> used in conjunction with the idea of design, draws something of a line between the designer, who is often also a researcher, and the teacher thought of </w:t>
      </w:r>
      <w:r w:rsidR="00453E25">
        <w:rPr>
          <w:lang w:val="en-US"/>
        </w:rPr>
        <w:t xml:space="preserve">as </w:t>
      </w:r>
      <w:r w:rsidRPr="0000350B">
        <w:rPr>
          <w:lang w:val="en-US"/>
        </w:rPr>
        <w:t xml:space="preserve">an implementer of the designer’s ideas. The researcher-teacher divide becomes particularly salient when formulated in terms of fidelity </w:t>
      </w:r>
      <w:r w:rsidRPr="0000350B">
        <w:rPr>
          <w:szCs w:val="26"/>
          <w:lang w:val="en-US"/>
        </w:rPr>
        <w:t>(Century &amp; Cassata, 2016)</w:t>
      </w:r>
      <w:r w:rsidRPr="0000350B">
        <w:rPr>
          <w:lang w:val="en-US"/>
        </w:rPr>
        <w:t xml:space="preserve">. A fidelity focus may indeed promote something of a </w:t>
      </w:r>
      <w:r w:rsidR="00AD52C9" w:rsidRPr="0000350B">
        <w:rPr>
          <w:lang w:val="en-US"/>
        </w:rPr>
        <w:t>defect-oriented</w:t>
      </w:r>
      <w:r w:rsidRPr="0000350B">
        <w:rPr>
          <w:lang w:val="en-US"/>
        </w:rPr>
        <w:t xml:space="preserve"> perspective on the teacher, as either capable or not capable of carrying out the intentions of the designer. It can be argued that such a divide goes quite deep. The work for the researcher can be summari</w:t>
      </w:r>
      <w:r w:rsidR="00E96FC6">
        <w:rPr>
          <w:lang w:val="en-US"/>
        </w:rPr>
        <w:t>z</w:t>
      </w:r>
      <w:r w:rsidRPr="0000350B">
        <w:rPr>
          <w:lang w:val="en-US"/>
        </w:rPr>
        <w:t xml:space="preserve">ed as focusing on certain theoretically supported and explicitly stated perspectives and providing specific descriptions </w:t>
      </w:r>
      <w:r w:rsidR="00453E25">
        <w:rPr>
          <w:lang w:val="en-US"/>
        </w:rPr>
        <w:t>of</w:t>
      </w:r>
      <w:r w:rsidRPr="0000350B">
        <w:rPr>
          <w:lang w:val="en-US"/>
        </w:rPr>
        <w:t xml:space="preserve"> what is focused</w:t>
      </w:r>
      <w:r w:rsidR="00453E25">
        <w:rPr>
          <w:lang w:val="en-US"/>
        </w:rPr>
        <w:t xml:space="preserve"> on</w:t>
      </w:r>
      <w:r w:rsidRPr="0000350B">
        <w:rPr>
          <w:lang w:val="en-US"/>
        </w:rPr>
        <w:t xml:space="preserve">. The teacher, on the other hand, must attend to </w:t>
      </w:r>
      <w:r w:rsidR="0025487C">
        <w:rPr>
          <w:lang w:val="en-US"/>
        </w:rPr>
        <w:t>many</w:t>
      </w:r>
      <w:r w:rsidR="0025487C" w:rsidRPr="0000350B">
        <w:rPr>
          <w:lang w:val="en-US"/>
        </w:rPr>
        <w:t xml:space="preserve"> </w:t>
      </w:r>
      <w:r w:rsidRPr="0000350B">
        <w:rPr>
          <w:lang w:val="en-US"/>
        </w:rPr>
        <w:t>issues at once</w:t>
      </w:r>
      <w:r w:rsidR="002E5F82">
        <w:rPr>
          <w:lang w:val="en-US"/>
        </w:rPr>
        <w:t xml:space="preserve"> in the classroom </w:t>
      </w:r>
      <w:r w:rsidR="00AD52C9" w:rsidRPr="0000350B">
        <w:rPr>
          <w:lang w:val="en-US"/>
        </w:rPr>
        <w:t>and “</w:t>
      </w:r>
      <w:r w:rsidRPr="0000350B">
        <w:rPr>
          <w:lang w:val="en-US"/>
        </w:rPr>
        <w:t xml:space="preserve">develop implicit theories of action in order to make </w:t>
      </w:r>
      <w:r w:rsidRPr="0000350B">
        <w:rPr>
          <w:lang w:val="en-US"/>
        </w:rPr>
        <w:lastRenderedPageBreak/>
        <w:t xml:space="preserve">professional life tolerable [as there are] too many variables to take into account at once” </w:t>
      </w:r>
      <w:r w:rsidRPr="0000350B">
        <w:rPr>
          <w:szCs w:val="26"/>
          <w:lang w:val="en-US"/>
        </w:rPr>
        <w:t>(Eraut, 1994, p. 34)</w:t>
      </w:r>
      <w:r w:rsidRPr="0000350B">
        <w:rPr>
          <w:lang w:val="en-US"/>
        </w:rPr>
        <w:t>. </w:t>
      </w:r>
    </w:p>
    <w:p w14:paraId="6B45F2E2" w14:textId="0D46B76D" w:rsidR="00161962" w:rsidRDefault="0000350B" w:rsidP="00161962">
      <w:pPr>
        <w:rPr>
          <w:lang w:val="en-US"/>
        </w:rPr>
      </w:pPr>
      <w:r w:rsidRPr="0000350B">
        <w:rPr>
          <w:lang w:val="en-US"/>
        </w:rPr>
        <w:t xml:space="preserve">This brings us to the issue of frameworks developed to analyze tasks. </w:t>
      </w:r>
      <w:r w:rsidR="00AD52C9" w:rsidRPr="0000350B">
        <w:rPr>
          <w:lang w:val="en-US"/>
        </w:rPr>
        <w:t>Typically,</w:t>
      </w:r>
      <w:r w:rsidRPr="0000350B">
        <w:rPr>
          <w:lang w:val="en-US"/>
        </w:rPr>
        <w:t xml:space="preserve"> being developed by researchers, such frameworks should reasonably come with some explicit or implicit foci reflecting </w:t>
      </w:r>
      <w:r w:rsidR="00AD52C9" w:rsidRPr="0000350B">
        <w:rPr>
          <w:lang w:val="en-US"/>
        </w:rPr>
        <w:t>the researcher’s</w:t>
      </w:r>
      <w:r w:rsidRPr="0000350B">
        <w:rPr>
          <w:lang w:val="en-US"/>
        </w:rPr>
        <w:t xml:space="preserve"> interest. It is, therefore, interesting to ask what happens when such frameworks are used to analyze the task choice and implementation of a</w:t>
      </w:r>
      <w:r w:rsidR="00260048">
        <w:rPr>
          <w:lang w:val="en-US"/>
        </w:rPr>
        <w:t xml:space="preserve">n experienced teacher. </w:t>
      </w:r>
      <w:r w:rsidR="00CD2398">
        <w:rPr>
          <w:lang w:val="en-US"/>
        </w:rPr>
        <w:t xml:space="preserve">In this study we consider </w:t>
      </w:r>
      <w:r w:rsidR="001A4369">
        <w:rPr>
          <w:lang w:val="en-US"/>
        </w:rPr>
        <w:t xml:space="preserve">the case of </w:t>
      </w:r>
      <w:r w:rsidR="00CD2398">
        <w:rPr>
          <w:lang w:val="en-US"/>
        </w:rPr>
        <w:t xml:space="preserve">a task chosen, </w:t>
      </w:r>
      <w:r w:rsidR="001A4369">
        <w:rPr>
          <w:lang w:val="en-US"/>
        </w:rPr>
        <w:t>modified,</w:t>
      </w:r>
      <w:r w:rsidR="00CD2398">
        <w:rPr>
          <w:lang w:val="en-US"/>
        </w:rPr>
        <w:t xml:space="preserve"> and implemented by a teache</w:t>
      </w:r>
      <w:r w:rsidR="001A4369">
        <w:rPr>
          <w:lang w:val="en-US"/>
        </w:rPr>
        <w:t>r</w:t>
      </w:r>
      <w:r w:rsidR="00CD2398">
        <w:rPr>
          <w:lang w:val="en-US"/>
        </w:rPr>
        <w:t xml:space="preserve">, and apply three different researcher developed frameworks to it. </w:t>
      </w:r>
      <w:r w:rsidR="00260048">
        <w:rPr>
          <w:lang w:val="en-US"/>
        </w:rPr>
        <w:t>Using case studies for “theory</w:t>
      </w:r>
      <w:r w:rsidR="00BB0AD1">
        <w:rPr>
          <w:lang w:val="en-US"/>
        </w:rPr>
        <w:t xml:space="preserve"> </w:t>
      </w:r>
      <w:r w:rsidR="00260048">
        <w:rPr>
          <w:lang w:val="en-US"/>
        </w:rPr>
        <w:t>testing” (Thomas, 2011</w:t>
      </w:r>
      <w:r w:rsidR="00BB0AD1">
        <w:rPr>
          <w:lang w:val="en-US"/>
        </w:rPr>
        <w:t>, p 516</w:t>
      </w:r>
      <w:r w:rsidR="00260048">
        <w:rPr>
          <w:lang w:val="en-US"/>
        </w:rPr>
        <w:t xml:space="preserve">) has been done previously. For example, </w:t>
      </w:r>
      <w:r w:rsidR="00260048" w:rsidRPr="00311382">
        <w:t xml:space="preserve">Phipps </w:t>
      </w:r>
      <w:r w:rsidR="00703A1B">
        <w:rPr>
          <w:strike/>
        </w:rPr>
        <w:t>a</w:t>
      </w:r>
      <w:r w:rsidR="00ED42DC" w:rsidRPr="00ED42DC">
        <w:t xml:space="preserve">nd </w:t>
      </w:r>
      <w:r w:rsidR="00260048" w:rsidRPr="00311382">
        <w:t xml:space="preserve">Merisotis, </w:t>
      </w:r>
      <w:r w:rsidR="00260048">
        <w:t>(</w:t>
      </w:r>
      <w:r w:rsidR="00260048" w:rsidRPr="00311382">
        <w:t>2000)</w:t>
      </w:r>
      <w:r w:rsidR="00260048">
        <w:rPr>
          <w:lang w:val="en-US"/>
        </w:rPr>
        <w:t xml:space="preserve"> used the case study method to investigate the alignment between a framework that describes quality in distance education with the actual practices as perceived by university leaders, teachers</w:t>
      </w:r>
      <w:r w:rsidR="00703A1B">
        <w:rPr>
          <w:lang w:val="en-US"/>
        </w:rPr>
        <w:t>,</w:t>
      </w:r>
      <w:r w:rsidR="00260048">
        <w:rPr>
          <w:lang w:val="en-US"/>
        </w:rPr>
        <w:t xml:space="preserve"> and students. We would like to follow Phipps</w:t>
      </w:r>
      <w:r w:rsidR="00703A1B">
        <w:rPr>
          <w:lang w:val="en-US"/>
        </w:rPr>
        <w:t xml:space="preserve"> and</w:t>
      </w:r>
      <w:r w:rsidR="00260048">
        <w:rPr>
          <w:lang w:val="en-US"/>
        </w:rPr>
        <w:t xml:space="preserve"> Merisotis’ approach, albeit in </w:t>
      </w:r>
      <w:r w:rsidR="00D773D0">
        <w:rPr>
          <w:lang w:val="en-US"/>
        </w:rPr>
        <w:t xml:space="preserve">a </w:t>
      </w:r>
      <w:r w:rsidR="00260048">
        <w:rPr>
          <w:lang w:val="en-US"/>
        </w:rPr>
        <w:t xml:space="preserve">much smaller scale, to use a case of a teacher implementing a task in order to </w:t>
      </w:r>
      <w:r w:rsidR="00BB0AD1">
        <w:rPr>
          <w:lang w:val="en-US"/>
        </w:rPr>
        <w:t>test</w:t>
      </w:r>
      <w:r w:rsidR="00260048">
        <w:rPr>
          <w:lang w:val="en-US"/>
        </w:rPr>
        <w:t xml:space="preserve"> common frameworks of task implementation. </w:t>
      </w:r>
    </w:p>
    <w:p w14:paraId="277AD9B3" w14:textId="391B5906" w:rsidR="00161962" w:rsidRDefault="00161962" w:rsidP="00CD2398">
      <w:pPr>
        <w:rPr>
          <w:lang w:val="en-US"/>
        </w:rPr>
      </w:pPr>
      <w:r w:rsidRPr="0000350B">
        <w:rPr>
          <w:lang w:val="en-US"/>
        </w:rPr>
        <w:t>The</w:t>
      </w:r>
      <w:r w:rsidR="00CD2398">
        <w:rPr>
          <w:lang w:val="en-US"/>
        </w:rPr>
        <w:t xml:space="preserve"> three frameworks</w:t>
      </w:r>
      <w:r w:rsidRPr="0000350B">
        <w:rPr>
          <w:lang w:val="en-US"/>
        </w:rPr>
        <w:t xml:space="preserve"> </w:t>
      </w:r>
      <w:r w:rsidR="00CD2398">
        <w:rPr>
          <w:lang w:val="en-US"/>
        </w:rPr>
        <w:t>chosen for this investigation</w:t>
      </w:r>
      <w:r w:rsidR="00CD2398" w:rsidRPr="0000350B">
        <w:rPr>
          <w:lang w:val="en-US"/>
        </w:rPr>
        <w:t xml:space="preserve"> </w:t>
      </w:r>
      <w:r w:rsidRPr="0000350B">
        <w:rPr>
          <w:lang w:val="en-US"/>
        </w:rPr>
        <w:t>were selected based on being a) similar in concerning themselves with cognitively challenging tasks, b) different in how fine-grained analysis they offer</w:t>
      </w:r>
      <w:r>
        <w:rPr>
          <w:lang w:val="en-US"/>
        </w:rPr>
        <w:t>,</w:t>
      </w:r>
      <w:r w:rsidRPr="0000350B">
        <w:rPr>
          <w:lang w:val="en-US"/>
        </w:rPr>
        <w:t xml:space="preserve"> and c) stemming from three different academic contexts. Among the three frameworks, </w:t>
      </w:r>
      <w:r w:rsidR="00BB0AD1">
        <w:rPr>
          <w:lang w:val="en-US"/>
        </w:rPr>
        <w:t>two</w:t>
      </w:r>
      <w:r w:rsidRPr="0000350B">
        <w:rPr>
          <w:lang w:val="en-US"/>
        </w:rPr>
        <w:t xml:space="preserve"> have a quite analytical focus (COACTIV and Stein’s) and one has an explicit design perspective (CMR</w:t>
      </w:r>
      <w:r>
        <w:rPr>
          <w:lang w:val="en-US"/>
        </w:rPr>
        <w:t>)</w:t>
      </w:r>
      <w:r w:rsidRPr="0000350B">
        <w:rPr>
          <w:lang w:val="en-US"/>
        </w:rPr>
        <w:t xml:space="preserve">. This means that the </w:t>
      </w:r>
      <w:r>
        <w:rPr>
          <w:lang w:val="en-US"/>
        </w:rPr>
        <w:t>combined</w:t>
      </w:r>
      <w:r w:rsidRPr="0000350B">
        <w:rPr>
          <w:lang w:val="en-US"/>
        </w:rPr>
        <w:t xml:space="preserve"> selection of frameworks </w:t>
      </w:r>
      <w:r>
        <w:rPr>
          <w:lang w:val="en-US"/>
        </w:rPr>
        <w:t>has</w:t>
      </w:r>
      <w:r w:rsidRPr="0000350B">
        <w:rPr>
          <w:lang w:val="en-US"/>
        </w:rPr>
        <w:t xml:space="preserve"> </w:t>
      </w:r>
      <w:r w:rsidR="00BB0AD1">
        <w:rPr>
          <w:lang w:val="en-US"/>
        </w:rPr>
        <w:t xml:space="preserve">the </w:t>
      </w:r>
      <w:r w:rsidRPr="0000350B">
        <w:rPr>
          <w:lang w:val="en-US"/>
        </w:rPr>
        <w:t xml:space="preserve">potential to </w:t>
      </w:r>
      <w:r w:rsidR="00BB0AD1">
        <w:rPr>
          <w:lang w:val="en-US"/>
        </w:rPr>
        <w:t>capture</w:t>
      </w:r>
      <w:r w:rsidR="00BB0AD1" w:rsidRPr="0000350B">
        <w:rPr>
          <w:lang w:val="en-US"/>
        </w:rPr>
        <w:t xml:space="preserve"> </w:t>
      </w:r>
      <w:r w:rsidRPr="0000350B">
        <w:rPr>
          <w:lang w:val="en-US"/>
        </w:rPr>
        <w:t>different aspects of task characteristics and implementation when applied to a specific case of task implementation. </w:t>
      </w:r>
    </w:p>
    <w:p w14:paraId="37836EF0" w14:textId="60191C5E" w:rsidR="0000350B" w:rsidRPr="0000350B" w:rsidRDefault="00817E71" w:rsidP="0000350B">
      <w:pPr>
        <w:rPr>
          <w:lang w:val="en-US"/>
        </w:rPr>
      </w:pPr>
      <w:r>
        <w:rPr>
          <w:lang w:val="en-US"/>
        </w:rPr>
        <w:t xml:space="preserve">Could </w:t>
      </w:r>
      <w:r w:rsidR="0000350B" w:rsidRPr="0000350B">
        <w:rPr>
          <w:lang w:val="en-US"/>
        </w:rPr>
        <w:t xml:space="preserve">it be that </w:t>
      </w:r>
      <w:r w:rsidR="00CD2398">
        <w:rPr>
          <w:lang w:val="en-US"/>
        </w:rPr>
        <w:t>an experienced</w:t>
      </w:r>
      <w:r w:rsidR="0000350B" w:rsidRPr="0000350B">
        <w:rPr>
          <w:lang w:val="en-US"/>
        </w:rPr>
        <w:t xml:space="preserve"> teacher's use and perspective on </w:t>
      </w:r>
      <w:r w:rsidR="009C2E11">
        <w:rPr>
          <w:lang w:val="en-US"/>
        </w:rPr>
        <w:t xml:space="preserve">rich </w:t>
      </w:r>
      <w:r w:rsidR="0000350B" w:rsidRPr="0000350B">
        <w:rPr>
          <w:lang w:val="en-US"/>
        </w:rPr>
        <w:t xml:space="preserve">tasks may contain a selection of issues that established task analysis and task design frameworks will not capture? This is what we will examine in this paper by </w:t>
      </w:r>
      <w:r w:rsidR="00161962">
        <w:rPr>
          <w:lang w:val="en-US"/>
        </w:rPr>
        <w:t>applying the</w:t>
      </w:r>
      <w:r w:rsidR="00161962" w:rsidRPr="0000350B">
        <w:rPr>
          <w:lang w:val="en-US"/>
        </w:rPr>
        <w:t xml:space="preserve"> </w:t>
      </w:r>
      <w:r w:rsidR="0000350B" w:rsidRPr="0000350B">
        <w:rPr>
          <w:lang w:val="en-US"/>
        </w:rPr>
        <w:t xml:space="preserve">three task frameworks to a teacher's task formulation and described implementation. The research question we ask is: </w:t>
      </w:r>
      <w:r w:rsidR="0000350B" w:rsidRPr="0000350B">
        <w:rPr>
          <w:i/>
          <w:iCs/>
          <w:lang w:val="en-US"/>
        </w:rPr>
        <w:t xml:space="preserve">What aspects of a teacher’s task implementation can a selection of </w:t>
      </w:r>
      <w:r w:rsidR="00161962">
        <w:rPr>
          <w:i/>
          <w:iCs/>
          <w:lang w:val="en-US"/>
        </w:rPr>
        <w:t xml:space="preserve">these </w:t>
      </w:r>
      <w:r w:rsidR="0000350B" w:rsidRPr="0000350B">
        <w:rPr>
          <w:i/>
          <w:iCs/>
          <w:lang w:val="en-US"/>
        </w:rPr>
        <w:t>three task frameworks capture?</w:t>
      </w:r>
    </w:p>
    <w:p w14:paraId="4843C9F3" w14:textId="77777777" w:rsidR="0000350B" w:rsidRDefault="0000350B" w:rsidP="0000350B">
      <w:pPr>
        <w:pStyle w:val="Rubrik3"/>
      </w:pPr>
      <w:r>
        <w:t xml:space="preserve">Description of the </w:t>
      </w:r>
      <w:r w:rsidRPr="0000350B">
        <w:t>frameworks</w:t>
      </w:r>
    </w:p>
    <w:p w14:paraId="75084847" w14:textId="7210E25F" w:rsidR="00631228" w:rsidRDefault="00676345" w:rsidP="00631228">
      <w:pPr>
        <w:pStyle w:val="Brdtext"/>
        <w:rPr>
          <w:lang w:val="en-US"/>
        </w:rPr>
      </w:pPr>
      <w:r>
        <w:rPr>
          <w:lang w:val="en-US"/>
        </w:rPr>
        <w:t>Among</w:t>
      </w:r>
      <w:r w:rsidR="0000350B" w:rsidRPr="0000350B">
        <w:rPr>
          <w:lang w:val="en-US"/>
        </w:rPr>
        <w:t xml:space="preserve"> multiple frameworks available in the research literature, three commonly used frameworks will be considered: Stein’s framework for analysis of mathematical tasks </w:t>
      </w:r>
      <w:r w:rsidR="0000350B" w:rsidRPr="00631228">
        <w:rPr>
          <w:lang w:val="en-US"/>
        </w:rPr>
        <w:t>(Stein et al., 1996)</w:t>
      </w:r>
      <w:r w:rsidR="0000350B" w:rsidRPr="0000350B">
        <w:rPr>
          <w:lang w:val="en-US"/>
        </w:rPr>
        <w:t xml:space="preserve">, </w:t>
      </w:r>
      <w:r w:rsidR="0000350B" w:rsidRPr="001A4369">
        <w:rPr>
          <w:lang w:val="en-US"/>
        </w:rPr>
        <w:t>Cognitive Activation in the Mathematics Classroom</w:t>
      </w:r>
      <w:r w:rsidR="0000350B" w:rsidRPr="0000350B">
        <w:rPr>
          <w:lang w:val="en-US"/>
        </w:rPr>
        <w:t xml:space="preserve"> </w:t>
      </w:r>
      <w:r w:rsidR="0000350B" w:rsidRPr="00631228">
        <w:rPr>
          <w:lang w:val="en-US"/>
        </w:rPr>
        <w:t>(</w:t>
      </w:r>
      <w:r w:rsidRPr="0000350B">
        <w:rPr>
          <w:lang w:val="en-US"/>
        </w:rPr>
        <w:t>COACTIV</w:t>
      </w:r>
      <w:r w:rsidR="00B12202">
        <w:rPr>
          <w:lang w:val="en-US"/>
        </w:rPr>
        <w:t>) (</w:t>
      </w:r>
      <w:r w:rsidR="0000350B" w:rsidRPr="00631228">
        <w:rPr>
          <w:lang w:val="en-US"/>
        </w:rPr>
        <w:t>Neubrand et al., 2013)</w:t>
      </w:r>
      <w:r w:rsidR="0000350B" w:rsidRPr="0000350B">
        <w:rPr>
          <w:lang w:val="en-US"/>
        </w:rPr>
        <w:t xml:space="preserve">, and Lithner’s “Creative Mathematically Founded Reasoning framework for task design” </w:t>
      </w:r>
      <w:r w:rsidR="00B12202">
        <w:rPr>
          <w:lang w:val="en-US"/>
        </w:rPr>
        <w:t xml:space="preserve">(CMR) </w:t>
      </w:r>
      <w:r w:rsidR="0000350B" w:rsidRPr="0000350B">
        <w:rPr>
          <w:lang w:val="en-US"/>
        </w:rPr>
        <w:t>(</w:t>
      </w:r>
      <w:r w:rsidR="0000350B" w:rsidRPr="00631228">
        <w:rPr>
          <w:lang w:val="en-US"/>
        </w:rPr>
        <w:t>Lithner, 2017)</w:t>
      </w:r>
      <w:r w:rsidR="0000350B" w:rsidRPr="0000350B">
        <w:rPr>
          <w:lang w:val="en-US"/>
        </w:rPr>
        <w:t>. </w:t>
      </w:r>
      <w:r w:rsidR="00BB0AD1">
        <w:rPr>
          <w:lang w:val="en-US"/>
        </w:rPr>
        <w:t>In this section, we summarize the main ideas and applications of the frameworks and leave the</w:t>
      </w:r>
      <w:r w:rsidR="001A4369">
        <w:rPr>
          <w:lang w:val="en-US"/>
        </w:rPr>
        <w:t xml:space="preserve"> details of these frameworks </w:t>
      </w:r>
      <w:r w:rsidR="00BB0AD1">
        <w:rPr>
          <w:lang w:val="en-US"/>
        </w:rPr>
        <w:t xml:space="preserve">for </w:t>
      </w:r>
      <w:r w:rsidR="001A4369">
        <w:rPr>
          <w:lang w:val="en-US"/>
        </w:rPr>
        <w:t xml:space="preserve">the Results section where they are presented in relation to the teacher’s task </w:t>
      </w:r>
      <w:r w:rsidR="00E75257">
        <w:rPr>
          <w:lang w:val="en-US"/>
        </w:rPr>
        <w:t xml:space="preserve">formulation </w:t>
      </w:r>
      <w:r w:rsidR="001A4369">
        <w:rPr>
          <w:lang w:val="en-US"/>
        </w:rPr>
        <w:t>and description of implementation.</w:t>
      </w:r>
      <w:r w:rsidR="00E75257">
        <w:rPr>
          <w:lang w:val="en-US"/>
        </w:rPr>
        <w:t xml:space="preserve"> </w:t>
      </w:r>
    </w:p>
    <w:p w14:paraId="0AEF1E1C" w14:textId="6C561C21" w:rsidR="0000350B" w:rsidRPr="0000350B" w:rsidRDefault="0000350B" w:rsidP="001A4369">
      <w:pPr>
        <w:rPr>
          <w:lang w:val="en-US"/>
        </w:rPr>
      </w:pPr>
      <w:r w:rsidRPr="00913F45">
        <w:rPr>
          <w:lang w:val="en-US"/>
        </w:rPr>
        <w:t xml:space="preserve">In Stein’s (1996) framework, tasks can be considered in terms of their inherent features </w:t>
      </w:r>
      <w:r w:rsidR="00BB0AD1">
        <w:rPr>
          <w:lang w:val="en-US"/>
        </w:rPr>
        <w:t xml:space="preserve">(qualities of the task formulation itself) </w:t>
      </w:r>
      <w:r w:rsidRPr="00913F45">
        <w:rPr>
          <w:lang w:val="en-US"/>
        </w:rPr>
        <w:t>and cognitive demands</w:t>
      </w:r>
      <w:r w:rsidR="00BB0AD1">
        <w:rPr>
          <w:lang w:val="en-US"/>
        </w:rPr>
        <w:t xml:space="preserve"> (capacities students must call on to successfully solve the task)</w:t>
      </w:r>
      <w:r w:rsidRPr="00913F45">
        <w:rPr>
          <w:lang w:val="en-US"/>
        </w:rPr>
        <w:t xml:space="preserve">. </w:t>
      </w:r>
      <w:r w:rsidR="00710759">
        <w:rPr>
          <w:lang w:val="en-US"/>
        </w:rPr>
        <w:t>The task features and cognitive demands</w:t>
      </w:r>
      <w:r w:rsidR="00710759" w:rsidRPr="0000350B">
        <w:rPr>
          <w:lang w:val="en-US"/>
        </w:rPr>
        <w:t xml:space="preserve"> </w:t>
      </w:r>
      <w:r w:rsidRPr="0000350B">
        <w:rPr>
          <w:lang w:val="en-US"/>
        </w:rPr>
        <w:t xml:space="preserve">are brought to the students through the teacher’s </w:t>
      </w:r>
      <w:r w:rsidR="00515ACD">
        <w:rPr>
          <w:lang w:val="en-US"/>
        </w:rPr>
        <w:t>framing of the implementation</w:t>
      </w:r>
      <w:r w:rsidRPr="0000350B">
        <w:rPr>
          <w:lang w:val="en-US"/>
        </w:rPr>
        <w:t xml:space="preserve"> </w:t>
      </w:r>
      <w:r w:rsidRPr="0000350B">
        <w:rPr>
          <w:lang w:val="en-US"/>
        </w:rPr>
        <w:lastRenderedPageBreak/>
        <w:t xml:space="preserve">of the task, which influences but does not determine student enactment of the task. </w:t>
      </w:r>
      <w:r w:rsidR="00BB0AD1">
        <w:rPr>
          <w:lang w:val="en-US"/>
        </w:rPr>
        <w:t>Successful implementation of rich tasks depends here on several teacher-controlled variables of which</w:t>
      </w:r>
      <w:r w:rsidR="00874118">
        <w:rPr>
          <w:lang w:val="en-US"/>
        </w:rPr>
        <w:t xml:space="preserve"> building on prior learning,</w:t>
      </w:r>
      <w:r w:rsidR="00BB0AD1">
        <w:rPr>
          <w:lang w:val="en-US"/>
        </w:rPr>
        <w:t xml:space="preserve"> scaffolding, appropriate timing, modelling of high-level performance, and sustained pressure for explanations or justifications, are seen as especially important </w:t>
      </w:r>
      <w:r w:rsidR="00BB0AD1" w:rsidRPr="00BB0AD1">
        <w:t>(Henningsen &amp; Stein, 1997)</w:t>
      </w:r>
      <w:r w:rsidR="00BB0AD1">
        <w:rPr>
          <w:lang w:val="en-US"/>
        </w:rPr>
        <w:t xml:space="preserve">. </w:t>
      </w:r>
      <w:r w:rsidRPr="0000350B">
        <w:rPr>
          <w:lang w:val="en-US"/>
        </w:rPr>
        <w:t xml:space="preserve">Since </w:t>
      </w:r>
      <w:r w:rsidR="00515ACD">
        <w:rPr>
          <w:lang w:val="en-US"/>
        </w:rPr>
        <w:t>its</w:t>
      </w:r>
      <w:r w:rsidRPr="0000350B">
        <w:rPr>
          <w:lang w:val="en-US"/>
        </w:rPr>
        <w:t xml:space="preserve"> publication in 1996, Stein’s framework has been extensively cited in research</w:t>
      </w:r>
      <w:r w:rsidR="00E96FC6">
        <w:rPr>
          <w:lang w:val="en-US"/>
        </w:rPr>
        <w:t xml:space="preserve"> </w:t>
      </w:r>
      <w:r w:rsidR="00515ACD">
        <w:rPr>
          <w:lang w:val="en-US"/>
        </w:rPr>
        <w:t>on</w:t>
      </w:r>
      <w:r w:rsidRPr="0000350B">
        <w:rPr>
          <w:lang w:val="en-US"/>
        </w:rPr>
        <w:t xml:space="preserve"> teachers and students as agents in the use of tasks</w:t>
      </w:r>
      <w:r w:rsidR="00E96FC6">
        <w:rPr>
          <w:lang w:val="en-US"/>
        </w:rPr>
        <w:t>.</w:t>
      </w:r>
    </w:p>
    <w:p w14:paraId="1262CEA6" w14:textId="5F4C878A" w:rsidR="0000350B" w:rsidRPr="0000350B" w:rsidRDefault="0000350B" w:rsidP="0000350B">
      <w:pPr>
        <w:rPr>
          <w:lang w:val="en-US"/>
        </w:rPr>
      </w:pPr>
      <w:r w:rsidRPr="0000350B">
        <w:rPr>
          <w:lang w:val="en-US"/>
        </w:rPr>
        <w:t>Within the COACTIV framework, the task is analy</w:t>
      </w:r>
      <w:r w:rsidR="00E34FDA">
        <w:rPr>
          <w:lang w:val="en-US"/>
        </w:rPr>
        <w:t>z</w:t>
      </w:r>
      <w:r w:rsidRPr="0000350B">
        <w:rPr>
          <w:lang w:val="en-US"/>
        </w:rPr>
        <w:t xml:space="preserve">ed according to ten different categories thought to elicit higher levels of cognitive activation in learners that engage with the tasks, with each category evaluated on a numerical </w:t>
      </w:r>
      <w:r w:rsidR="0002588A">
        <w:rPr>
          <w:lang w:val="en-US"/>
        </w:rPr>
        <w:t xml:space="preserve">scale (Neubrand, 2013). </w:t>
      </w:r>
      <w:r w:rsidR="00CA5D71">
        <w:rPr>
          <w:lang w:val="en-US"/>
        </w:rPr>
        <w:t>The COACTIV</w:t>
      </w:r>
      <w:r w:rsidR="00CA5D71" w:rsidRPr="0000350B">
        <w:rPr>
          <w:lang w:val="en-US"/>
        </w:rPr>
        <w:t xml:space="preserve"> </w:t>
      </w:r>
      <w:r w:rsidRPr="0000350B">
        <w:rPr>
          <w:lang w:val="en-US"/>
        </w:rPr>
        <w:t xml:space="preserve">classification framework </w:t>
      </w:r>
      <w:r w:rsidR="009C2E11">
        <w:rPr>
          <w:lang w:val="en-US"/>
        </w:rPr>
        <w:t>is</w:t>
      </w:r>
      <w:r w:rsidRPr="0000350B">
        <w:rPr>
          <w:lang w:val="en-US"/>
        </w:rPr>
        <w:t xml:space="preserve"> focused on the task as intended or formulated</w:t>
      </w:r>
      <w:r w:rsidR="00CA66A9">
        <w:rPr>
          <w:lang w:val="en-US"/>
        </w:rPr>
        <w:t xml:space="preserve"> (rather than the framing for its implementation</w:t>
      </w:r>
      <w:r w:rsidR="008F08F2">
        <w:rPr>
          <w:lang w:val="en-US"/>
        </w:rPr>
        <w:t>) and</w:t>
      </w:r>
      <w:r w:rsidRPr="0000350B">
        <w:rPr>
          <w:lang w:val="en-US"/>
        </w:rPr>
        <w:t xml:space="preserve"> has primarily been used to </w:t>
      </w:r>
      <w:r w:rsidR="00E34FDA" w:rsidRPr="0000350B">
        <w:rPr>
          <w:lang w:val="en-US"/>
        </w:rPr>
        <w:t>analyze</w:t>
      </w:r>
      <w:r w:rsidRPr="0000350B">
        <w:rPr>
          <w:lang w:val="en-US"/>
        </w:rPr>
        <w:t xml:space="preserve"> written formulations of tasks (most notably in Neubrand, 2013)</w:t>
      </w:r>
      <w:r w:rsidR="008F08F2">
        <w:rPr>
          <w:lang w:val="en-US"/>
        </w:rPr>
        <w:t>.</w:t>
      </w:r>
      <w:r w:rsidRPr="0000350B">
        <w:rPr>
          <w:lang w:val="en-US"/>
        </w:rPr>
        <w:t xml:space="preserve"> </w:t>
      </w:r>
      <w:r w:rsidR="006152C9">
        <w:rPr>
          <w:lang w:val="en-US"/>
        </w:rPr>
        <w:t>The classification framework</w:t>
      </w:r>
      <w:r w:rsidR="008F08F2">
        <w:rPr>
          <w:lang w:val="en-US"/>
        </w:rPr>
        <w:t xml:space="preserve"> </w:t>
      </w:r>
      <w:r w:rsidRPr="0000350B">
        <w:rPr>
          <w:lang w:val="en-US"/>
        </w:rPr>
        <w:t>does not explicitly address classroom implementation. Instead</w:t>
      </w:r>
      <w:r>
        <w:rPr>
          <w:lang w:val="en-US"/>
        </w:rPr>
        <w:t>,</w:t>
      </w:r>
      <w:r w:rsidRPr="0000350B">
        <w:rPr>
          <w:lang w:val="en-US"/>
        </w:rPr>
        <w:t xml:space="preserve"> the</w:t>
      </w:r>
      <w:r w:rsidR="00BB0AD1">
        <w:rPr>
          <w:lang w:val="en-US"/>
        </w:rPr>
        <w:t xml:space="preserve"> related</w:t>
      </w:r>
      <w:r w:rsidRPr="0000350B">
        <w:rPr>
          <w:lang w:val="en-US"/>
        </w:rPr>
        <w:t xml:space="preserve"> COACTIV Quality Instruction model </w:t>
      </w:r>
      <w:r w:rsidRPr="0000350B">
        <w:rPr>
          <w:szCs w:val="26"/>
          <w:lang w:val="en-US"/>
        </w:rPr>
        <w:t>(Kunter &amp; Voss, 2013)</w:t>
      </w:r>
      <w:r w:rsidRPr="0000350B">
        <w:rPr>
          <w:lang w:val="en-US"/>
        </w:rPr>
        <w:t>, developed for and validated by analysis of teaching in lessons, may help with the analysis of implementation of tasks. This model conceptuali</w:t>
      </w:r>
      <w:r w:rsidR="00E96FC6">
        <w:rPr>
          <w:lang w:val="en-US"/>
        </w:rPr>
        <w:t>z</w:t>
      </w:r>
      <w:r w:rsidRPr="0000350B">
        <w:rPr>
          <w:lang w:val="en-US"/>
        </w:rPr>
        <w:t>es quality of instruction as being based on cognitive activation, classroom management, and individual learning support quite generally, each consisting of multiple smaller variables. </w:t>
      </w:r>
    </w:p>
    <w:p w14:paraId="4493453D" w14:textId="15D42961" w:rsidR="002605ED" w:rsidRDefault="002605ED" w:rsidP="002605ED">
      <w:pPr>
        <w:rPr>
          <w:lang w:val="en-US"/>
        </w:rPr>
      </w:pPr>
      <w:r w:rsidRPr="002605ED">
        <w:rPr>
          <w:lang w:val="en-US"/>
        </w:rPr>
        <w:t xml:space="preserve">Lithner’s Creative Mathematical Reasoning (CMR) </w:t>
      </w:r>
      <w:r w:rsidRPr="002605ED">
        <w:t>framework (Lithner, 2008)</w:t>
      </w:r>
      <w:r>
        <w:rPr>
          <w:b/>
          <w:bCs/>
          <w:lang w:val="en-US"/>
        </w:rPr>
        <w:t xml:space="preserve"> </w:t>
      </w:r>
      <w:r w:rsidRPr="002605ED">
        <w:rPr>
          <w:lang w:val="en-US"/>
        </w:rPr>
        <w:t>defines CMR as reasoning that is novel</w:t>
      </w:r>
      <w:r w:rsidR="00E22A6D">
        <w:rPr>
          <w:lang w:val="en-US"/>
        </w:rPr>
        <w:t>,</w:t>
      </w:r>
      <w:r w:rsidRPr="002605ED">
        <w:rPr>
          <w:lang w:val="en-US"/>
        </w:rPr>
        <w:t xml:space="preserve"> plausible to the reasoner</w:t>
      </w:r>
      <w:r w:rsidR="00E22A6D">
        <w:rPr>
          <w:lang w:val="en-US"/>
        </w:rPr>
        <w:t xml:space="preserve"> and</w:t>
      </w:r>
      <w:r w:rsidRPr="002605ED">
        <w:rPr>
          <w:lang w:val="en-US"/>
        </w:rPr>
        <w:t xml:space="preserve"> underpinned by mathematically sound arguments.</w:t>
      </w:r>
      <w:r>
        <w:rPr>
          <w:lang w:val="en-US"/>
        </w:rPr>
        <w:t xml:space="preserve"> </w:t>
      </w:r>
      <w:r w:rsidRPr="002605ED">
        <w:rPr>
          <w:lang w:val="en-US"/>
        </w:rPr>
        <w:t>The CMR framework has been widely applied in analyzing tasks in textbooks and assessments. Lithner’s subsequent work in 2017 further developed the</w:t>
      </w:r>
      <w:r>
        <w:rPr>
          <w:lang w:val="en-US"/>
        </w:rPr>
        <w:t xml:space="preserve"> CMR</w:t>
      </w:r>
      <w:r w:rsidRPr="002605ED">
        <w:rPr>
          <w:lang w:val="en-US"/>
        </w:rPr>
        <w:t xml:space="preserve"> framework for task design, advocating for tasks that challenge students' conceptual, creative, and justificatory skills</w:t>
      </w:r>
      <w:r>
        <w:rPr>
          <w:lang w:val="en-US"/>
        </w:rPr>
        <w:t xml:space="preserve">. </w:t>
      </w:r>
      <w:r w:rsidR="00E22A6D">
        <w:rPr>
          <w:lang w:val="en-US"/>
        </w:rPr>
        <w:t>Here, effective</w:t>
      </w:r>
      <w:r w:rsidRPr="002605ED">
        <w:rPr>
          <w:lang w:val="en-US"/>
        </w:rPr>
        <w:t xml:space="preserve"> implementation hinges on teachers resisting the urge to excessively aid students, which </w:t>
      </w:r>
      <w:r w:rsidR="00E22A6D">
        <w:rPr>
          <w:lang w:val="en-US"/>
        </w:rPr>
        <w:t>would</w:t>
      </w:r>
      <w:r w:rsidRPr="002605ED">
        <w:rPr>
          <w:lang w:val="en-US"/>
        </w:rPr>
        <w:t xml:space="preserve"> otherwise diminish the challenges inherent in the task.</w:t>
      </w:r>
    </w:p>
    <w:p w14:paraId="37CD2079" w14:textId="56F49DA0" w:rsidR="002605ED" w:rsidRPr="002605ED" w:rsidRDefault="002605ED" w:rsidP="002605ED">
      <w:pPr>
        <w:rPr>
          <w:lang w:val="en-US"/>
        </w:rPr>
      </w:pPr>
      <w:r w:rsidRPr="002605ED">
        <w:rPr>
          <w:lang w:val="en-US"/>
        </w:rPr>
        <w:t>Collectively, Stein’s framework, COACTIV, and CMR offer a multidimensional perspective on task analysis and implementation</w:t>
      </w:r>
      <w:r>
        <w:rPr>
          <w:lang w:val="en-US"/>
        </w:rPr>
        <w:t>.</w:t>
      </w:r>
    </w:p>
    <w:p w14:paraId="189B56C0" w14:textId="77777777" w:rsidR="0000350B" w:rsidRDefault="0000350B" w:rsidP="0000350B">
      <w:pPr>
        <w:pStyle w:val="Rubrik3"/>
      </w:pPr>
      <w:r>
        <w:t>Method</w:t>
      </w:r>
    </w:p>
    <w:p w14:paraId="1A5BB1D5" w14:textId="1205144E" w:rsidR="0000350B" w:rsidRPr="0000350B" w:rsidRDefault="0000350B" w:rsidP="0000350B">
      <w:pPr>
        <w:pStyle w:val="Brdtext"/>
        <w:rPr>
          <w:lang w:val="en-US"/>
        </w:rPr>
      </w:pPr>
      <w:r w:rsidRPr="0000350B">
        <w:rPr>
          <w:lang w:val="en-US"/>
        </w:rPr>
        <w:t xml:space="preserve">Our method </w:t>
      </w:r>
      <w:r w:rsidR="00007156">
        <w:rPr>
          <w:lang w:val="en-US"/>
        </w:rPr>
        <w:t>can be characterized</w:t>
      </w:r>
      <w:r w:rsidRPr="0000350B">
        <w:rPr>
          <w:lang w:val="en-US"/>
        </w:rPr>
        <w:t xml:space="preserve"> according to the case study typology provided by Thomas (2011). The </w:t>
      </w:r>
      <w:r w:rsidRPr="00716777">
        <w:rPr>
          <w:i/>
          <w:iCs/>
          <w:lang w:val="en-US"/>
        </w:rPr>
        <w:t>object</w:t>
      </w:r>
      <w:r w:rsidRPr="0000350B">
        <w:rPr>
          <w:lang w:val="en-US"/>
        </w:rPr>
        <w:t xml:space="preserve"> of study is the task analysis frameworks’ ability to explicate aspects of task characteristics and task implementation. For this</w:t>
      </w:r>
      <w:r w:rsidR="00E34FDA">
        <w:rPr>
          <w:lang w:val="en-US"/>
        </w:rPr>
        <w:t>,</w:t>
      </w:r>
      <w:r w:rsidRPr="0000350B">
        <w:rPr>
          <w:lang w:val="en-US"/>
        </w:rPr>
        <w:t xml:space="preserve"> we chose the three frameworks presented above which we see as useful to study as they are relatively well used by both their developers and other researchers. </w:t>
      </w:r>
    </w:p>
    <w:p w14:paraId="04E557C5" w14:textId="4173E278" w:rsidR="006805F7" w:rsidRPr="00716777" w:rsidRDefault="009044BA" w:rsidP="00315135">
      <w:pPr>
        <w:rPr>
          <w:lang w:val="en-US"/>
        </w:rPr>
      </w:pPr>
      <w:r>
        <w:rPr>
          <w:lang w:val="en-US"/>
        </w:rPr>
        <w:t xml:space="preserve">The </w:t>
      </w:r>
      <w:r>
        <w:rPr>
          <w:i/>
          <w:iCs/>
          <w:lang w:val="en-US"/>
        </w:rPr>
        <w:t xml:space="preserve">subject </w:t>
      </w:r>
      <w:r>
        <w:rPr>
          <w:lang w:val="en-US"/>
        </w:rPr>
        <w:t xml:space="preserve">of study is a teacher’s implementation of a rich task. The teacher was selected as a </w:t>
      </w:r>
      <w:r w:rsidR="00161962">
        <w:rPr>
          <w:lang w:val="en-US"/>
        </w:rPr>
        <w:t>“</w:t>
      </w:r>
      <w:r w:rsidR="0000350B" w:rsidRPr="0000350B">
        <w:rPr>
          <w:lang w:val="en-US"/>
        </w:rPr>
        <w:t>local knowledge case</w:t>
      </w:r>
      <w:r w:rsidR="00161962">
        <w:rPr>
          <w:lang w:val="en-US"/>
        </w:rPr>
        <w:t>”</w:t>
      </w:r>
      <w:r w:rsidR="0000350B" w:rsidRPr="0000350B">
        <w:rPr>
          <w:lang w:val="en-US"/>
        </w:rPr>
        <w:t xml:space="preserve"> (Thomas, 2011), </w:t>
      </w:r>
      <w:r w:rsidR="00E96FC6">
        <w:rPr>
          <w:lang w:val="en-US"/>
        </w:rPr>
        <w:t>being a</w:t>
      </w:r>
      <w:r w:rsidR="0000350B" w:rsidRPr="0000350B">
        <w:rPr>
          <w:lang w:val="en-US"/>
        </w:rPr>
        <w:t xml:space="preserve"> colleague of the first author</w:t>
      </w:r>
      <w:r w:rsidR="00315135">
        <w:rPr>
          <w:lang w:val="en-US"/>
        </w:rPr>
        <w:t>,</w:t>
      </w:r>
      <w:r w:rsidR="009C2E11">
        <w:rPr>
          <w:lang w:val="en-US"/>
        </w:rPr>
        <w:t xml:space="preserve"> who is also a teacher</w:t>
      </w:r>
      <w:r w:rsidR="00315135">
        <w:rPr>
          <w:lang w:val="en-US"/>
        </w:rPr>
        <w:t xml:space="preserve"> at the same school</w:t>
      </w:r>
      <w:r w:rsidR="0000350B" w:rsidRPr="0000350B">
        <w:rPr>
          <w:lang w:val="en-US"/>
        </w:rPr>
        <w:t xml:space="preserve">. </w:t>
      </w:r>
      <w:r w:rsidR="00315135">
        <w:rPr>
          <w:lang w:val="en-US"/>
        </w:rPr>
        <w:t>The</w:t>
      </w:r>
      <w:r w:rsidR="00315135" w:rsidRPr="00315135">
        <w:rPr>
          <w:lang w:val="en-US"/>
        </w:rPr>
        <w:t xml:space="preserve"> proximity and professional connection</w:t>
      </w:r>
      <w:r w:rsidR="00315135">
        <w:rPr>
          <w:lang w:val="en-US"/>
        </w:rPr>
        <w:t xml:space="preserve"> enable </w:t>
      </w:r>
      <w:r w:rsidR="0000350B" w:rsidRPr="0000350B">
        <w:rPr>
          <w:lang w:val="en-US"/>
        </w:rPr>
        <w:t xml:space="preserve">the first author </w:t>
      </w:r>
      <w:r w:rsidR="00315135">
        <w:rPr>
          <w:lang w:val="en-US"/>
        </w:rPr>
        <w:t>to ascertain</w:t>
      </w:r>
      <w:r w:rsidR="0000350B" w:rsidRPr="0000350B">
        <w:rPr>
          <w:lang w:val="en-US"/>
        </w:rPr>
        <w:t xml:space="preserve"> that the teacher has a very </w:t>
      </w:r>
      <w:r w:rsidR="00B70A0F">
        <w:rPr>
          <w:lang w:val="en-US"/>
        </w:rPr>
        <w:t>well-thought-out</w:t>
      </w:r>
      <w:r w:rsidR="0000350B" w:rsidRPr="0000350B">
        <w:rPr>
          <w:lang w:val="en-US"/>
        </w:rPr>
        <w:t xml:space="preserve"> view of tasks as well as their implementation in her teaching context. This means that the chosen </w:t>
      </w:r>
      <w:r>
        <w:rPr>
          <w:lang w:val="en-US"/>
        </w:rPr>
        <w:t>subject</w:t>
      </w:r>
      <w:r w:rsidRPr="0000350B">
        <w:rPr>
          <w:lang w:val="en-US"/>
        </w:rPr>
        <w:t xml:space="preserve"> </w:t>
      </w:r>
      <w:r>
        <w:rPr>
          <w:lang w:val="en-US"/>
        </w:rPr>
        <w:t>presents a meaningful</w:t>
      </w:r>
      <w:r w:rsidR="0000350B" w:rsidRPr="0000350B">
        <w:rPr>
          <w:lang w:val="en-US"/>
        </w:rPr>
        <w:t xml:space="preserve"> challenge for the frameworks and could be used </w:t>
      </w:r>
      <w:r w:rsidR="00277D86">
        <w:rPr>
          <w:lang w:val="en-US"/>
        </w:rPr>
        <w:t>to evaluate</w:t>
      </w:r>
      <w:r w:rsidR="0000350B" w:rsidRPr="0000350B">
        <w:rPr>
          <w:lang w:val="en-US"/>
        </w:rPr>
        <w:t xml:space="preserve"> them in a theory</w:t>
      </w:r>
      <w:r w:rsidR="00B70A0F">
        <w:rPr>
          <w:lang w:val="en-US"/>
        </w:rPr>
        <w:t xml:space="preserve"> </w:t>
      </w:r>
      <w:r w:rsidR="0000350B" w:rsidRPr="0000350B">
        <w:rPr>
          <w:lang w:val="en-US"/>
        </w:rPr>
        <w:t>testing approach</w:t>
      </w:r>
      <w:r>
        <w:rPr>
          <w:lang w:val="en-US"/>
        </w:rPr>
        <w:t>.</w:t>
      </w:r>
    </w:p>
    <w:p w14:paraId="1095734A" w14:textId="07442D55" w:rsidR="0000350B" w:rsidRPr="001A4369" w:rsidRDefault="0000350B" w:rsidP="006805F7">
      <w:r w:rsidRPr="0000350B">
        <w:rPr>
          <w:lang w:val="en-US"/>
        </w:rPr>
        <w:lastRenderedPageBreak/>
        <w:t xml:space="preserve">We asked our case teacher to provide both a task and an explanation of why she selected it. </w:t>
      </w:r>
      <w:r w:rsidR="00A835CB">
        <w:rPr>
          <w:lang w:val="en-US"/>
        </w:rPr>
        <w:t xml:space="preserve">The teacher </w:t>
      </w:r>
      <w:r w:rsidRPr="0000350B">
        <w:rPr>
          <w:lang w:val="en-US"/>
        </w:rPr>
        <w:t xml:space="preserve">emailed </w:t>
      </w:r>
      <w:r w:rsidR="00A835CB">
        <w:rPr>
          <w:lang w:val="en-US"/>
        </w:rPr>
        <w:t xml:space="preserve">us a </w:t>
      </w:r>
      <w:r w:rsidRPr="0000350B">
        <w:rPr>
          <w:lang w:val="en-US"/>
        </w:rPr>
        <w:t xml:space="preserve">description </w:t>
      </w:r>
      <w:r w:rsidR="00A835CB">
        <w:rPr>
          <w:lang w:val="en-US"/>
        </w:rPr>
        <w:t xml:space="preserve">of her task </w:t>
      </w:r>
      <w:r w:rsidR="00AC1294">
        <w:rPr>
          <w:lang w:val="en-US"/>
        </w:rPr>
        <w:t xml:space="preserve">formulation </w:t>
      </w:r>
      <w:r w:rsidR="00A835CB">
        <w:rPr>
          <w:lang w:val="en-US"/>
        </w:rPr>
        <w:t xml:space="preserve">and </w:t>
      </w:r>
      <w:r w:rsidR="00AC1294">
        <w:rPr>
          <w:lang w:val="en-US"/>
        </w:rPr>
        <w:t xml:space="preserve">her </w:t>
      </w:r>
      <w:r w:rsidR="00A835CB">
        <w:rPr>
          <w:lang w:val="en-US"/>
        </w:rPr>
        <w:t>framing of the implementation</w:t>
      </w:r>
      <w:r w:rsidR="00B70A0F">
        <w:rPr>
          <w:lang w:val="en-US"/>
        </w:rPr>
        <w:t xml:space="preserve"> of it with he</w:t>
      </w:r>
      <w:r w:rsidR="00486FD6">
        <w:rPr>
          <w:lang w:val="en-US"/>
        </w:rPr>
        <w:t xml:space="preserve">r 6th- </w:t>
      </w:r>
      <w:r w:rsidR="00B70A0F">
        <w:rPr>
          <w:lang w:val="en-US"/>
        </w:rPr>
        <w:t xml:space="preserve">and </w:t>
      </w:r>
      <w:r w:rsidR="0082264D">
        <w:rPr>
          <w:lang w:val="en-US"/>
        </w:rPr>
        <w:t>7th-grade</w:t>
      </w:r>
      <w:r w:rsidR="00B70A0F">
        <w:rPr>
          <w:lang w:val="en-US"/>
        </w:rPr>
        <w:t xml:space="preserve"> students</w:t>
      </w:r>
      <w:r w:rsidR="00AC1294">
        <w:rPr>
          <w:lang w:val="en-US"/>
        </w:rPr>
        <w:t>. We c</w:t>
      </w:r>
      <w:r w:rsidRPr="0000350B">
        <w:rPr>
          <w:lang w:val="en-US"/>
        </w:rPr>
        <w:t xml:space="preserve">onducted our analysis in two distinct stages. Initially, we applied each of our selected frameworks to the task formulation. Following this, we employed </w:t>
      </w:r>
      <w:r w:rsidR="00AC1294">
        <w:rPr>
          <w:lang w:val="en-US"/>
        </w:rPr>
        <w:t>inductive</w:t>
      </w:r>
      <w:r w:rsidR="00AC1294" w:rsidRPr="0000350B">
        <w:rPr>
          <w:lang w:val="en-US"/>
        </w:rPr>
        <w:t xml:space="preserve"> </w:t>
      </w:r>
      <w:r w:rsidRPr="0000350B">
        <w:rPr>
          <w:lang w:val="en-US"/>
        </w:rPr>
        <w:t xml:space="preserve">thematic analysis </w:t>
      </w:r>
      <w:r w:rsidR="00D94184">
        <w:rPr>
          <w:lang w:val="en-US"/>
        </w:rPr>
        <w:t xml:space="preserve">at the semantic level </w:t>
      </w:r>
      <w:r w:rsidRPr="0000350B">
        <w:rPr>
          <w:lang w:val="en-US"/>
        </w:rPr>
        <w:t>(Braun &amp; Clarke, 2006) to identify recurring themes within the teacher's account of the task's implementation.</w:t>
      </w:r>
      <w:r w:rsidR="005D7A5B">
        <w:rPr>
          <w:lang w:val="en-US"/>
        </w:rPr>
        <w:t xml:space="preserve"> The </w:t>
      </w:r>
      <w:r w:rsidR="00F12E1E" w:rsidRPr="006805F7">
        <w:rPr>
          <w:lang w:val="en-US"/>
        </w:rPr>
        <w:t>first author</w:t>
      </w:r>
      <w:r w:rsidR="00387E49" w:rsidRPr="00387E49">
        <w:rPr>
          <w:lang w:val="en-US"/>
        </w:rPr>
        <w:t xml:space="preserve"> reviewed the text multiple times, identifying</w:t>
      </w:r>
      <w:r w:rsidR="00387E49">
        <w:rPr>
          <w:lang w:val="en-US"/>
        </w:rPr>
        <w:t xml:space="preserve"> raw data themes such as</w:t>
      </w:r>
      <w:r w:rsidR="00387E49" w:rsidRPr="00387E49">
        <w:rPr>
          <w:lang w:val="en-US"/>
        </w:rPr>
        <w:t xml:space="preserve"> words and phrases</w:t>
      </w:r>
      <w:r w:rsidR="00486FD6">
        <w:rPr>
          <w:lang w:val="en-US"/>
        </w:rPr>
        <w:t xml:space="preserve"> pertaining to implementation</w:t>
      </w:r>
      <w:r w:rsidR="00387E49" w:rsidRPr="00387E49">
        <w:rPr>
          <w:lang w:val="en-US"/>
        </w:rPr>
        <w:t xml:space="preserve">. These were then organized into </w:t>
      </w:r>
      <w:r w:rsidR="00387E49">
        <w:rPr>
          <w:lang w:val="en-US"/>
        </w:rPr>
        <w:t xml:space="preserve">overarching </w:t>
      </w:r>
      <w:r w:rsidR="00387E49" w:rsidRPr="00387E49">
        <w:rPr>
          <w:lang w:val="en-US"/>
        </w:rPr>
        <w:t>theme</w:t>
      </w:r>
      <w:r w:rsidR="00387E49">
        <w:rPr>
          <w:lang w:val="en-US"/>
        </w:rPr>
        <w:t>s</w:t>
      </w:r>
      <w:r w:rsidR="00387E49" w:rsidRPr="00387E49">
        <w:rPr>
          <w:lang w:val="en-US"/>
        </w:rPr>
        <w:t xml:space="preserve">. </w:t>
      </w:r>
      <w:r w:rsidR="00486FD6">
        <w:rPr>
          <w:lang w:val="en-US"/>
        </w:rPr>
        <w:t xml:space="preserve">We then </w:t>
      </w:r>
      <w:r w:rsidR="00387E49" w:rsidRPr="00387E49">
        <w:rPr>
          <w:lang w:val="en-US"/>
        </w:rPr>
        <w:t xml:space="preserve">shared </w:t>
      </w:r>
      <w:r w:rsidR="00486FD6">
        <w:rPr>
          <w:lang w:val="en-US"/>
        </w:rPr>
        <w:t>the analysis</w:t>
      </w:r>
      <w:r w:rsidR="00486FD6" w:rsidRPr="00387E49">
        <w:rPr>
          <w:lang w:val="en-US"/>
        </w:rPr>
        <w:t xml:space="preserve"> </w:t>
      </w:r>
      <w:r w:rsidR="00387E49" w:rsidRPr="00387E49">
        <w:rPr>
          <w:lang w:val="en-US"/>
        </w:rPr>
        <w:t>with the teacher for a member-check to ensure its credibility</w:t>
      </w:r>
      <w:r w:rsidR="001A4369">
        <w:rPr>
          <w:lang w:val="en-US"/>
        </w:rPr>
        <w:t>.</w:t>
      </w:r>
      <w:r w:rsidR="00E34FDA">
        <w:rPr>
          <w:lang w:val="en-US"/>
        </w:rPr>
        <w:t xml:space="preserve"> Finally, we compared the themes with the criteria from the three frameworks.</w:t>
      </w:r>
    </w:p>
    <w:p w14:paraId="50749122" w14:textId="77777777" w:rsidR="0000350B" w:rsidRDefault="0000350B" w:rsidP="0000350B">
      <w:pPr>
        <w:pStyle w:val="Rubrik3"/>
      </w:pPr>
      <w:r>
        <w:t>Results</w:t>
      </w:r>
    </w:p>
    <w:p w14:paraId="22F0A87C" w14:textId="4B58CD8C" w:rsidR="0000350B" w:rsidRPr="0000350B" w:rsidRDefault="0000350B" w:rsidP="0000350B">
      <w:pPr>
        <w:pStyle w:val="Brdtext"/>
        <w:rPr>
          <w:lang w:val="en-US"/>
        </w:rPr>
      </w:pPr>
      <w:r w:rsidRPr="0000350B">
        <w:rPr>
          <w:lang w:val="en-US"/>
        </w:rPr>
        <w:t>In this section</w:t>
      </w:r>
      <w:r w:rsidR="00B70A0F">
        <w:rPr>
          <w:lang w:val="en-US"/>
        </w:rPr>
        <w:t xml:space="preserve">, </w:t>
      </w:r>
      <w:r w:rsidR="00874118">
        <w:rPr>
          <w:lang w:val="en-US"/>
        </w:rPr>
        <w:t xml:space="preserve">we </w:t>
      </w:r>
      <w:r w:rsidRPr="0000350B">
        <w:rPr>
          <w:lang w:val="en-US"/>
        </w:rPr>
        <w:t xml:space="preserve">first </w:t>
      </w:r>
      <w:r w:rsidR="00874118">
        <w:rPr>
          <w:lang w:val="en-US"/>
        </w:rPr>
        <w:t>analyze the task as it was formulated by the teacher</w:t>
      </w:r>
      <w:r w:rsidRPr="0000350B">
        <w:rPr>
          <w:lang w:val="en-US"/>
        </w:rPr>
        <w:t>. Then</w:t>
      </w:r>
      <w:r w:rsidR="00874118">
        <w:rPr>
          <w:lang w:val="en-US"/>
        </w:rPr>
        <w:t xml:space="preserve"> we present and analyze the </w:t>
      </w:r>
      <w:r w:rsidRPr="0000350B">
        <w:rPr>
          <w:lang w:val="en-US"/>
        </w:rPr>
        <w:t xml:space="preserve">teacher’s description of the implementation of the </w:t>
      </w:r>
      <w:r w:rsidR="00874118">
        <w:rPr>
          <w:lang w:val="en-US"/>
        </w:rPr>
        <w:t>task.</w:t>
      </w:r>
    </w:p>
    <w:p w14:paraId="057C5C71" w14:textId="5918D2A1" w:rsidR="0000350B" w:rsidRDefault="0000350B" w:rsidP="0000350B">
      <w:pPr>
        <w:pStyle w:val="Rubrik4"/>
      </w:pPr>
      <w:r>
        <w:t xml:space="preserve">Application of frameworks to </w:t>
      </w:r>
      <w:r w:rsidR="00874118">
        <w:t>the task formulation</w:t>
      </w:r>
    </w:p>
    <w:p w14:paraId="41808065" w14:textId="04EEE0DC" w:rsidR="00716777" w:rsidRDefault="0000350B" w:rsidP="00716777">
      <w:pPr>
        <w:pStyle w:val="Brdtext"/>
        <w:rPr>
          <w:lang w:val="en-US"/>
        </w:rPr>
      </w:pPr>
      <w:r w:rsidRPr="0000350B">
        <w:rPr>
          <w:lang w:val="en-US"/>
        </w:rPr>
        <w:t>The task</w:t>
      </w:r>
      <w:r w:rsidR="00874118">
        <w:rPr>
          <w:lang w:val="en-US"/>
        </w:rPr>
        <w:t xml:space="preserve">, </w:t>
      </w:r>
      <w:r w:rsidRPr="0000350B">
        <w:rPr>
          <w:lang w:val="en-US"/>
        </w:rPr>
        <w:t xml:space="preserve">presented in Figure 1, is an example of a </w:t>
      </w:r>
      <w:r w:rsidR="00486FD6">
        <w:rPr>
          <w:lang w:val="en-US"/>
        </w:rPr>
        <w:t xml:space="preserve">“puzzle </w:t>
      </w:r>
      <w:r w:rsidR="00277D86">
        <w:rPr>
          <w:lang w:val="en-US"/>
        </w:rPr>
        <w:t>task</w:t>
      </w:r>
      <w:r w:rsidR="00486FD6">
        <w:rPr>
          <w:lang w:val="en-US"/>
        </w:rPr>
        <w:t>” (called so by the teacher with her students)</w:t>
      </w:r>
      <w:r w:rsidR="00716777">
        <w:rPr>
          <w:lang w:val="en-US"/>
        </w:rPr>
        <w:t xml:space="preserve"> </w:t>
      </w:r>
      <w:r w:rsidR="00277D86">
        <w:rPr>
          <w:lang w:val="en-US"/>
        </w:rPr>
        <w:t xml:space="preserve">used </w:t>
      </w:r>
      <w:r w:rsidRPr="0000350B">
        <w:rPr>
          <w:lang w:val="en-US"/>
        </w:rPr>
        <w:t>by</w:t>
      </w:r>
      <w:r w:rsidR="00874118">
        <w:rPr>
          <w:lang w:val="en-US"/>
        </w:rPr>
        <w:t xml:space="preserve"> </w:t>
      </w:r>
      <w:r w:rsidR="00E75257">
        <w:rPr>
          <w:lang w:val="en-US"/>
        </w:rPr>
        <w:t>the</w:t>
      </w:r>
      <w:r w:rsidRPr="0000350B">
        <w:rPr>
          <w:lang w:val="en-US"/>
        </w:rPr>
        <w:t xml:space="preserve"> </w:t>
      </w:r>
      <w:r w:rsidR="0082264D">
        <w:rPr>
          <w:lang w:val="en-US"/>
        </w:rPr>
        <w:t>teacher</w:t>
      </w:r>
      <w:r w:rsidR="00874118">
        <w:rPr>
          <w:lang w:val="en-US"/>
        </w:rPr>
        <w:t xml:space="preserve">. </w:t>
      </w:r>
    </w:p>
    <w:p w14:paraId="1B1D4F96" w14:textId="77777777" w:rsidR="00E22A6D" w:rsidRPr="00E22A6D" w:rsidRDefault="00E22A6D" w:rsidP="00E22A6D">
      <w:pPr>
        <w:rPr>
          <w:lang w:val="en-US"/>
        </w:rPr>
      </w:pPr>
    </w:p>
    <w:p w14:paraId="0D1B9226" w14:textId="0909369B" w:rsidR="00B052B2" w:rsidRPr="00EF7296" w:rsidRDefault="00716777" w:rsidP="00716777">
      <w:pPr>
        <w:pStyle w:val="Brdtext"/>
        <w:jc w:val="center"/>
        <w:rPr>
          <w:lang w:val="en-US"/>
        </w:rPr>
      </w:pPr>
      <w:r>
        <w:rPr>
          <w:rFonts w:ascii="Arial" w:hAnsi="Arial" w:cs="Arial"/>
          <w:noProof/>
          <w:color w:val="222222"/>
          <w:szCs w:val="26"/>
          <w:bdr w:val="none" w:sz="0" w:space="0" w:color="auto" w:frame="1"/>
        </w:rPr>
        <w:drawing>
          <wp:inline distT="0" distB="0" distL="0" distR="0" wp14:anchorId="634630F2" wp14:editId="1554B7DA">
            <wp:extent cx="5077942" cy="2783541"/>
            <wp:effectExtent l="0" t="0" r="0" b="0"/>
            <wp:docPr id="581544730" name="Picture 581544730" descr="A white board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163297" name="Picture 1351163297" descr="A white board with writing on i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15833" b="10936"/>
                    <a:stretch/>
                  </pic:blipFill>
                  <pic:spPr bwMode="auto">
                    <a:xfrm>
                      <a:off x="0" y="0"/>
                      <a:ext cx="5125481" cy="2809600"/>
                    </a:xfrm>
                    <a:prstGeom prst="rect">
                      <a:avLst/>
                    </a:prstGeom>
                    <a:ln>
                      <a:noFill/>
                    </a:ln>
                    <a:extLst>
                      <a:ext uri="{53640926-AAD7-44D8-BBD7-CCE9431645EC}">
                        <a14:shadowObscured xmlns:a14="http://schemas.microsoft.com/office/drawing/2010/main"/>
                      </a:ext>
                    </a:extLst>
                  </pic:spPr>
                </pic:pic>
              </a:graphicData>
            </a:graphic>
          </wp:inline>
        </w:drawing>
      </w:r>
    </w:p>
    <w:p w14:paraId="27DAAC80" w14:textId="59A5C468" w:rsidR="00716777" w:rsidRDefault="00B052B2" w:rsidP="00716777">
      <w:pPr>
        <w:pStyle w:val="Headtable"/>
        <w:rPr>
          <w:lang w:val="en-US"/>
        </w:rPr>
      </w:pPr>
      <w:r w:rsidRPr="00EF7296">
        <w:rPr>
          <w:lang w:val="en-US"/>
        </w:rPr>
        <w:t xml:space="preserve">Figure 1: Photo of </w:t>
      </w:r>
      <w:r w:rsidR="00E75257">
        <w:rPr>
          <w:lang w:val="en-US"/>
        </w:rPr>
        <w:t xml:space="preserve">the </w:t>
      </w:r>
      <w:r w:rsidRPr="00EF7296">
        <w:rPr>
          <w:lang w:val="en-US"/>
        </w:rPr>
        <w:t xml:space="preserve">problem presented to students in </w:t>
      </w:r>
      <w:r w:rsidR="00E75257">
        <w:rPr>
          <w:lang w:val="en-US"/>
        </w:rPr>
        <w:t xml:space="preserve">a </w:t>
      </w:r>
      <w:r w:rsidRPr="00EF7296">
        <w:rPr>
          <w:lang w:val="en-US"/>
        </w:rPr>
        <w:t>lesson. </w:t>
      </w:r>
    </w:p>
    <w:p w14:paraId="1B9878B4" w14:textId="425DCE86" w:rsidR="0000350B" w:rsidRDefault="0000350B" w:rsidP="001A4369">
      <w:pPr>
        <w:pStyle w:val="Brdtext"/>
      </w:pPr>
      <w:r w:rsidRPr="0000350B">
        <w:rPr>
          <w:lang w:val="en-US"/>
        </w:rPr>
        <w:t>The</w:t>
      </w:r>
      <w:r w:rsidR="00874118">
        <w:rPr>
          <w:lang w:val="en-US"/>
        </w:rPr>
        <w:t xml:space="preserve"> teacher reported that she found the</w:t>
      </w:r>
      <w:r w:rsidRPr="0000350B">
        <w:rPr>
          <w:lang w:val="en-US"/>
        </w:rPr>
        <w:t xml:space="preserve"> </w:t>
      </w:r>
      <w:r w:rsidR="00874118">
        <w:rPr>
          <w:lang w:val="en-US"/>
        </w:rPr>
        <w:t xml:space="preserve">original </w:t>
      </w:r>
      <w:r w:rsidRPr="0000350B">
        <w:rPr>
          <w:lang w:val="en-US"/>
        </w:rPr>
        <w:t xml:space="preserve">task </w:t>
      </w:r>
      <w:r w:rsidR="00716777">
        <w:rPr>
          <w:lang w:val="en-US"/>
        </w:rPr>
        <w:t>online,</w:t>
      </w:r>
      <w:r w:rsidR="00874118">
        <w:rPr>
          <w:lang w:val="en-US"/>
        </w:rPr>
        <w:t xml:space="preserve"> </w:t>
      </w:r>
      <w:r w:rsidR="0082264D">
        <w:rPr>
          <w:lang w:val="en-US"/>
        </w:rPr>
        <w:t>and then</w:t>
      </w:r>
      <w:r w:rsidR="00874118">
        <w:rPr>
          <w:lang w:val="en-US"/>
        </w:rPr>
        <w:t xml:space="preserve"> rephrased and expanded the task significantly.</w:t>
      </w:r>
      <w:r w:rsidRPr="0000350B">
        <w:rPr>
          <w:lang w:val="en-US"/>
        </w:rPr>
        <w:t xml:space="preserve"> When asked, she described </w:t>
      </w:r>
      <w:r w:rsidR="00277D86">
        <w:rPr>
          <w:lang w:val="en-US"/>
        </w:rPr>
        <w:t>her goals:</w:t>
      </w:r>
    </w:p>
    <w:p w14:paraId="1E36FB8E" w14:textId="2A664B15" w:rsidR="002D1CDC" w:rsidRPr="0082264D" w:rsidRDefault="0000350B" w:rsidP="0082264D">
      <w:pPr>
        <w:pStyle w:val="Citat1"/>
        <w:rPr>
          <w:lang w:val="en-US"/>
        </w:rPr>
      </w:pPr>
      <w:r w:rsidRPr="0082264D">
        <w:rPr>
          <w:lang w:val="en-US"/>
        </w:rPr>
        <w:t>It depends on the topic, but since they have to look really hard at something I often try to make it something many kids miss or something usually taught by just telling it to kids, which they don’t digest or retain. [....] Other than that my general goal is helping them learn to think and speak precisely, and to start to use deductive reasoning to show a conclusion, a baby step to proof.</w:t>
      </w:r>
    </w:p>
    <w:p w14:paraId="310A3079" w14:textId="734DEEDF" w:rsidR="00874118" w:rsidRDefault="00874118" w:rsidP="001A4369">
      <w:pPr>
        <w:ind w:firstLine="0"/>
        <w:rPr>
          <w:lang w:val="en-US"/>
        </w:rPr>
      </w:pPr>
      <w:r>
        <w:rPr>
          <w:lang w:val="en-US"/>
        </w:rPr>
        <w:lastRenderedPageBreak/>
        <w:t>The teacher’s goals</w:t>
      </w:r>
      <w:r w:rsidR="00277D86">
        <w:rPr>
          <w:lang w:val="en-US"/>
        </w:rPr>
        <w:t xml:space="preserve"> for using such tasks</w:t>
      </w:r>
      <w:r>
        <w:rPr>
          <w:lang w:val="en-US"/>
        </w:rPr>
        <w:t xml:space="preserve"> thus seem both </w:t>
      </w:r>
      <w:r w:rsidR="0082264D">
        <w:rPr>
          <w:lang w:val="en-US"/>
        </w:rPr>
        <w:t>content-specific</w:t>
      </w:r>
      <w:r>
        <w:rPr>
          <w:lang w:val="en-US"/>
        </w:rPr>
        <w:t xml:space="preserve"> and </w:t>
      </w:r>
      <w:r w:rsidR="00E75257">
        <w:rPr>
          <w:lang w:val="en-US"/>
        </w:rPr>
        <w:t>intended to further</w:t>
      </w:r>
      <w:r>
        <w:rPr>
          <w:lang w:val="en-US"/>
        </w:rPr>
        <w:t xml:space="preserve"> the gradual development of complex reasoning and communication skills. </w:t>
      </w:r>
    </w:p>
    <w:p w14:paraId="6BB9B76A" w14:textId="2BD36871" w:rsidR="00B052B2" w:rsidRPr="00B052B2" w:rsidRDefault="0000350B" w:rsidP="0082264D">
      <w:pPr>
        <w:rPr>
          <w:lang w:val="en-US"/>
        </w:rPr>
      </w:pPr>
      <w:r w:rsidRPr="0000350B">
        <w:rPr>
          <w:lang w:val="en-US"/>
        </w:rPr>
        <w:t xml:space="preserve">Using Stein’s framework, the task features include the requirement to produce multiple solutions and justifications. The use of a calculator could also be interpreted as a form of representation of the fraction in the problem. </w:t>
      </w:r>
      <w:r w:rsidR="0082264D">
        <w:rPr>
          <w:lang w:val="en-US"/>
        </w:rPr>
        <w:t>In terms of cognitive demands, a</w:t>
      </w:r>
      <w:r w:rsidRPr="0000350B">
        <w:rPr>
          <w:lang w:val="en-US"/>
        </w:rPr>
        <w:t xml:space="preserve"> successful </w:t>
      </w:r>
      <w:r w:rsidR="0082264D">
        <w:rPr>
          <w:lang w:val="en-US"/>
        </w:rPr>
        <w:t>solution requires</w:t>
      </w:r>
      <w:r w:rsidR="00874118">
        <w:rPr>
          <w:lang w:val="en-US"/>
        </w:rPr>
        <w:t xml:space="preserve"> </w:t>
      </w:r>
      <w:r w:rsidR="0082264D">
        <w:rPr>
          <w:lang w:val="en-US"/>
        </w:rPr>
        <w:t xml:space="preserve">a </w:t>
      </w:r>
      <w:r w:rsidRPr="0000350B">
        <w:rPr>
          <w:lang w:val="en-US"/>
        </w:rPr>
        <w:t xml:space="preserve">choice of procedures </w:t>
      </w:r>
      <w:r w:rsidR="0082264D">
        <w:rPr>
          <w:lang w:val="en-US"/>
        </w:rPr>
        <w:t xml:space="preserve">which </w:t>
      </w:r>
      <w:r w:rsidR="00E22A6D">
        <w:rPr>
          <w:lang w:val="en-US"/>
        </w:rPr>
        <w:t>in turn requires</w:t>
      </w:r>
      <w:r w:rsidR="0082264D">
        <w:rPr>
          <w:lang w:val="en-US"/>
        </w:rPr>
        <w:t xml:space="preserve"> </w:t>
      </w:r>
      <w:r w:rsidRPr="0000350B">
        <w:rPr>
          <w:lang w:val="en-US"/>
        </w:rPr>
        <w:t>conceptual understanding of the grouping of numbers by brackets and divisions. </w:t>
      </w:r>
    </w:p>
    <w:p w14:paraId="1A76F60A" w14:textId="6C884D0D" w:rsidR="00F8658C" w:rsidRPr="0000350B" w:rsidRDefault="00F8658C" w:rsidP="001A4369">
      <w:pPr>
        <w:rPr>
          <w:color w:val="000000"/>
          <w:lang w:val="en-US"/>
        </w:rPr>
      </w:pPr>
      <w:r w:rsidRPr="00F8658C">
        <w:rPr>
          <w:lang w:val="en-US"/>
        </w:rPr>
        <w:t xml:space="preserve">The scores for COACTIV criteria can be found in Table 2. The scale ranges from 0 to 3 for each criterion. An asterisk (*) or two (**) indicates that it is difficult or very difficult, respectively, to determine the score for that </w:t>
      </w:r>
      <w:r w:rsidR="00E75257" w:rsidRPr="00F8658C">
        <w:rPr>
          <w:lang w:val="en-US"/>
        </w:rPr>
        <w:t>criterion</w:t>
      </w:r>
      <w:r w:rsidRPr="00F8658C">
        <w:rPr>
          <w:lang w:val="en-US"/>
        </w:rPr>
        <w:t xml:space="preserve">, according to the authors' opinion. </w:t>
      </w:r>
      <w:r w:rsidR="00E75257">
        <w:rPr>
          <w:lang w:val="en-US"/>
        </w:rPr>
        <w:t>The</w:t>
      </w:r>
      <w:r w:rsidRPr="00F8658C">
        <w:rPr>
          <w:lang w:val="en-US"/>
        </w:rPr>
        <w:t xml:space="preserve"> task formulation is </w:t>
      </w:r>
      <w:r w:rsidR="00E22A6D">
        <w:rPr>
          <w:lang w:val="en-US"/>
        </w:rPr>
        <w:t xml:space="preserve">thus </w:t>
      </w:r>
      <w:r w:rsidRPr="00F8658C">
        <w:rPr>
          <w:lang w:val="en-US"/>
        </w:rPr>
        <w:t>likely to receive high scores on some COACTIV categories and low scores on others</w:t>
      </w:r>
      <w:r w:rsidR="00E22A6D">
        <w:rPr>
          <w:lang w:val="en-US"/>
        </w:rPr>
        <w:t>.</w:t>
      </w:r>
    </w:p>
    <w:p w14:paraId="5BCCBA2E" w14:textId="4FDBC1B3" w:rsidR="00277D86" w:rsidRDefault="00277D86" w:rsidP="00B052B2">
      <w:pPr>
        <w:rPr>
          <w:lang w:val="en-US"/>
        </w:rPr>
      </w:pPr>
      <w:r>
        <w:rPr>
          <w:lang w:val="en-US"/>
        </w:rPr>
        <w:t>Under</w:t>
      </w:r>
      <w:r w:rsidR="00F8658C" w:rsidRPr="0000350B">
        <w:rPr>
          <w:lang w:val="en-US"/>
        </w:rPr>
        <w:t xml:space="preserve"> </w:t>
      </w:r>
      <w:r w:rsidR="00B052B2" w:rsidRPr="0000350B">
        <w:rPr>
          <w:lang w:val="en-US"/>
        </w:rPr>
        <w:t>the CMR framework,</w:t>
      </w:r>
      <w:r>
        <w:rPr>
          <w:lang w:val="en-US"/>
        </w:rPr>
        <w:t xml:space="preserve"> </w:t>
      </w:r>
      <w:r w:rsidRPr="00277D86">
        <w:rPr>
          <w:lang w:val="en-US"/>
        </w:rPr>
        <w:t>the given task lacks a clear solution process and</w:t>
      </w:r>
      <w:r>
        <w:rPr>
          <w:lang w:val="en-US"/>
        </w:rPr>
        <w:t xml:space="preserve"> therefore </w:t>
      </w:r>
      <w:r w:rsidRPr="00277D86">
        <w:rPr>
          <w:lang w:val="en-US"/>
        </w:rPr>
        <w:t>require</w:t>
      </w:r>
      <w:r>
        <w:rPr>
          <w:lang w:val="en-US"/>
        </w:rPr>
        <w:t>s</w:t>
      </w:r>
      <w:r w:rsidRPr="00277D86">
        <w:rPr>
          <w:lang w:val="en-US"/>
        </w:rPr>
        <w:t xml:space="preserve"> some degree of creativity to be solved</w:t>
      </w:r>
      <w:r>
        <w:rPr>
          <w:lang w:val="en-US"/>
        </w:rPr>
        <w:t xml:space="preserve">. </w:t>
      </w:r>
      <w:r w:rsidRPr="00277D86">
        <w:rPr>
          <w:lang w:val="en-US"/>
        </w:rPr>
        <w:t xml:space="preserve">It </w:t>
      </w:r>
      <w:r>
        <w:rPr>
          <w:lang w:val="en-US"/>
        </w:rPr>
        <w:t>requires</w:t>
      </w:r>
      <w:r w:rsidRPr="00277D86">
        <w:rPr>
          <w:lang w:val="en-US"/>
        </w:rPr>
        <w:t xml:space="preserve"> conceptual understanding of the relationship between fraction bars and brackets used on a calculator, and explicitly asks for a</w:t>
      </w:r>
      <w:r>
        <w:rPr>
          <w:lang w:val="en-US"/>
        </w:rPr>
        <w:t>n</w:t>
      </w:r>
      <w:r w:rsidRPr="00277D86">
        <w:rPr>
          <w:lang w:val="en-US"/>
        </w:rPr>
        <w:t xml:space="preserve"> explanation</w:t>
      </w:r>
      <w:r>
        <w:rPr>
          <w:lang w:val="en-US"/>
        </w:rPr>
        <w:t xml:space="preserve"> based on mathematical reasoning</w:t>
      </w:r>
      <w:r w:rsidRPr="00277D86">
        <w:rPr>
          <w:lang w:val="en-US"/>
        </w:rPr>
        <w:t xml:space="preserve">, thus satisfying the </w:t>
      </w:r>
      <w:r>
        <w:rPr>
          <w:lang w:val="en-US"/>
        </w:rPr>
        <w:t>CMR criteria.</w:t>
      </w:r>
    </w:p>
    <w:p w14:paraId="21FC19DD" w14:textId="77777777" w:rsidR="004451F9" w:rsidRPr="0000350B" w:rsidRDefault="004451F9" w:rsidP="00277D86">
      <w:pPr>
        <w:rPr>
          <w:lang w:val="en-US"/>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14"/>
        <w:gridCol w:w="709"/>
        <w:gridCol w:w="1842"/>
        <w:gridCol w:w="394"/>
        <w:gridCol w:w="2725"/>
        <w:gridCol w:w="336"/>
      </w:tblGrid>
      <w:tr w:rsidR="007E5951" w:rsidRPr="002F7904" w14:paraId="7CBFA3AE" w14:textId="77777777" w:rsidTr="007E5951">
        <w:trPr>
          <w:jc w:val="center"/>
        </w:trPr>
        <w:tc>
          <w:tcPr>
            <w:tcW w:w="3823" w:type="dxa"/>
            <w:gridSpan w:val="2"/>
            <w:tcMar>
              <w:top w:w="43" w:type="dxa"/>
              <w:left w:w="43" w:type="dxa"/>
              <w:bottom w:w="43" w:type="dxa"/>
              <w:right w:w="43" w:type="dxa"/>
            </w:tcMar>
          </w:tcPr>
          <w:p w14:paraId="5A93F155" w14:textId="77777777" w:rsidR="004451F9" w:rsidRPr="008152CD" w:rsidRDefault="004451F9">
            <w:pPr>
              <w:pStyle w:val="Normalwebb"/>
              <w:spacing w:before="0" w:beforeAutospacing="0" w:after="0" w:afterAutospacing="0"/>
              <w:jc w:val="center"/>
              <w:rPr>
                <w:b/>
                <w:bCs/>
                <w:color w:val="000000"/>
              </w:rPr>
            </w:pPr>
            <w:r w:rsidRPr="008152CD">
              <w:rPr>
                <w:b/>
                <w:bCs/>
                <w:color w:val="000000"/>
              </w:rPr>
              <w:t>COACTIV</w:t>
            </w:r>
          </w:p>
        </w:tc>
        <w:tc>
          <w:tcPr>
            <w:tcW w:w="2236" w:type="dxa"/>
            <w:gridSpan w:val="2"/>
          </w:tcPr>
          <w:p w14:paraId="789E2703" w14:textId="77777777" w:rsidR="004451F9" w:rsidRPr="008152CD" w:rsidRDefault="004451F9">
            <w:pPr>
              <w:pStyle w:val="Normalwebb"/>
              <w:spacing w:before="0" w:beforeAutospacing="0" w:after="0" w:afterAutospacing="0"/>
              <w:jc w:val="center"/>
              <w:rPr>
                <w:rFonts w:ascii="Segoe UI Symbol" w:hAnsi="Segoe UI Symbol" w:cs="Segoe UI Symbol"/>
                <w:b/>
                <w:bCs/>
              </w:rPr>
            </w:pPr>
            <w:r w:rsidRPr="008152CD">
              <w:rPr>
                <w:rFonts w:ascii="Segoe UI Symbol" w:hAnsi="Segoe UI Symbol" w:cs="Segoe UI Symbol"/>
                <w:b/>
                <w:bCs/>
              </w:rPr>
              <w:t>Stein</w:t>
            </w:r>
          </w:p>
        </w:tc>
        <w:tc>
          <w:tcPr>
            <w:tcW w:w="3061" w:type="dxa"/>
            <w:gridSpan w:val="2"/>
          </w:tcPr>
          <w:p w14:paraId="664B95D3" w14:textId="77777777" w:rsidR="004451F9" w:rsidRPr="008152CD" w:rsidRDefault="004451F9">
            <w:pPr>
              <w:pStyle w:val="Normalwebb"/>
              <w:spacing w:before="0" w:beforeAutospacing="0" w:after="0" w:afterAutospacing="0"/>
              <w:jc w:val="center"/>
              <w:rPr>
                <w:rFonts w:ascii="Segoe UI Symbol" w:hAnsi="Segoe UI Symbol" w:cs="Segoe UI Symbol"/>
                <w:b/>
                <w:bCs/>
              </w:rPr>
            </w:pPr>
            <w:r w:rsidRPr="008152CD">
              <w:rPr>
                <w:rFonts w:ascii="Segoe UI Symbol" w:hAnsi="Segoe UI Symbol" w:cs="Segoe UI Symbol"/>
                <w:b/>
                <w:bCs/>
              </w:rPr>
              <w:t>CMR</w:t>
            </w:r>
          </w:p>
        </w:tc>
      </w:tr>
      <w:tr w:rsidR="004451F9" w:rsidRPr="00277D86" w14:paraId="5E05C255" w14:textId="77777777" w:rsidTr="007E5951">
        <w:trPr>
          <w:jc w:val="center"/>
        </w:trPr>
        <w:tc>
          <w:tcPr>
            <w:tcW w:w="3114" w:type="dxa"/>
            <w:tcMar>
              <w:top w:w="43" w:type="dxa"/>
              <w:left w:w="43" w:type="dxa"/>
              <w:bottom w:w="43" w:type="dxa"/>
              <w:right w:w="43" w:type="dxa"/>
            </w:tcMar>
          </w:tcPr>
          <w:p w14:paraId="5EF736DB" w14:textId="77777777" w:rsidR="004451F9" w:rsidRPr="00F8658C" w:rsidRDefault="004451F9" w:rsidP="00F8658C">
            <w:pPr>
              <w:pStyle w:val="Normalwebb"/>
              <w:spacing w:before="0" w:beforeAutospacing="0" w:after="0" w:afterAutospacing="0"/>
              <w:rPr>
                <w:i/>
                <w:iCs/>
                <w:color w:val="000000"/>
              </w:rPr>
            </w:pPr>
            <w:r w:rsidRPr="00F8658C">
              <w:rPr>
                <w:i/>
                <w:iCs/>
                <w:color w:val="000000"/>
              </w:rPr>
              <w:t>Category</w:t>
            </w:r>
          </w:p>
        </w:tc>
        <w:tc>
          <w:tcPr>
            <w:tcW w:w="709" w:type="dxa"/>
            <w:tcMar>
              <w:top w:w="43" w:type="dxa"/>
              <w:left w:w="43" w:type="dxa"/>
              <w:bottom w:w="43" w:type="dxa"/>
              <w:right w:w="43" w:type="dxa"/>
            </w:tcMar>
          </w:tcPr>
          <w:p w14:paraId="4D005815" w14:textId="77777777" w:rsidR="004451F9" w:rsidRPr="00F8658C" w:rsidRDefault="004451F9" w:rsidP="00F8658C">
            <w:pPr>
              <w:pStyle w:val="Normalwebb"/>
              <w:spacing w:before="0" w:beforeAutospacing="0" w:after="0" w:afterAutospacing="0"/>
              <w:rPr>
                <w:i/>
                <w:iCs/>
                <w:color w:val="000000"/>
              </w:rPr>
            </w:pPr>
            <w:r w:rsidRPr="00F8658C">
              <w:rPr>
                <w:i/>
                <w:iCs/>
                <w:color w:val="000000"/>
              </w:rPr>
              <w:t>Score</w:t>
            </w:r>
          </w:p>
        </w:tc>
        <w:tc>
          <w:tcPr>
            <w:tcW w:w="2236" w:type="dxa"/>
            <w:gridSpan w:val="2"/>
            <w:vAlign w:val="center"/>
          </w:tcPr>
          <w:p w14:paraId="21400661" w14:textId="77777777" w:rsidR="004451F9" w:rsidRPr="00F8658C" w:rsidRDefault="004451F9" w:rsidP="00716777">
            <w:pPr>
              <w:pStyle w:val="Normalwebb"/>
              <w:spacing w:before="0" w:beforeAutospacing="0" w:after="0" w:afterAutospacing="0"/>
              <w:jc w:val="center"/>
              <w:rPr>
                <w:i/>
                <w:iCs/>
                <w:color w:val="000000"/>
              </w:rPr>
            </w:pPr>
            <w:r w:rsidRPr="00F8658C">
              <w:rPr>
                <w:i/>
                <w:iCs/>
                <w:color w:val="000000"/>
              </w:rPr>
              <w:t>Task features</w:t>
            </w:r>
          </w:p>
        </w:tc>
        <w:tc>
          <w:tcPr>
            <w:tcW w:w="3061" w:type="dxa"/>
            <w:gridSpan w:val="2"/>
          </w:tcPr>
          <w:p w14:paraId="30418E88" w14:textId="77777777" w:rsidR="004451F9" w:rsidRPr="00F8658C" w:rsidRDefault="004451F9" w:rsidP="00716777">
            <w:pPr>
              <w:pStyle w:val="Normalwebb"/>
              <w:spacing w:before="0" w:beforeAutospacing="0" w:after="0" w:afterAutospacing="0"/>
              <w:jc w:val="center"/>
              <w:rPr>
                <w:i/>
                <w:iCs/>
                <w:color w:val="000000"/>
              </w:rPr>
            </w:pPr>
            <w:r w:rsidRPr="00F8658C">
              <w:rPr>
                <w:i/>
                <w:iCs/>
                <w:color w:val="000000"/>
              </w:rPr>
              <w:t>Characteristics</w:t>
            </w:r>
          </w:p>
        </w:tc>
      </w:tr>
      <w:tr w:rsidR="004451F9" w:rsidRPr="00277D86" w14:paraId="394D5CE1" w14:textId="77777777" w:rsidTr="00874118">
        <w:trPr>
          <w:jc w:val="center"/>
        </w:trPr>
        <w:tc>
          <w:tcPr>
            <w:tcW w:w="3114" w:type="dxa"/>
            <w:tcMar>
              <w:top w:w="43" w:type="dxa"/>
              <w:left w:w="43" w:type="dxa"/>
              <w:bottom w:w="43" w:type="dxa"/>
              <w:right w:w="43" w:type="dxa"/>
            </w:tcMar>
            <w:vAlign w:val="center"/>
            <w:hideMark/>
          </w:tcPr>
          <w:p w14:paraId="1DFD294C" w14:textId="77777777" w:rsidR="004451F9" w:rsidRPr="00F8658C" w:rsidRDefault="004451F9" w:rsidP="00F8658C">
            <w:pPr>
              <w:pStyle w:val="Normalwebb"/>
              <w:spacing w:before="0" w:beforeAutospacing="0" w:after="0" w:afterAutospacing="0"/>
              <w:rPr>
                <w:color w:val="000000"/>
              </w:rPr>
            </w:pPr>
            <w:r w:rsidRPr="00F8658C">
              <w:rPr>
                <w:color w:val="000000"/>
              </w:rPr>
              <w:t>Topic area (1-4)</w:t>
            </w:r>
          </w:p>
        </w:tc>
        <w:tc>
          <w:tcPr>
            <w:tcW w:w="709" w:type="dxa"/>
            <w:tcMar>
              <w:top w:w="43" w:type="dxa"/>
              <w:left w:w="43" w:type="dxa"/>
              <w:bottom w:w="43" w:type="dxa"/>
              <w:right w:w="43" w:type="dxa"/>
            </w:tcMar>
            <w:vAlign w:val="center"/>
            <w:hideMark/>
          </w:tcPr>
          <w:p w14:paraId="14260A1A" w14:textId="77777777" w:rsidR="004451F9" w:rsidRPr="00F8658C" w:rsidRDefault="004451F9" w:rsidP="00F8658C">
            <w:pPr>
              <w:pStyle w:val="Normalwebb"/>
              <w:spacing w:before="0" w:beforeAutospacing="0" w:after="0" w:afterAutospacing="0"/>
              <w:jc w:val="center"/>
            </w:pPr>
            <w:r w:rsidRPr="00F8658C">
              <w:rPr>
                <w:color w:val="000000"/>
              </w:rPr>
              <w:t>1</w:t>
            </w:r>
          </w:p>
        </w:tc>
        <w:tc>
          <w:tcPr>
            <w:tcW w:w="1842" w:type="dxa"/>
            <w:vAlign w:val="center"/>
          </w:tcPr>
          <w:p w14:paraId="125E317C" w14:textId="77777777" w:rsidR="004451F9" w:rsidRPr="00F8658C" w:rsidRDefault="004451F9" w:rsidP="00F8658C">
            <w:pPr>
              <w:pStyle w:val="Normalwebb"/>
              <w:spacing w:before="0" w:beforeAutospacing="0" w:after="0" w:afterAutospacing="0"/>
              <w:rPr>
                <w:color w:val="000000"/>
              </w:rPr>
            </w:pPr>
            <w:r w:rsidRPr="00F8658C">
              <w:rPr>
                <w:color w:val="000000"/>
              </w:rPr>
              <w:t>Multiple solutions</w:t>
            </w:r>
          </w:p>
        </w:tc>
        <w:tc>
          <w:tcPr>
            <w:tcW w:w="394" w:type="dxa"/>
            <w:vAlign w:val="center"/>
          </w:tcPr>
          <w:p w14:paraId="429D11B4" w14:textId="77777777" w:rsidR="004451F9" w:rsidRPr="00F8658C" w:rsidRDefault="004451F9" w:rsidP="00F8658C">
            <w:pPr>
              <w:pStyle w:val="Normalwebb"/>
              <w:spacing w:before="0" w:beforeAutospacing="0" w:after="0" w:afterAutospacing="0"/>
              <w:jc w:val="center"/>
              <w:rPr>
                <w:color w:val="000000"/>
              </w:rPr>
            </w:pPr>
            <w:r w:rsidRPr="00F8658C">
              <w:rPr>
                <w:rFonts w:ascii="Segoe UI Symbol" w:hAnsi="Segoe UI Symbol" w:cs="Segoe UI Symbol"/>
              </w:rPr>
              <w:t>✓</w:t>
            </w:r>
          </w:p>
        </w:tc>
        <w:tc>
          <w:tcPr>
            <w:tcW w:w="2725" w:type="dxa"/>
            <w:vAlign w:val="center"/>
          </w:tcPr>
          <w:p w14:paraId="1EBCEDF3" w14:textId="20DCEC82" w:rsidR="004451F9" w:rsidRPr="00F8658C" w:rsidRDefault="00874118" w:rsidP="00F8658C">
            <w:pPr>
              <w:pStyle w:val="Normalwebb"/>
              <w:spacing w:before="0" w:beforeAutospacing="0" w:after="0" w:afterAutospacing="0"/>
              <w:rPr>
                <w:color w:val="000000"/>
              </w:rPr>
            </w:pPr>
            <w:r w:rsidRPr="00F8658C">
              <w:rPr>
                <w:color w:val="000000"/>
              </w:rPr>
              <w:t>Creativity</w:t>
            </w:r>
          </w:p>
        </w:tc>
        <w:tc>
          <w:tcPr>
            <w:tcW w:w="336" w:type="dxa"/>
            <w:vAlign w:val="center"/>
          </w:tcPr>
          <w:p w14:paraId="510148A9" w14:textId="77777777" w:rsidR="004451F9" w:rsidRPr="00F8658C" w:rsidRDefault="004451F9" w:rsidP="00F8658C">
            <w:pPr>
              <w:pStyle w:val="Normalwebb"/>
              <w:spacing w:before="0" w:beforeAutospacing="0" w:after="0" w:afterAutospacing="0"/>
              <w:jc w:val="center"/>
              <w:rPr>
                <w:color w:val="000000"/>
              </w:rPr>
            </w:pPr>
            <w:r w:rsidRPr="00F8658C">
              <w:rPr>
                <w:rFonts w:ascii="Segoe UI Symbol" w:hAnsi="Segoe UI Symbol" w:cs="Segoe UI Symbol"/>
              </w:rPr>
              <w:t>✓</w:t>
            </w:r>
          </w:p>
        </w:tc>
      </w:tr>
      <w:tr w:rsidR="004451F9" w:rsidRPr="00277D86" w14:paraId="52778E89" w14:textId="77777777" w:rsidTr="00874118">
        <w:trPr>
          <w:jc w:val="center"/>
        </w:trPr>
        <w:tc>
          <w:tcPr>
            <w:tcW w:w="3114" w:type="dxa"/>
            <w:tcMar>
              <w:top w:w="43" w:type="dxa"/>
              <w:left w:w="43" w:type="dxa"/>
              <w:bottom w:w="43" w:type="dxa"/>
              <w:right w:w="43" w:type="dxa"/>
            </w:tcMar>
            <w:vAlign w:val="center"/>
            <w:hideMark/>
          </w:tcPr>
          <w:p w14:paraId="67F0E346" w14:textId="77777777" w:rsidR="004451F9" w:rsidRPr="00F8658C" w:rsidRDefault="004451F9" w:rsidP="00F8658C">
            <w:pPr>
              <w:pStyle w:val="Normalwebb"/>
              <w:spacing w:before="0" w:beforeAutospacing="0" w:after="0" w:afterAutospacing="0"/>
              <w:rPr>
                <w:color w:val="000000"/>
              </w:rPr>
            </w:pPr>
            <w:r w:rsidRPr="00F8658C">
              <w:rPr>
                <w:color w:val="000000"/>
              </w:rPr>
              <w:t xml:space="preserve">Curricular knowledge level </w:t>
            </w:r>
          </w:p>
          <w:p w14:paraId="1F4BF5D5" w14:textId="77777777" w:rsidR="004451F9" w:rsidRPr="00F8658C" w:rsidRDefault="004451F9" w:rsidP="00F8658C">
            <w:pPr>
              <w:pStyle w:val="Normalwebb"/>
              <w:spacing w:before="0" w:beforeAutospacing="0" w:after="0" w:afterAutospacing="0"/>
              <w:rPr>
                <w:color w:val="000000"/>
              </w:rPr>
            </w:pPr>
            <w:r w:rsidRPr="00F8658C">
              <w:rPr>
                <w:color w:val="000000"/>
              </w:rPr>
              <w:t>(1-3)</w:t>
            </w:r>
          </w:p>
        </w:tc>
        <w:tc>
          <w:tcPr>
            <w:tcW w:w="709" w:type="dxa"/>
            <w:tcMar>
              <w:top w:w="43" w:type="dxa"/>
              <w:left w:w="43" w:type="dxa"/>
              <w:bottom w:w="43" w:type="dxa"/>
              <w:right w:w="43" w:type="dxa"/>
            </w:tcMar>
            <w:vAlign w:val="center"/>
            <w:hideMark/>
          </w:tcPr>
          <w:p w14:paraId="4022BA74" w14:textId="77777777" w:rsidR="004451F9" w:rsidRPr="00F8658C" w:rsidRDefault="004451F9" w:rsidP="00F8658C">
            <w:pPr>
              <w:pStyle w:val="Normalwebb"/>
              <w:spacing w:before="0" w:beforeAutospacing="0" w:after="0" w:afterAutospacing="0"/>
              <w:jc w:val="center"/>
            </w:pPr>
            <w:r w:rsidRPr="00F8658C">
              <w:rPr>
                <w:color w:val="000000"/>
              </w:rPr>
              <w:t>3*</w:t>
            </w:r>
          </w:p>
        </w:tc>
        <w:tc>
          <w:tcPr>
            <w:tcW w:w="1842" w:type="dxa"/>
            <w:vAlign w:val="center"/>
          </w:tcPr>
          <w:p w14:paraId="0F57D853" w14:textId="77777777" w:rsidR="004451F9" w:rsidRPr="00F8658C" w:rsidRDefault="004451F9" w:rsidP="00F8658C">
            <w:pPr>
              <w:pStyle w:val="Normalwebb"/>
              <w:spacing w:before="0" w:beforeAutospacing="0" w:after="0" w:afterAutospacing="0"/>
              <w:rPr>
                <w:color w:val="000000"/>
              </w:rPr>
            </w:pPr>
            <w:r w:rsidRPr="00F8658C">
              <w:rPr>
                <w:color w:val="000000"/>
              </w:rPr>
              <w:t>Multiple representations</w:t>
            </w:r>
          </w:p>
        </w:tc>
        <w:tc>
          <w:tcPr>
            <w:tcW w:w="394" w:type="dxa"/>
            <w:vAlign w:val="center"/>
          </w:tcPr>
          <w:p w14:paraId="38129602" w14:textId="77777777" w:rsidR="004451F9" w:rsidRPr="00F8658C" w:rsidRDefault="004451F9" w:rsidP="00F8658C">
            <w:pPr>
              <w:pStyle w:val="Normalwebb"/>
              <w:spacing w:before="0" w:beforeAutospacing="0" w:after="0" w:afterAutospacing="0"/>
              <w:jc w:val="center"/>
              <w:rPr>
                <w:color w:val="000000"/>
              </w:rPr>
            </w:pPr>
            <w:r w:rsidRPr="00F8658C">
              <w:rPr>
                <w:rFonts w:ascii="Segoe UI Symbol" w:hAnsi="Segoe UI Symbol" w:cs="Segoe UI Symbol"/>
              </w:rPr>
              <w:t>✓</w:t>
            </w:r>
          </w:p>
        </w:tc>
        <w:tc>
          <w:tcPr>
            <w:tcW w:w="2725" w:type="dxa"/>
            <w:vAlign w:val="center"/>
          </w:tcPr>
          <w:p w14:paraId="3C11AADC" w14:textId="724E1FC0" w:rsidR="004451F9" w:rsidRPr="00F8658C" w:rsidRDefault="004451F9" w:rsidP="00F8658C">
            <w:pPr>
              <w:pStyle w:val="Normalwebb"/>
              <w:spacing w:before="0" w:beforeAutospacing="0" w:after="0" w:afterAutospacing="0"/>
              <w:rPr>
                <w:color w:val="000000"/>
              </w:rPr>
            </w:pPr>
            <w:r w:rsidRPr="00F8658C">
              <w:rPr>
                <w:color w:val="000000"/>
              </w:rPr>
              <w:t xml:space="preserve">Conceptual </w:t>
            </w:r>
            <w:r w:rsidR="00874118" w:rsidRPr="00F8658C">
              <w:rPr>
                <w:color w:val="000000"/>
              </w:rPr>
              <w:t>challenge</w:t>
            </w:r>
          </w:p>
        </w:tc>
        <w:tc>
          <w:tcPr>
            <w:tcW w:w="336" w:type="dxa"/>
            <w:vAlign w:val="center"/>
          </w:tcPr>
          <w:p w14:paraId="0CD4957D" w14:textId="77777777" w:rsidR="004451F9" w:rsidRPr="00F8658C" w:rsidRDefault="004451F9" w:rsidP="00F8658C">
            <w:pPr>
              <w:pStyle w:val="Normalwebb"/>
              <w:spacing w:before="0" w:beforeAutospacing="0" w:after="0" w:afterAutospacing="0"/>
              <w:jc w:val="center"/>
              <w:rPr>
                <w:color w:val="000000"/>
              </w:rPr>
            </w:pPr>
            <w:r w:rsidRPr="00F8658C">
              <w:rPr>
                <w:rFonts w:ascii="Segoe UI Symbol" w:hAnsi="Segoe UI Symbol" w:cs="Segoe UI Symbol"/>
              </w:rPr>
              <w:t>✓</w:t>
            </w:r>
          </w:p>
        </w:tc>
      </w:tr>
      <w:tr w:rsidR="004451F9" w:rsidRPr="00277D86" w14:paraId="088BDF6A" w14:textId="77777777" w:rsidTr="00874118">
        <w:trPr>
          <w:jc w:val="center"/>
        </w:trPr>
        <w:tc>
          <w:tcPr>
            <w:tcW w:w="3114" w:type="dxa"/>
            <w:tcMar>
              <w:top w:w="43" w:type="dxa"/>
              <w:left w:w="43" w:type="dxa"/>
              <w:bottom w:w="43" w:type="dxa"/>
              <w:right w:w="43" w:type="dxa"/>
            </w:tcMar>
            <w:vAlign w:val="center"/>
            <w:hideMark/>
          </w:tcPr>
          <w:p w14:paraId="4FA40B77" w14:textId="77777777" w:rsidR="004451F9" w:rsidRPr="00F8658C" w:rsidRDefault="004451F9" w:rsidP="00F8658C">
            <w:pPr>
              <w:pStyle w:val="Normalwebb"/>
              <w:spacing w:before="0" w:beforeAutospacing="0" w:after="0" w:afterAutospacing="0"/>
              <w:rPr>
                <w:color w:val="000000"/>
              </w:rPr>
            </w:pPr>
            <w:r w:rsidRPr="00F8658C">
              <w:rPr>
                <w:color w:val="000000"/>
              </w:rPr>
              <w:t>Type of mathematical activity (1-3)</w:t>
            </w:r>
          </w:p>
        </w:tc>
        <w:tc>
          <w:tcPr>
            <w:tcW w:w="709" w:type="dxa"/>
            <w:tcMar>
              <w:top w:w="43" w:type="dxa"/>
              <w:left w:w="43" w:type="dxa"/>
              <w:bottom w:w="43" w:type="dxa"/>
              <w:right w:w="43" w:type="dxa"/>
            </w:tcMar>
            <w:vAlign w:val="center"/>
            <w:hideMark/>
          </w:tcPr>
          <w:p w14:paraId="6358AB12" w14:textId="77777777" w:rsidR="004451F9" w:rsidRPr="00F8658C" w:rsidRDefault="004451F9" w:rsidP="00F8658C">
            <w:pPr>
              <w:pStyle w:val="Normalwebb"/>
              <w:spacing w:before="0" w:beforeAutospacing="0" w:after="0" w:afterAutospacing="0"/>
              <w:jc w:val="center"/>
            </w:pPr>
            <w:r w:rsidRPr="00F8658C">
              <w:rPr>
                <w:color w:val="000000"/>
              </w:rPr>
              <w:t>2*</w:t>
            </w:r>
          </w:p>
        </w:tc>
        <w:tc>
          <w:tcPr>
            <w:tcW w:w="1842" w:type="dxa"/>
            <w:vAlign w:val="center"/>
          </w:tcPr>
          <w:p w14:paraId="5BA7BF62" w14:textId="77777777" w:rsidR="004451F9" w:rsidRPr="00F8658C" w:rsidRDefault="004451F9" w:rsidP="00F8658C">
            <w:pPr>
              <w:pStyle w:val="Normalwebb"/>
              <w:spacing w:before="0" w:beforeAutospacing="0" w:after="0" w:afterAutospacing="0"/>
              <w:rPr>
                <w:color w:val="000000"/>
              </w:rPr>
            </w:pPr>
            <w:r w:rsidRPr="00F8658C">
              <w:rPr>
                <w:color w:val="000000"/>
              </w:rPr>
              <w:t>Demand for justification</w:t>
            </w:r>
          </w:p>
        </w:tc>
        <w:tc>
          <w:tcPr>
            <w:tcW w:w="394" w:type="dxa"/>
            <w:vAlign w:val="center"/>
          </w:tcPr>
          <w:p w14:paraId="4D65F761" w14:textId="77777777" w:rsidR="004451F9" w:rsidRPr="00F8658C" w:rsidRDefault="004451F9" w:rsidP="00F8658C">
            <w:pPr>
              <w:pStyle w:val="Normalwebb"/>
              <w:spacing w:before="0" w:beforeAutospacing="0" w:after="0" w:afterAutospacing="0"/>
              <w:jc w:val="center"/>
              <w:rPr>
                <w:color w:val="000000"/>
              </w:rPr>
            </w:pPr>
            <w:r w:rsidRPr="00F8658C">
              <w:rPr>
                <w:rFonts w:ascii="Segoe UI Symbol" w:hAnsi="Segoe UI Symbol" w:cs="Segoe UI Symbol"/>
              </w:rPr>
              <w:t>✓</w:t>
            </w:r>
          </w:p>
        </w:tc>
        <w:tc>
          <w:tcPr>
            <w:tcW w:w="2725" w:type="dxa"/>
            <w:vAlign w:val="center"/>
          </w:tcPr>
          <w:p w14:paraId="5BD029D7" w14:textId="77777777" w:rsidR="004451F9" w:rsidRPr="00F8658C" w:rsidRDefault="004451F9" w:rsidP="00F8658C">
            <w:pPr>
              <w:pStyle w:val="Normalwebb"/>
              <w:spacing w:before="0" w:beforeAutospacing="0" w:after="0" w:afterAutospacing="0"/>
              <w:rPr>
                <w:color w:val="000000"/>
              </w:rPr>
            </w:pPr>
            <w:r w:rsidRPr="00F8658C">
              <w:rPr>
                <w:color w:val="000000"/>
              </w:rPr>
              <w:t>Demand for justification</w:t>
            </w:r>
          </w:p>
        </w:tc>
        <w:tc>
          <w:tcPr>
            <w:tcW w:w="336" w:type="dxa"/>
            <w:vAlign w:val="center"/>
          </w:tcPr>
          <w:p w14:paraId="5BE202A2" w14:textId="77777777" w:rsidR="004451F9" w:rsidRPr="00F8658C" w:rsidRDefault="004451F9" w:rsidP="00F8658C">
            <w:pPr>
              <w:pStyle w:val="Normalwebb"/>
              <w:spacing w:before="0" w:beforeAutospacing="0" w:after="0" w:afterAutospacing="0"/>
              <w:jc w:val="center"/>
              <w:rPr>
                <w:color w:val="000000"/>
              </w:rPr>
            </w:pPr>
            <w:r w:rsidRPr="00F8658C">
              <w:rPr>
                <w:rFonts w:ascii="Segoe UI Symbol" w:hAnsi="Segoe UI Symbol" w:cs="Segoe UI Symbol"/>
              </w:rPr>
              <w:t>✓</w:t>
            </w:r>
          </w:p>
        </w:tc>
      </w:tr>
      <w:tr w:rsidR="004451F9" w:rsidRPr="00277D86" w14:paraId="173B7D44" w14:textId="77777777" w:rsidTr="00874118">
        <w:trPr>
          <w:jc w:val="center"/>
        </w:trPr>
        <w:tc>
          <w:tcPr>
            <w:tcW w:w="3114" w:type="dxa"/>
            <w:tcMar>
              <w:top w:w="43" w:type="dxa"/>
              <w:left w:w="43" w:type="dxa"/>
              <w:bottom w:w="43" w:type="dxa"/>
              <w:right w:w="43" w:type="dxa"/>
            </w:tcMar>
            <w:vAlign w:val="center"/>
            <w:hideMark/>
          </w:tcPr>
          <w:p w14:paraId="7906A1D2" w14:textId="77777777" w:rsidR="004451F9" w:rsidRPr="00F8658C" w:rsidRDefault="004451F9" w:rsidP="00F8658C">
            <w:pPr>
              <w:pStyle w:val="Normalwebb"/>
              <w:spacing w:before="0" w:beforeAutospacing="0" w:after="0" w:afterAutospacing="0"/>
              <w:rPr>
                <w:color w:val="000000"/>
              </w:rPr>
            </w:pPr>
            <w:r w:rsidRPr="00F8658C">
              <w:rPr>
                <w:color w:val="000000"/>
              </w:rPr>
              <w:t>Extra-mathematical modelling (0-3)</w:t>
            </w:r>
          </w:p>
        </w:tc>
        <w:tc>
          <w:tcPr>
            <w:tcW w:w="709" w:type="dxa"/>
            <w:tcMar>
              <w:top w:w="43" w:type="dxa"/>
              <w:left w:w="43" w:type="dxa"/>
              <w:bottom w:w="43" w:type="dxa"/>
              <w:right w:w="43" w:type="dxa"/>
            </w:tcMar>
            <w:vAlign w:val="center"/>
            <w:hideMark/>
          </w:tcPr>
          <w:p w14:paraId="0E7AFDF6" w14:textId="77777777" w:rsidR="004451F9" w:rsidRPr="00F8658C" w:rsidRDefault="004451F9" w:rsidP="00F8658C">
            <w:pPr>
              <w:pStyle w:val="Normalwebb"/>
              <w:spacing w:before="0" w:beforeAutospacing="0" w:after="0" w:afterAutospacing="0"/>
              <w:jc w:val="center"/>
            </w:pPr>
            <w:r w:rsidRPr="00F8658C">
              <w:rPr>
                <w:color w:val="000000"/>
              </w:rPr>
              <w:t>0</w:t>
            </w:r>
          </w:p>
        </w:tc>
        <w:tc>
          <w:tcPr>
            <w:tcW w:w="2236" w:type="dxa"/>
            <w:gridSpan w:val="2"/>
            <w:vAlign w:val="center"/>
          </w:tcPr>
          <w:p w14:paraId="1F6D85D5" w14:textId="77777777" w:rsidR="004451F9" w:rsidRPr="00F8658C" w:rsidRDefault="004451F9" w:rsidP="00F8658C">
            <w:pPr>
              <w:pStyle w:val="Normalwebb"/>
              <w:spacing w:before="0" w:beforeAutospacing="0" w:after="0" w:afterAutospacing="0"/>
              <w:jc w:val="center"/>
              <w:rPr>
                <w:i/>
                <w:iCs/>
                <w:color w:val="000000"/>
              </w:rPr>
            </w:pPr>
            <w:r w:rsidRPr="00F8658C">
              <w:rPr>
                <w:i/>
                <w:iCs/>
                <w:color w:val="000000"/>
              </w:rPr>
              <w:t>Cognitive demands</w:t>
            </w:r>
          </w:p>
        </w:tc>
        <w:tc>
          <w:tcPr>
            <w:tcW w:w="2725" w:type="dxa"/>
            <w:tcBorders>
              <w:bottom w:val="single" w:sz="4" w:space="0" w:color="auto"/>
            </w:tcBorders>
            <w:vAlign w:val="center"/>
          </w:tcPr>
          <w:p w14:paraId="47B41073" w14:textId="77777777" w:rsidR="004451F9" w:rsidRPr="00F8658C" w:rsidRDefault="004451F9" w:rsidP="00F8658C">
            <w:pPr>
              <w:pStyle w:val="Normalwebb"/>
              <w:spacing w:before="0" w:beforeAutospacing="0" w:after="0" w:afterAutospacing="0"/>
              <w:rPr>
                <w:color w:val="000000"/>
              </w:rPr>
            </w:pPr>
            <w:r w:rsidRPr="00F8658C">
              <w:rPr>
                <w:color w:val="000000"/>
              </w:rPr>
              <w:t>Reasoning</w:t>
            </w:r>
          </w:p>
        </w:tc>
        <w:tc>
          <w:tcPr>
            <w:tcW w:w="336" w:type="dxa"/>
            <w:tcBorders>
              <w:bottom w:val="single" w:sz="4" w:space="0" w:color="auto"/>
            </w:tcBorders>
            <w:vAlign w:val="center"/>
          </w:tcPr>
          <w:p w14:paraId="61E7DDF9" w14:textId="77777777" w:rsidR="004451F9" w:rsidRPr="00F8658C" w:rsidRDefault="004451F9" w:rsidP="00F8658C">
            <w:pPr>
              <w:pStyle w:val="Normalwebb"/>
              <w:spacing w:before="0" w:beforeAutospacing="0" w:after="0" w:afterAutospacing="0"/>
              <w:jc w:val="center"/>
              <w:rPr>
                <w:color w:val="000000"/>
              </w:rPr>
            </w:pPr>
            <w:r w:rsidRPr="00F8658C">
              <w:rPr>
                <w:rFonts w:ascii="Segoe UI Symbol" w:hAnsi="Segoe UI Symbol" w:cs="Segoe UI Symbol"/>
              </w:rPr>
              <w:t>✓</w:t>
            </w:r>
          </w:p>
        </w:tc>
      </w:tr>
      <w:tr w:rsidR="004451F9" w:rsidRPr="00277D86" w14:paraId="2692DF36" w14:textId="77777777" w:rsidTr="00874118">
        <w:trPr>
          <w:jc w:val="center"/>
        </w:trPr>
        <w:tc>
          <w:tcPr>
            <w:tcW w:w="3114" w:type="dxa"/>
            <w:tcMar>
              <w:top w:w="43" w:type="dxa"/>
              <w:left w:w="43" w:type="dxa"/>
              <w:bottom w:w="43" w:type="dxa"/>
              <w:right w:w="43" w:type="dxa"/>
            </w:tcMar>
            <w:vAlign w:val="center"/>
            <w:hideMark/>
          </w:tcPr>
          <w:p w14:paraId="60414B14" w14:textId="77777777" w:rsidR="004451F9" w:rsidRPr="00F8658C" w:rsidRDefault="004451F9" w:rsidP="00F8658C">
            <w:pPr>
              <w:pStyle w:val="Normalwebb"/>
              <w:spacing w:before="0" w:beforeAutospacing="0" w:after="0" w:afterAutospacing="0"/>
              <w:rPr>
                <w:color w:val="000000"/>
              </w:rPr>
            </w:pPr>
            <w:r w:rsidRPr="00F8658C">
              <w:rPr>
                <w:color w:val="000000"/>
              </w:rPr>
              <w:t>Inner-mathematical modelling (0-3)</w:t>
            </w:r>
          </w:p>
        </w:tc>
        <w:tc>
          <w:tcPr>
            <w:tcW w:w="709" w:type="dxa"/>
            <w:tcMar>
              <w:top w:w="43" w:type="dxa"/>
              <w:left w:w="43" w:type="dxa"/>
              <w:bottom w:w="43" w:type="dxa"/>
              <w:right w:w="43" w:type="dxa"/>
            </w:tcMar>
            <w:vAlign w:val="center"/>
            <w:hideMark/>
          </w:tcPr>
          <w:p w14:paraId="43EA3301" w14:textId="77777777" w:rsidR="004451F9" w:rsidRPr="00F8658C" w:rsidRDefault="004451F9" w:rsidP="00F8658C">
            <w:pPr>
              <w:pStyle w:val="Normalwebb"/>
              <w:spacing w:before="0" w:beforeAutospacing="0" w:after="0" w:afterAutospacing="0"/>
              <w:jc w:val="center"/>
            </w:pPr>
            <w:r w:rsidRPr="00F8658C">
              <w:rPr>
                <w:color w:val="000000"/>
              </w:rPr>
              <w:t>3*</w:t>
            </w:r>
          </w:p>
        </w:tc>
        <w:tc>
          <w:tcPr>
            <w:tcW w:w="1842" w:type="dxa"/>
            <w:tcBorders>
              <w:bottom w:val="single" w:sz="4" w:space="0" w:color="auto"/>
              <w:right w:val="single" w:sz="4" w:space="0" w:color="auto"/>
            </w:tcBorders>
            <w:vAlign w:val="center"/>
          </w:tcPr>
          <w:p w14:paraId="28D9C67A" w14:textId="6EEBEF43" w:rsidR="00BB0AD1" w:rsidRPr="00F8658C" w:rsidRDefault="004451F9" w:rsidP="00F8658C">
            <w:pPr>
              <w:pStyle w:val="Normalwebb"/>
              <w:spacing w:before="0" w:beforeAutospacing="0" w:after="0" w:afterAutospacing="0"/>
              <w:rPr>
                <w:color w:val="000000"/>
              </w:rPr>
            </w:pPr>
            <w:r w:rsidRPr="00F8658C">
              <w:rPr>
                <w:color w:val="000000"/>
              </w:rPr>
              <w:t>Procedur</w:t>
            </w:r>
            <w:r w:rsidR="00874118" w:rsidRPr="00F8658C">
              <w:rPr>
                <w:color w:val="000000"/>
              </w:rPr>
              <w:t>es</w:t>
            </w:r>
            <w:r w:rsidRPr="00F8658C">
              <w:rPr>
                <w:color w:val="000000"/>
              </w:rPr>
              <w:t xml:space="preserve"> with conceptual</w:t>
            </w:r>
          </w:p>
          <w:p w14:paraId="0AB3870E" w14:textId="21559DFE" w:rsidR="004451F9" w:rsidRPr="00F8658C" w:rsidRDefault="004451F9" w:rsidP="00F8658C">
            <w:pPr>
              <w:pStyle w:val="Normalwebb"/>
              <w:spacing w:before="0" w:beforeAutospacing="0" w:after="0" w:afterAutospacing="0"/>
              <w:rPr>
                <w:color w:val="000000"/>
              </w:rPr>
            </w:pPr>
            <w:r w:rsidRPr="00F8658C">
              <w:rPr>
                <w:color w:val="000000"/>
              </w:rPr>
              <w:t xml:space="preserve">connections </w:t>
            </w:r>
          </w:p>
        </w:tc>
        <w:tc>
          <w:tcPr>
            <w:tcW w:w="394" w:type="dxa"/>
            <w:tcBorders>
              <w:bottom w:val="single" w:sz="4" w:space="0" w:color="auto"/>
              <w:right w:val="single" w:sz="4" w:space="0" w:color="auto"/>
            </w:tcBorders>
            <w:vAlign w:val="center"/>
          </w:tcPr>
          <w:p w14:paraId="2450E7D3" w14:textId="77777777" w:rsidR="004451F9" w:rsidRPr="00F8658C" w:rsidRDefault="004451F9" w:rsidP="00F8658C">
            <w:pPr>
              <w:pStyle w:val="Normalwebb"/>
              <w:spacing w:before="0" w:beforeAutospacing="0" w:after="0" w:afterAutospacing="0"/>
              <w:jc w:val="center"/>
              <w:rPr>
                <w:color w:val="000000"/>
              </w:rPr>
            </w:pPr>
            <w:r w:rsidRPr="00F8658C">
              <w:rPr>
                <w:rFonts w:ascii="Segoe UI Symbol" w:hAnsi="Segoe UI Symbol" w:cs="Segoe UI Symbol"/>
              </w:rPr>
              <w:t>✓</w:t>
            </w:r>
          </w:p>
        </w:tc>
        <w:tc>
          <w:tcPr>
            <w:tcW w:w="3061" w:type="dxa"/>
            <w:gridSpan w:val="2"/>
            <w:vMerge w:val="restart"/>
            <w:tcBorders>
              <w:top w:val="single" w:sz="4" w:space="0" w:color="auto"/>
              <w:left w:val="single" w:sz="4" w:space="0" w:color="auto"/>
              <w:bottom w:val="nil"/>
              <w:right w:val="nil"/>
            </w:tcBorders>
          </w:tcPr>
          <w:p w14:paraId="4EDA44EC" w14:textId="77777777" w:rsidR="004451F9" w:rsidRPr="00F8658C" w:rsidRDefault="004451F9" w:rsidP="00F8658C">
            <w:pPr>
              <w:pStyle w:val="Normalwebb"/>
              <w:spacing w:before="0" w:beforeAutospacing="0" w:after="0" w:afterAutospacing="0"/>
              <w:rPr>
                <w:color w:val="000000"/>
              </w:rPr>
            </w:pPr>
          </w:p>
        </w:tc>
      </w:tr>
      <w:tr w:rsidR="00874118" w:rsidRPr="00277D86" w14:paraId="3F60E088" w14:textId="77777777" w:rsidTr="00874118">
        <w:trPr>
          <w:jc w:val="center"/>
        </w:trPr>
        <w:tc>
          <w:tcPr>
            <w:tcW w:w="3114" w:type="dxa"/>
            <w:tcMar>
              <w:top w:w="43" w:type="dxa"/>
              <w:left w:w="43" w:type="dxa"/>
              <w:bottom w:w="43" w:type="dxa"/>
              <w:right w:w="43" w:type="dxa"/>
            </w:tcMar>
            <w:vAlign w:val="center"/>
            <w:hideMark/>
          </w:tcPr>
          <w:p w14:paraId="6B89ED69" w14:textId="77777777" w:rsidR="004451F9" w:rsidRPr="00F8658C" w:rsidRDefault="004451F9" w:rsidP="00F8658C">
            <w:pPr>
              <w:pStyle w:val="Normalwebb"/>
              <w:spacing w:before="0" w:beforeAutospacing="0" w:after="0" w:afterAutospacing="0"/>
              <w:rPr>
                <w:color w:val="000000"/>
              </w:rPr>
            </w:pPr>
            <w:r w:rsidRPr="00F8658C">
              <w:rPr>
                <w:color w:val="000000"/>
              </w:rPr>
              <w:t>Basic concepts  (0-3) </w:t>
            </w:r>
          </w:p>
        </w:tc>
        <w:tc>
          <w:tcPr>
            <w:tcW w:w="709" w:type="dxa"/>
            <w:tcBorders>
              <w:right w:val="single" w:sz="4" w:space="0" w:color="auto"/>
            </w:tcBorders>
            <w:tcMar>
              <w:top w:w="43" w:type="dxa"/>
              <w:left w:w="43" w:type="dxa"/>
              <w:bottom w:w="43" w:type="dxa"/>
              <w:right w:w="43" w:type="dxa"/>
            </w:tcMar>
            <w:vAlign w:val="center"/>
            <w:hideMark/>
          </w:tcPr>
          <w:p w14:paraId="2565CA56" w14:textId="77777777" w:rsidR="004451F9" w:rsidRPr="00F8658C" w:rsidRDefault="004451F9" w:rsidP="00F8658C">
            <w:pPr>
              <w:pStyle w:val="Normalwebb"/>
              <w:spacing w:before="0" w:beforeAutospacing="0" w:after="0" w:afterAutospacing="0"/>
              <w:jc w:val="center"/>
            </w:pPr>
            <w:r w:rsidRPr="00F8658C">
              <w:rPr>
                <w:color w:val="000000"/>
              </w:rPr>
              <w:t>3</w:t>
            </w:r>
          </w:p>
        </w:tc>
        <w:tc>
          <w:tcPr>
            <w:tcW w:w="2236" w:type="dxa"/>
            <w:gridSpan w:val="2"/>
            <w:tcBorders>
              <w:top w:val="single" w:sz="4" w:space="0" w:color="auto"/>
              <w:left w:val="single" w:sz="4" w:space="0" w:color="auto"/>
              <w:bottom w:val="nil"/>
              <w:right w:val="nil"/>
            </w:tcBorders>
          </w:tcPr>
          <w:p w14:paraId="4D0FFC04" w14:textId="77777777" w:rsidR="004451F9" w:rsidRPr="00F8658C" w:rsidRDefault="004451F9" w:rsidP="00F8658C">
            <w:pPr>
              <w:pStyle w:val="Normalwebb"/>
              <w:spacing w:before="0" w:beforeAutospacing="0" w:after="0" w:afterAutospacing="0"/>
              <w:jc w:val="center"/>
              <w:rPr>
                <w:color w:val="000000"/>
                <w:lang w:val="en-US"/>
              </w:rPr>
            </w:pPr>
          </w:p>
        </w:tc>
        <w:tc>
          <w:tcPr>
            <w:tcW w:w="3061" w:type="dxa"/>
            <w:gridSpan w:val="2"/>
            <w:vMerge/>
            <w:tcBorders>
              <w:top w:val="nil"/>
              <w:left w:val="nil"/>
              <w:bottom w:val="nil"/>
              <w:right w:val="nil"/>
            </w:tcBorders>
          </w:tcPr>
          <w:p w14:paraId="7943F6D2" w14:textId="77777777" w:rsidR="004451F9" w:rsidRPr="00F8658C" w:rsidRDefault="004451F9" w:rsidP="00F8658C">
            <w:pPr>
              <w:pStyle w:val="Normalwebb"/>
              <w:spacing w:before="0" w:beforeAutospacing="0" w:after="0" w:afterAutospacing="0"/>
              <w:rPr>
                <w:color w:val="000000"/>
                <w:lang w:val="en-US"/>
              </w:rPr>
            </w:pPr>
          </w:p>
        </w:tc>
      </w:tr>
      <w:tr w:rsidR="007E5951" w:rsidRPr="00277D86" w14:paraId="55B82E96" w14:textId="77777777" w:rsidTr="00874118">
        <w:trPr>
          <w:jc w:val="center"/>
        </w:trPr>
        <w:tc>
          <w:tcPr>
            <w:tcW w:w="3114" w:type="dxa"/>
            <w:tcMar>
              <w:top w:w="43" w:type="dxa"/>
              <w:left w:w="43" w:type="dxa"/>
              <w:bottom w:w="43" w:type="dxa"/>
              <w:right w:w="43" w:type="dxa"/>
            </w:tcMar>
            <w:vAlign w:val="center"/>
            <w:hideMark/>
          </w:tcPr>
          <w:p w14:paraId="0292A032" w14:textId="77777777" w:rsidR="004451F9" w:rsidRPr="00F8658C" w:rsidRDefault="004451F9" w:rsidP="00F8658C">
            <w:pPr>
              <w:pStyle w:val="Normalwebb"/>
              <w:spacing w:before="0" w:beforeAutospacing="0" w:after="0" w:afterAutospacing="0"/>
              <w:rPr>
                <w:color w:val="000000"/>
              </w:rPr>
            </w:pPr>
            <w:r w:rsidRPr="00F8658C">
              <w:rPr>
                <w:color w:val="000000"/>
              </w:rPr>
              <w:t>Processing of mathematical texts (0-3)</w:t>
            </w:r>
          </w:p>
        </w:tc>
        <w:tc>
          <w:tcPr>
            <w:tcW w:w="709" w:type="dxa"/>
            <w:tcBorders>
              <w:right w:val="single" w:sz="4" w:space="0" w:color="auto"/>
            </w:tcBorders>
            <w:tcMar>
              <w:top w:w="43" w:type="dxa"/>
              <w:left w:w="43" w:type="dxa"/>
              <w:bottom w:w="43" w:type="dxa"/>
              <w:right w:w="43" w:type="dxa"/>
            </w:tcMar>
            <w:vAlign w:val="center"/>
            <w:hideMark/>
          </w:tcPr>
          <w:p w14:paraId="4E184906" w14:textId="77777777" w:rsidR="004451F9" w:rsidRPr="00F8658C" w:rsidRDefault="004451F9" w:rsidP="00F8658C">
            <w:pPr>
              <w:pStyle w:val="Normalwebb"/>
              <w:spacing w:before="0" w:beforeAutospacing="0" w:after="0" w:afterAutospacing="0"/>
              <w:jc w:val="center"/>
            </w:pPr>
            <w:r w:rsidRPr="00F8658C">
              <w:rPr>
                <w:color w:val="000000"/>
              </w:rPr>
              <w:t>0</w:t>
            </w:r>
          </w:p>
        </w:tc>
        <w:tc>
          <w:tcPr>
            <w:tcW w:w="1842" w:type="dxa"/>
            <w:tcBorders>
              <w:top w:val="nil"/>
              <w:left w:val="single" w:sz="4" w:space="0" w:color="auto"/>
              <w:bottom w:val="nil"/>
              <w:right w:val="nil"/>
            </w:tcBorders>
          </w:tcPr>
          <w:p w14:paraId="14B64121" w14:textId="77777777" w:rsidR="004451F9" w:rsidRPr="00F8658C" w:rsidRDefault="004451F9" w:rsidP="00716777">
            <w:pPr>
              <w:pStyle w:val="Normalwebb"/>
              <w:spacing w:before="0" w:beforeAutospacing="0" w:after="0" w:afterAutospacing="0"/>
              <w:rPr>
                <w:color w:val="000000"/>
                <w:lang w:val="en-US"/>
              </w:rPr>
            </w:pPr>
          </w:p>
        </w:tc>
        <w:tc>
          <w:tcPr>
            <w:tcW w:w="394" w:type="dxa"/>
            <w:tcBorders>
              <w:top w:val="nil"/>
              <w:left w:val="nil"/>
              <w:bottom w:val="nil"/>
              <w:right w:val="nil"/>
            </w:tcBorders>
          </w:tcPr>
          <w:p w14:paraId="2EED4038" w14:textId="77777777" w:rsidR="004451F9" w:rsidRPr="00F8658C" w:rsidRDefault="004451F9" w:rsidP="00F8658C">
            <w:pPr>
              <w:pStyle w:val="Normalwebb"/>
              <w:spacing w:before="0" w:beforeAutospacing="0" w:after="0" w:afterAutospacing="0"/>
              <w:jc w:val="center"/>
              <w:rPr>
                <w:color w:val="000000"/>
              </w:rPr>
            </w:pPr>
          </w:p>
        </w:tc>
        <w:tc>
          <w:tcPr>
            <w:tcW w:w="3061" w:type="dxa"/>
            <w:gridSpan w:val="2"/>
            <w:vMerge/>
            <w:tcBorders>
              <w:top w:val="nil"/>
              <w:left w:val="nil"/>
              <w:bottom w:val="nil"/>
              <w:right w:val="nil"/>
            </w:tcBorders>
          </w:tcPr>
          <w:p w14:paraId="5EC564C8" w14:textId="77777777" w:rsidR="004451F9" w:rsidRPr="00F8658C" w:rsidRDefault="004451F9" w:rsidP="00F8658C">
            <w:pPr>
              <w:pStyle w:val="Normalwebb"/>
              <w:spacing w:before="0" w:beforeAutospacing="0" w:after="0" w:afterAutospacing="0"/>
              <w:rPr>
                <w:color w:val="000000"/>
              </w:rPr>
            </w:pPr>
          </w:p>
        </w:tc>
      </w:tr>
      <w:tr w:rsidR="007E5951" w:rsidRPr="00277D86" w14:paraId="4AD4EB46" w14:textId="77777777" w:rsidTr="00874118">
        <w:trPr>
          <w:jc w:val="center"/>
        </w:trPr>
        <w:tc>
          <w:tcPr>
            <w:tcW w:w="3114" w:type="dxa"/>
            <w:tcMar>
              <w:top w:w="43" w:type="dxa"/>
              <w:left w:w="43" w:type="dxa"/>
              <w:bottom w:w="43" w:type="dxa"/>
              <w:right w:w="43" w:type="dxa"/>
            </w:tcMar>
            <w:vAlign w:val="center"/>
            <w:hideMark/>
          </w:tcPr>
          <w:p w14:paraId="15E019D8" w14:textId="77777777" w:rsidR="004451F9" w:rsidRPr="00F8658C" w:rsidRDefault="004451F9" w:rsidP="00F8658C">
            <w:pPr>
              <w:pStyle w:val="Normalwebb"/>
              <w:spacing w:before="0" w:beforeAutospacing="0" w:after="0" w:afterAutospacing="0"/>
              <w:rPr>
                <w:color w:val="000000"/>
              </w:rPr>
            </w:pPr>
            <w:r w:rsidRPr="00F8658C">
              <w:rPr>
                <w:color w:val="000000"/>
              </w:rPr>
              <w:t>Argumentation (0-3) </w:t>
            </w:r>
          </w:p>
        </w:tc>
        <w:tc>
          <w:tcPr>
            <w:tcW w:w="709" w:type="dxa"/>
            <w:tcBorders>
              <w:right w:val="single" w:sz="4" w:space="0" w:color="auto"/>
            </w:tcBorders>
            <w:tcMar>
              <w:top w:w="43" w:type="dxa"/>
              <w:left w:w="43" w:type="dxa"/>
              <w:bottom w:w="43" w:type="dxa"/>
              <w:right w:w="43" w:type="dxa"/>
            </w:tcMar>
            <w:vAlign w:val="center"/>
            <w:hideMark/>
          </w:tcPr>
          <w:p w14:paraId="514C35C8" w14:textId="77777777" w:rsidR="004451F9" w:rsidRPr="00F8658C" w:rsidRDefault="004451F9" w:rsidP="00F8658C">
            <w:pPr>
              <w:pStyle w:val="Normalwebb"/>
              <w:spacing w:before="0" w:beforeAutospacing="0" w:after="0" w:afterAutospacing="0"/>
              <w:jc w:val="center"/>
            </w:pPr>
            <w:r w:rsidRPr="00F8658C">
              <w:rPr>
                <w:color w:val="000000"/>
              </w:rPr>
              <w:t>2</w:t>
            </w:r>
          </w:p>
        </w:tc>
        <w:tc>
          <w:tcPr>
            <w:tcW w:w="1842" w:type="dxa"/>
            <w:tcBorders>
              <w:top w:val="nil"/>
              <w:left w:val="single" w:sz="4" w:space="0" w:color="auto"/>
              <w:bottom w:val="nil"/>
              <w:right w:val="nil"/>
            </w:tcBorders>
          </w:tcPr>
          <w:p w14:paraId="73B809FA" w14:textId="36B63B7B" w:rsidR="004451F9" w:rsidRPr="00F8658C" w:rsidRDefault="004451F9" w:rsidP="00F8658C">
            <w:pPr>
              <w:pStyle w:val="Normalwebb"/>
              <w:spacing w:before="0" w:beforeAutospacing="0" w:after="0" w:afterAutospacing="0"/>
              <w:rPr>
                <w:color w:val="000000"/>
                <w:lang w:val="en-US"/>
              </w:rPr>
            </w:pPr>
          </w:p>
        </w:tc>
        <w:tc>
          <w:tcPr>
            <w:tcW w:w="394" w:type="dxa"/>
            <w:tcBorders>
              <w:top w:val="nil"/>
              <w:left w:val="nil"/>
              <w:bottom w:val="nil"/>
              <w:right w:val="nil"/>
            </w:tcBorders>
          </w:tcPr>
          <w:p w14:paraId="7663B13B" w14:textId="77777777" w:rsidR="004451F9" w:rsidRPr="00F8658C" w:rsidRDefault="004451F9" w:rsidP="00F8658C">
            <w:pPr>
              <w:pStyle w:val="Normalwebb"/>
              <w:spacing w:before="0" w:beforeAutospacing="0" w:after="0" w:afterAutospacing="0"/>
              <w:rPr>
                <w:color w:val="000000"/>
                <w:lang w:val="en-US"/>
              </w:rPr>
            </w:pPr>
          </w:p>
        </w:tc>
        <w:tc>
          <w:tcPr>
            <w:tcW w:w="3061" w:type="dxa"/>
            <w:gridSpan w:val="2"/>
            <w:vMerge/>
            <w:tcBorders>
              <w:top w:val="nil"/>
              <w:left w:val="nil"/>
              <w:bottom w:val="nil"/>
              <w:right w:val="nil"/>
            </w:tcBorders>
          </w:tcPr>
          <w:p w14:paraId="6993168C" w14:textId="77777777" w:rsidR="004451F9" w:rsidRPr="00F8658C" w:rsidRDefault="004451F9" w:rsidP="00F8658C">
            <w:pPr>
              <w:pStyle w:val="Normalwebb"/>
              <w:spacing w:before="0" w:beforeAutospacing="0" w:after="0" w:afterAutospacing="0"/>
              <w:rPr>
                <w:color w:val="000000"/>
                <w:lang w:val="en-US"/>
              </w:rPr>
            </w:pPr>
          </w:p>
        </w:tc>
      </w:tr>
      <w:tr w:rsidR="007E5951" w:rsidRPr="00277D86" w14:paraId="33623E64" w14:textId="77777777" w:rsidTr="00874118">
        <w:trPr>
          <w:jc w:val="center"/>
        </w:trPr>
        <w:tc>
          <w:tcPr>
            <w:tcW w:w="3114" w:type="dxa"/>
            <w:tcMar>
              <w:top w:w="43" w:type="dxa"/>
              <w:left w:w="43" w:type="dxa"/>
              <w:bottom w:w="43" w:type="dxa"/>
              <w:right w:w="43" w:type="dxa"/>
            </w:tcMar>
            <w:vAlign w:val="center"/>
            <w:hideMark/>
          </w:tcPr>
          <w:p w14:paraId="6552C447" w14:textId="77777777" w:rsidR="004451F9" w:rsidRPr="00F8658C" w:rsidRDefault="004451F9" w:rsidP="00F8658C">
            <w:pPr>
              <w:pStyle w:val="Normalwebb"/>
              <w:spacing w:before="0" w:beforeAutospacing="0" w:after="0" w:afterAutospacing="0"/>
              <w:rPr>
                <w:color w:val="000000"/>
              </w:rPr>
            </w:pPr>
            <w:r w:rsidRPr="00F8658C">
              <w:rPr>
                <w:color w:val="000000"/>
              </w:rPr>
              <w:t>Direction of task solution (1-2)</w:t>
            </w:r>
          </w:p>
        </w:tc>
        <w:tc>
          <w:tcPr>
            <w:tcW w:w="709" w:type="dxa"/>
            <w:tcBorders>
              <w:right w:val="single" w:sz="4" w:space="0" w:color="auto"/>
            </w:tcBorders>
            <w:tcMar>
              <w:top w:w="43" w:type="dxa"/>
              <w:left w:w="43" w:type="dxa"/>
              <w:bottom w:w="43" w:type="dxa"/>
              <w:right w:w="43" w:type="dxa"/>
            </w:tcMar>
            <w:vAlign w:val="center"/>
            <w:hideMark/>
          </w:tcPr>
          <w:p w14:paraId="3340CE8E" w14:textId="77777777" w:rsidR="004451F9" w:rsidRPr="00F8658C" w:rsidRDefault="004451F9" w:rsidP="00F8658C">
            <w:pPr>
              <w:pStyle w:val="Normalwebb"/>
              <w:spacing w:before="0" w:beforeAutospacing="0" w:after="0" w:afterAutospacing="0"/>
              <w:jc w:val="center"/>
            </w:pPr>
            <w:r w:rsidRPr="00F8658C">
              <w:rPr>
                <w:color w:val="000000"/>
              </w:rPr>
              <w:t>1**</w:t>
            </w:r>
          </w:p>
        </w:tc>
        <w:tc>
          <w:tcPr>
            <w:tcW w:w="1842" w:type="dxa"/>
            <w:tcBorders>
              <w:top w:val="nil"/>
              <w:left w:val="single" w:sz="4" w:space="0" w:color="auto"/>
              <w:bottom w:val="nil"/>
              <w:right w:val="nil"/>
            </w:tcBorders>
          </w:tcPr>
          <w:p w14:paraId="5840F39A" w14:textId="77777777" w:rsidR="004451F9" w:rsidRPr="00F8658C" w:rsidRDefault="004451F9" w:rsidP="00F8658C">
            <w:pPr>
              <w:pStyle w:val="Normalwebb"/>
              <w:spacing w:before="0" w:beforeAutospacing="0" w:after="0" w:afterAutospacing="0"/>
              <w:rPr>
                <w:color w:val="000000"/>
              </w:rPr>
            </w:pPr>
          </w:p>
        </w:tc>
        <w:tc>
          <w:tcPr>
            <w:tcW w:w="394" w:type="dxa"/>
            <w:tcBorders>
              <w:top w:val="nil"/>
              <w:left w:val="nil"/>
              <w:bottom w:val="nil"/>
              <w:right w:val="nil"/>
            </w:tcBorders>
          </w:tcPr>
          <w:p w14:paraId="4ECE48DD" w14:textId="77777777" w:rsidR="004451F9" w:rsidRPr="00F8658C" w:rsidRDefault="004451F9" w:rsidP="00F8658C">
            <w:pPr>
              <w:pStyle w:val="Normalwebb"/>
              <w:spacing w:before="0" w:beforeAutospacing="0" w:after="0" w:afterAutospacing="0"/>
              <w:rPr>
                <w:color w:val="000000"/>
              </w:rPr>
            </w:pPr>
          </w:p>
        </w:tc>
        <w:tc>
          <w:tcPr>
            <w:tcW w:w="3061" w:type="dxa"/>
            <w:gridSpan w:val="2"/>
            <w:vMerge/>
            <w:tcBorders>
              <w:top w:val="nil"/>
              <w:left w:val="nil"/>
              <w:bottom w:val="nil"/>
              <w:right w:val="nil"/>
            </w:tcBorders>
          </w:tcPr>
          <w:p w14:paraId="5ACE3208" w14:textId="77777777" w:rsidR="004451F9" w:rsidRPr="00F8658C" w:rsidRDefault="004451F9" w:rsidP="00F8658C">
            <w:pPr>
              <w:pStyle w:val="Normalwebb"/>
              <w:spacing w:before="0" w:beforeAutospacing="0" w:after="0" w:afterAutospacing="0"/>
              <w:rPr>
                <w:color w:val="000000"/>
              </w:rPr>
            </w:pPr>
          </w:p>
        </w:tc>
      </w:tr>
      <w:tr w:rsidR="004451F9" w:rsidRPr="00277D86" w14:paraId="2C680086" w14:textId="77777777" w:rsidTr="00874118">
        <w:trPr>
          <w:jc w:val="center"/>
        </w:trPr>
        <w:tc>
          <w:tcPr>
            <w:tcW w:w="3114" w:type="dxa"/>
            <w:tcMar>
              <w:top w:w="43" w:type="dxa"/>
              <w:left w:w="43" w:type="dxa"/>
              <w:bottom w:w="43" w:type="dxa"/>
              <w:right w:w="43" w:type="dxa"/>
            </w:tcMar>
            <w:vAlign w:val="center"/>
            <w:hideMark/>
          </w:tcPr>
          <w:p w14:paraId="5B0041DE" w14:textId="77777777" w:rsidR="004451F9" w:rsidRPr="00F8658C" w:rsidRDefault="004451F9" w:rsidP="00F8658C">
            <w:pPr>
              <w:pStyle w:val="Normalwebb"/>
              <w:spacing w:before="0" w:beforeAutospacing="0" w:after="0" w:afterAutospacing="0"/>
              <w:rPr>
                <w:color w:val="000000"/>
                <w:lang w:val="en-US"/>
              </w:rPr>
            </w:pPr>
            <w:r w:rsidRPr="00F8658C">
              <w:rPr>
                <w:color w:val="000000"/>
                <w:lang w:val="en-US"/>
              </w:rPr>
              <w:t>Number of solution paths required (0-2)</w:t>
            </w:r>
          </w:p>
        </w:tc>
        <w:tc>
          <w:tcPr>
            <w:tcW w:w="709" w:type="dxa"/>
            <w:tcBorders>
              <w:right w:val="single" w:sz="4" w:space="0" w:color="auto"/>
            </w:tcBorders>
            <w:tcMar>
              <w:top w:w="43" w:type="dxa"/>
              <w:left w:w="43" w:type="dxa"/>
              <w:bottom w:w="43" w:type="dxa"/>
              <w:right w:w="43" w:type="dxa"/>
            </w:tcMar>
            <w:vAlign w:val="center"/>
            <w:hideMark/>
          </w:tcPr>
          <w:p w14:paraId="33EBBCB0" w14:textId="77777777" w:rsidR="004451F9" w:rsidRPr="00F8658C" w:rsidRDefault="004451F9" w:rsidP="00F8658C">
            <w:pPr>
              <w:pStyle w:val="Normalwebb"/>
              <w:spacing w:before="0" w:beforeAutospacing="0" w:after="0" w:afterAutospacing="0"/>
              <w:jc w:val="center"/>
            </w:pPr>
            <w:r w:rsidRPr="00F8658C">
              <w:rPr>
                <w:color w:val="000000"/>
              </w:rPr>
              <w:t>2</w:t>
            </w:r>
          </w:p>
        </w:tc>
        <w:tc>
          <w:tcPr>
            <w:tcW w:w="1842" w:type="dxa"/>
            <w:tcBorders>
              <w:top w:val="nil"/>
              <w:left w:val="single" w:sz="4" w:space="0" w:color="auto"/>
              <w:bottom w:val="nil"/>
              <w:right w:val="nil"/>
            </w:tcBorders>
          </w:tcPr>
          <w:p w14:paraId="75B27A03" w14:textId="77777777" w:rsidR="004451F9" w:rsidRPr="00F8658C" w:rsidRDefault="004451F9" w:rsidP="00F8658C">
            <w:pPr>
              <w:pStyle w:val="Normalwebb"/>
              <w:spacing w:before="0" w:beforeAutospacing="0" w:after="0" w:afterAutospacing="0"/>
              <w:rPr>
                <w:color w:val="000000"/>
              </w:rPr>
            </w:pPr>
          </w:p>
        </w:tc>
        <w:tc>
          <w:tcPr>
            <w:tcW w:w="394" w:type="dxa"/>
            <w:tcBorders>
              <w:top w:val="nil"/>
              <w:left w:val="nil"/>
              <w:bottom w:val="nil"/>
              <w:right w:val="nil"/>
            </w:tcBorders>
          </w:tcPr>
          <w:p w14:paraId="5AFFA945" w14:textId="77777777" w:rsidR="004451F9" w:rsidRPr="00F8658C" w:rsidRDefault="004451F9" w:rsidP="00F8658C">
            <w:pPr>
              <w:pStyle w:val="Normalwebb"/>
              <w:spacing w:before="0" w:beforeAutospacing="0" w:after="0" w:afterAutospacing="0"/>
              <w:rPr>
                <w:color w:val="000000"/>
              </w:rPr>
            </w:pPr>
          </w:p>
        </w:tc>
        <w:tc>
          <w:tcPr>
            <w:tcW w:w="3061" w:type="dxa"/>
            <w:gridSpan w:val="2"/>
            <w:vMerge/>
            <w:tcBorders>
              <w:top w:val="nil"/>
              <w:left w:val="nil"/>
              <w:bottom w:val="nil"/>
              <w:right w:val="nil"/>
            </w:tcBorders>
          </w:tcPr>
          <w:p w14:paraId="1D0D905D" w14:textId="77777777" w:rsidR="004451F9" w:rsidRPr="00F8658C" w:rsidRDefault="004451F9" w:rsidP="00F8658C">
            <w:pPr>
              <w:pStyle w:val="Normalwebb"/>
              <w:spacing w:before="0" w:beforeAutospacing="0" w:after="0" w:afterAutospacing="0"/>
              <w:rPr>
                <w:color w:val="000000"/>
              </w:rPr>
            </w:pPr>
          </w:p>
        </w:tc>
      </w:tr>
    </w:tbl>
    <w:p w14:paraId="06E3709D" w14:textId="6A0B5A90" w:rsidR="007E5951" w:rsidRPr="00A04D93" w:rsidRDefault="00B052B2" w:rsidP="00A04D93">
      <w:pPr>
        <w:pStyle w:val="Headtable"/>
      </w:pPr>
      <w:r w:rsidRPr="007E5951">
        <w:t xml:space="preserve">Table 2: Framework elements found in the teacher’s task </w:t>
      </w:r>
      <w:r w:rsidR="00E22A6D" w:rsidRPr="007E5951">
        <w:t>description.</w:t>
      </w:r>
    </w:p>
    <w:p w14:paraId="6D68A2CB" w14:textId="16F75712" w:rsidR="00BB0AD1" w:rsidRPr="0082264D" w:rsidRDefault="00BB0AD1" w:rsidP="0082264D">
      <w:pPr>
        <w:pStyle w:val="Brdtext"/>
      </w:pPr>
      <w:r w:rsidRPr="0082264D">
        <w:t xml:space="preserve">From the summary in Table 2, it is evident that the task formulation meets the different frameworks’ characterisation of </w:t>
      </w:r>
      <w:r w:rsidR="000B1252">
        <w:t xml:space="preserve">rich </w:t>
      </w:r>
      <w:r w:rsidRPr="0082264D">
        <w:t xml:space="preserve">tasks that elicit </w:t>
      </w:r>
      <w:r w:rsidR="0082264D" w:rsidRPr="0082264D">
        <w:t>higher-level</w:t>
      </w:r>
      <w:r w:rsidRPr="0082264D">
        <w:t xml:space="preserve"> mathematical thinking.</w:t>
      </w:r>
      <w:r w:rsidR="00E75257">
        <w:t xml:space="preserve"> </w:t>
      </w:r>
    </w:p>
    <w:p w14:paraId="5BD2862F" w14:textId="2ADBBD4D" w:rsidR="0000350B" w:rsidRDefault="0000350B" w:rsidP="0000350B">
      <w:pPr>
        <w:pStyle w:val="Rubrik4"/>
      </w:pPr>
      <w:r>
        <w:lastRenderedPageBreak/>
        <w:t>The task implementation by the teacher</w:t>
      </w:r>
    </w:p>
    <w:p w14:paraId="412A893A" w14:textId="0619CCB7" w:rsidR="00BD165F" w:rsidRDefault="0000350B" w:rsidP="0000350B">
      <w:pPr>
        <w:pStyle w:val="Normalwebb"/>
        <w:spacing w:before="0" w:beforeAutospacing="0" w:after="0" w:afterAutospacing="0"/>
        <w:jc w:val="both"/>
        <w:rPr>
          <w:color w:val="000000"/>
          <w:sz w:val="26"/>
          <w:szCs w:val="26"/>
          <w:lang w:val="en-US"/>
        </w:rPr>
      </w:pPr>
      <w:r w:rsidRPr="0000350B">
        <w:rPr>
          <w:color w:val="000000"/>
          <w:sz w:val="26"/>
          <w:szCs w:val="26"/>
          <w:lang w:val="en-US"/>
        </w:rPr>
        <w:t>The teacher’s description of her implementation of the task is presented below</w:t>
      </w:r>
      <w:r w:rsidR="00BF5C79">
        <w:rPr>
          <w:color w:val="000000"/>
          <w:sz w:val="26"/>
          <w:szCs w:val="26"/>
          <w:lang w:val="en-US"/>
        </w:rPr>
        <w:t>.</w:t>
      </w:r>
      <w:r w:rsidRPr="0000350B">
        <w:rPr>
          <w:color w:val="000000"/>
          <w:sz w:val="26"/>
          <w:szCs w:val="26"/>
          <w:lang w:val="en-US"/>
        </w:rPr>
        <w:t xml:space="preserve"> The text is </w:t>
      </w:r>
      <w:r w:rsidR="0082264D">
        <w:rPr>
          <w:color w:val="000000"/>
          <w:sz w:val="26"/>
          <w:szCs w:val="26"/>
          <w:lang w:val="en-US"/>
        </w:rPr>
        <w:t>colour-coded</w:t>
      </w:r>
      <w:r w:rsidRPr="0000350B">
        <w:rPr>
          <w:color w:val="000000"/>
          <w:sz w:val="26"/>
          <w:szCs w:val="26"/>
          <w:lang w:val="en-US"/>
        </w:rPr>
        <w:t xml:space="preserve"> </w:t>
      </w:r>
      <w:r w:rsidR="00277D86">
        <w:rPr>
          <w:color w:val="000000"/>
          <w:sz w:val="26"/>
          <w:szCs w:val="26"/>
          <w:lang w:val="en-US"/>
        </w:rPr>
        <w:t>to</w:t>
      </w:r>
      <w:r w:rsidR="00BF5C79">
        <w:rPr>
          <w:color w:val="000000"/>
          <w:sz w:val="26"/>
          <w:szCs w:val="26"/>
          <w:lang w:val="en-US"/>
        </w:rPr>
        <w:t xml:space="preserve"> show the emergent </w:t>
      </w:r>
      <w:r w:rsidR="00F12E1E">
        <w:rPr>
          <w:color w:val="000000"/>
          <w:sz w:val="26"/>
          <w:szCs w:val="26"/>
          <w:lang w:val="en-US"/>
        </w:rPr>
        <w:t>overarching theme</w:t>
      </w:r>
      <w:r w:rsidR="00BD165F">
        <w:rPr>
          <w:color w:val="000000"/>
          <w:sz w:val="26"/>
          <w:szCs w:val="26"/>
          <w:lang w:val="en-US"/>
        </w:rPr>
        <w:t>s:</w:t>
      </w:r>
      <w:r w:rsidRPr="0000350B">
        <w:rPr>
          <w:color w:val="000000"/>
          <w:sz w:val="26"/>
          <w:szCs w:val="26"/>
          <w:lang w:val="en-US"/>
        </w:rPr>
        <w:t xml:space="preserve"> </w:t>
      </w:r>
    </w:p>
    <w:p w14:paraId="60DBDABC" w14:textId="77777777" w:rsidR="001B0E2F" w:rsidRDefault="001B0E2F" w:rsidP="0000350B">
      <w:pPr>
        <w:pStyle w:val="Normalwebb"/>
        <w:spacing w:before="0" w:beforeAutospacing="0" w:after="0" w:afterAutospacing="0"/>
        <w:jc w:val="both"/>
        <w:rPr>
          <w:color w:val="000000"/>
          <w:sz w:val="26"/>
          <w:szCs w:val="26"/>
          <w:lang w:val="en-US"/>
        </w:rPr>
      </w:pPr>
    </w:p>
    <w:p w14:paraId="680071E8" w14:textId="5C5720CE" w:rsidR="00DC18A2" w:rsidRDefault="00CD0397" w:rsidP="00CD0397">
      <w:pPr>
        <w:pStyle w:val="Normalwebb"/>
        <w:numPr>
          <w:ilvl w:val="0"/>
          <w:numId w:val="4"/>
        </w:numPr>
        <w:spacing w:before="0" w:beforeAutospacing="0" w:after="0" w:afterAutospacing="0"/>
        <w:jc w:val="both"/>
        <w:rPr>
          <w:color w:val="000000"/>
          <w:sz w:val="26"/>
          <w:szCs w:val="26"/>
          <w:shd w:val="clear" w:color="auto" w:fill="C9DAF8"/>
          <w:lang w:val="en-US"/>
        </w:rPr>
      </w:pPr>
      <w:r w:rsidRPr="0000350B">
        <w:rPr>
          <w:color w:val="000000"/>
          <w:sz w:val="26"/>
          <w:szCs w:val="26"/>
          <w:shd w:val="clear" w:color="auto" w:fill="FFFF00"/>
          <w:lang w:val="en-US"/>
        </w:rPr>
        <w:t>Y</w:t>
      </w:r>
      <w:r w:rsidR="0000350B" w:rsidRPr="0000350B">
        <w:rPr>
          <w:color w:val="000000"/>
          <w:sz w:val="26"/>
          <w:szCs w:val="26"/>
          <w:shd w:val="clear" w:color="auto" w:fill="FFFF00"/>
          <w:lang w:val="en-US"/>
        </w:rPr>
        <w:t>ellow</w:t>
      </w:r>
      <w:r w:rsidR="00F8300A">
        <w:rPr>
          <w:color w:val="000000"/>
          <w:sz w:val="26"/>
          <w:szCs w:val="26"/>
          <w:shd w:val="clear" w:color="auto" w:fill="FFFFFF" w:themeFill="background1"/>
          <w:lang w:val="en-US"/>
        </w:rPr>
        <w:t xml:space="preserve"> </w:t>
      </w:r>
      <w:r w:rsidR="00F8300A" w:rsidRPr="009615EA">
        <w:rPr>
          <w:color w:val="000000"/>
          <w:sz w:val="26"/>
          <w:szCs w:val="26"/>
          <w:shd w:val="clear" w:color="auto" w:fill="FFFFFF" w:themeFill="background1"/>
          <w:lang w:val="en-US"/>
        </w:rPr>
        <w:t xml:space="preserve">– </w:t>
      </w:r>
      <w:r w:rsidR="00934DA0" w:rsidRPr="009615EA">
        <w:rPr>
          <w:b/>
          <w:bCs/>
          <w:color w:val="000000"/>
          <w:sz w:val="26"/>
          <w:szCs w:val="26"/>
          <w:shd w:val="clear" w:color="auto" w:fill="FFFFFF" w:themeFill="background1"/>
          <w:lang w:val="en-US"/>
        </w:rPr>
        <w:t xml:space="preserve">timing </w:t>
      </w:r>
      <w:r w:rsidR="00934DA0" w:rsidRPr="009615EA">
        <w:rPr>
          <w:color w:val="000000"/>
          <w:sz w:val="26"/>
          <w:szCs w:val="26"/>
          <w:shd w:val="clear" w:color="auto" w:fill="FFFFFF" w:themeFill="background1"/>
          <w:lang w:val="en-US"/>
        </w:rPr>
        <w:t>considerations</w:t>
      </w:r>
    </w:p>
    <w:p w14:paraId="77916866" w14:textId="49BE0266" w:rsidR="00BD165F" w:rsidRDefault="00CD0397" w:rsidP="00CD0397">
      <w:pPr>
        <w:pStyle w:val="Normalwebb"/>
        <w:numPr>
          <w:ilvl w:val="0"/>
          <w:numId w:val="4"/>
        </w:numPr>
        <w:spacing w:before="0" w:beforeAutospacing="0" w:after="0" w:afterAutospacing="0"/>
        <w:jc w:val="both"/>
        <w:rPr>
          <w:color w:val="000000"/>
          <w:sz w:val="26"/>
          <w:szCs w:val="26"/>
          <w:lang w:val="en-US"/>
        </w:rPr>
      </w:pPr>
      <w:r>
        <w:rPr>
          <w:color w:val="000000"/>
          <w:sz w:val="26"/>
          <w:szCs w:val="26"/>
          <w:shd w:val="clear" w:color="auto" w:fill="C9DAF8"/>
          <w:lang w:val="en-US"/>
        </w:rPr>
        <w:t>Blue</w:t>
      </w:r>
      <w:r w:rsidR="00F8300A">
        <w:rPr>
          <w:color w:val="000000"/>
          <w:sz w:val="26"/>
          <w:szCs w:val="26"/>
          <w:shd w:val="clear" w:color="auto" w:fill="FFFFFF" w:themeFill="background1"/>
          <w:lang w:val="en-US"/>
        </w:rPr>
        <w:t xml:space="preserve"> </w:t>
      </w:r>
      <w:r w:rsidR="00F8300A" w:rsidRPr="009615EA">
        <w:rPr>
          <w:color w:val="000000"/>
          <w:sz w:val="26"/>
          <w:szCs w:val="26"/>
          <w:shd w:val="clear" w:color="auto" w:fill="FFFFFF" w:themeFill="background1"/>
          <w:lang w:val="en-US"/>
        </w:rPr>
        <w:t xml:space="preserve">– </w:t>
      </w:r>
      <w:r w:rsidR="0000350B" w:rsidRPr="009615EA">
        <w:rPr>
          <w:color w:val="000000"/>
          <w:sz w:val="26"/>
          <w:szCs w:val="26"/>
          <w:shd w:val="clear" w:color="auto" w:fill="FFFFFF" w:themeFill="background1"/>
          <w:lang w:val="en-US"/>
        </w:rPr>
        <w:t xml:space="preserve"> </w:t>
      </w:r>
      <w:r w:rsidR="0000350B" w:rsidRPr="009615EA">
        <w:rPr>
          <w:b/>
          <w:bCs/>
          <w:color w:val="000000"/>
          <w:sz w:val="26"/>
          <w:szCs w:val="26"/>
          <w:shd w:val="clear" w:color="auto" w:fill="FFFFFF" w:themeFill="background1"/>
          <w:lang w:val="en-US"/>
        </w:rPr>
        <w:t>feedback</w:t>
      </w:r>
      <w:r w:rsidR="0000350B" w:rsidRPr="009615EA">
        <w:rPr>
          <w:color w:val="000000"/>
          <w:sz w:val="26"/>
          <w:szCs w:val="26"/>
          <w:shd w:val="clear" w:color="auto" w:fill="FFFFFF" w:themeFill="background1"/>
          <w:lang w:val="en-US"/>
        </w:rPr>
        <w:t xml:space="preserve"> </w:t>
      </w:r>
      <w:r w:rsidR="00EA21DC" w:rsidRPr="009615EA">
        <w:rPr>
          <w:b/>
          <w:bCs/>
          <w:color w:val="000000"/>
          <w:sz w:val="26"/>
          <w:szCs w:val="26"/>
          <w:shd w:val="clear" w:color="auto" w:fill="FFFFFF" w:themeFill="background1"/>
          <w:lang w:val="en-US"/>
        </w:rPr>
        <w:t>or scaffolding</w:t>
      </w:r>
    </w:p>
    <w:p w14:paraId="16408AD4" w14:textId="4612BC5F" w:rsidR="00BD165F" w:rsidRDefault="00CD0397" w:rsidP="00CD0397">
      <w:pPr>
        <w:pStyle w:val="Normalwebb"/>
        <w:numPr>
          <w:ilvl w:val="0"/>
          <w:numId w:val="4"/>
        </w:numPr>
        <w:spacing w:before="0" w:beforeAutospacing="0" w:after="0" w:afterAutospacing="0"/>
        <w:jc w:val="both"/>
        <w:rPr>
          <w:color w:val="000000"/>
          <w:sz w:val="26"/>
          <w:szCs w:val="26"/>
          <w:lang w:val="en-US"/>
        </w:rPr>
      </w:pPr>
      <w:r w:rsidRPr="00B905B5">
        <w:rPr>
          <w:color w:val="000000"/>
          <w:sz w:val="26"/>
          <w:szCs w:val="26"/>
          <w:shd w:val="clear" w:color="auto" w:fill="E5B8B7" w:themeFill="accent2" w:themeFillTint="66"/>
          <w:lang w:val="en-US"/>
        </w:rPr>
        <w:t>Red</w:t>
      </w:r>
      <w:r w:rsidR="00F8300A">
        <w:rPr>
          <w:color w:val="000000"/>
          <w:sz w:val="26"/>
          <w:szCs w:val="26"/>
          <w:shd w:val="clear" w:color="auto" w:fill="FFFFFF" w:themeFill="background1"/>
          <w:lang w:val="en-US"/>
        </w:rPr>
        <w:t xml:space="preserve"> </w:t>
      </w:r>
      <w:r w:rsidR="00F8300A" w:rsidRPr="009615EA">
        <w:rPr>
          <w:color w:val="000000"/>
          <w:sz w:val="26"/>
          <w:szCs w:val="26"/>
          <w:shd w:val="clear" w:color="auto" w:fill="FFFFFF" w:themeFill="background1"/>
          <w:lang w:val="en-US"/>
        </w:rPr>
        <w:t xml:space="preserve">– </w:t>
      </w:r>
      <w:r w:rsidR="00EA21DC" w:rsidRPr="009615EA">
        <w:rPr>
          <w:b/>
          <w:bCs/>
          <w:color w:val="000000"/>
          <w:sz w:val="26"/>
          <w:szCs w:val="26"/>
          <w:shd w:val="clear" w:color="auto" w:fill="FFFFFF" w:themeFill="background1"/>
          <w:lang w:val="en-US"/>
        </w:rPr>
        <w:t>push</w:t>
      </w:r>
      <w:r w:rsidR="0000350B" w:rsidRPr="009615EA">
        <w:rPr>
          <w:b/>
          <w:bCs/>
          <w:color w:val="000000"/>
          <w:sz w:val="26"/>
          <w:szCs w:val="26"/>
          <w:shd w:val="clear" w:color="auto" w:fill="FFFFFF" w:themeFill="background1"/>
          <w:lang w:val="en-US"/>
        </w:rPr>
        <w:t xml:space="preserve"> for justification</w:t>
      </w:r>
      <w:r w:rsidR="0000350B" w:rsidRPr="009615EA">
        <w:rPr>
          <w:color w:val="000000"/>
          <w:sz w:val="26"/>
          <w:szCs w:val="26"/>
          <w:shd w:val="clear" w:color="auto" w:fill="FFFFFF" w:themeFill="background1"/>
          <w:lang w:val="en-US"/>
        </w:rPr>
        <w:t xml:space="preserve"> or explanation</w:t>
      </w:r>
      <w:r w:rsidR="0000350B" w:rsidRPr="0000350B">
        <w:rPr>
          <w:color w:val="000000"/>
          <w:sz w:val="26"/>
          <w:szCs w:val="26"/>
          <w:lang w:val="en-US"/>
        </w:rPr>
        <w:t xml:space="preserve"> </w:t>
      </w:r>
    </w:p>
    <w:p w14:paraId="64216FD5" w14:textId="4B041BE0" w:rsidR="00CD0397" w:rsidRPr="00CD0397" w:rsidRDefault="00CD0397" w:rsidP="00CD0397">
      <w:pPr>
        <w:pStyle w:val="Normalwebb"/>
        <w:numPr>
          <w:ilvl w:val="0"/>
          <w:numId w:val="4"/>
        </w:numPr>
        <w:spacing w:before="0" w:beforeAutospacing="0" w:after="0" w:afterAutospacing="0"/>
        <w:jc w:val="both"/>
        <w:rPr>
          <w:color w:val="000000"/>
          <w:sz w:val="26"/>
          <w:szCs w:val="26"/>
          <w:shd w:val="clear" w:color="auto" w:fill="EAD1DC"/>
          <w:lang w:val="en-US"/>
        </w:rPr>
      </w:pPr>
      <w:r>
        <w:rPr>
          <w:color w:val="000000"/>
          <w:sz w:val="26"/>
          <w:szCs w:val="26"/>
          <w:shd w:val="clear" w:color="auto" w:fill="D9EAD3"/>
          <w:lang w:val="en-US"/>
        </w:rPr>
        <w:t>Green</w:t>
      </w:r>
      <w:r w:rsidR="00F8300A">
        <w:rPr>
          <w:color w:val="000000"/>
          <w:sz w:val="26"/>
          <w:szCs w:val="26"/>
          <w:shd w:val="clear" w:color="auto" w:fill="FFFFFF" w:themeFill="background1"/>
          <w:lang w:val="en-US"/>
        </w:rPr>
        <w:t xml:space="preserve"> </w:t>
      </w:r>
      <w:r w:rsidR="00F8300A" w:rsidRPr="009615EA">
        <w:rPr>
          <w:color w:val="000000"/>
          <w:sz w:val="26"/>
          <w:szCs w:val="26"/>
          <w:shd w:val="clear" w:color="auto" w:fill="FFFFFF" w:themeFill="background1"/>
          <w:lang w:val="en-US"/>
        </w:rPr>
        <w:t xml:space="preserve">– </w:t>
      </w:r>
      <w:r w:rsidR="0000350B" w:rsidRPr="009615EA">
        <w:rPr>
          <w:b/>
          <w:bCs/>
          <w:color w:val="000000"/>
          <w:sz w:val="26"/>
          <w:szCs w:val="26"/>
          <w:shd w:val="clear" w:color="auto" w:fill="FFFFFF" w:themeFill="background1"/>
          <w:lang w:val="en-US"/>
        </w:rPr>
        <w:t>modelling</w:t>
      </w:r>
      <w:r w:rsidR="004F155F" w:rsidRPr="009615EA">
        <w:rPr>
          <w:b/>
          <w:bCs/>
          <w:color w:val="000000"/>
          <w:sz w:val="26"/>
          <w:szCs w:val="26"/>
          <w:shd w:val="clear" w:color="auto" w:fill="FFFFFF" w:themeFill="background1"/>
          <w:lang w:val="en-US"/>
        </w:rPr>
        <w:t xml:space="preserve"> </w:t>
      </w:r>
      <w:r w:rsidR="004F155F" w:rsidRPr="009615EA">
        <w:rPr>
          <w:color w:val="000000"/>
          <w:sz w:val="26"/>
          <w:szCs w:val="26"/>
          <w:shd w:val="clear" w:color="auto" w:fill="FFFFFF" w:themeFill="background1"/>
          <w:lang w:val="en-US"/>
        </w:rPr>
        <w:t xml:space="preserve">appropriate engagement with </w:t>
      </w:r>
      <w:r w:rsidR="005D7710">
        <w:rPr>
          <w:color w:val="000000"/>
          <w:sz w:val="26"/>
          <w:szCs w:val="26"/>
          <w:shd w:val="clear" w:color="auto" w:fill="FFFFFF" w:themeFill="background1"/>
          <w:lang w:val="en-US"/>
        </w:rPr>
        <w:t xml:space="preserve">the </w:t>
      </w:r>
      <w:r w:rsidR="004F155F" w:rsidRPr="009615EA">
        <w:rPr>
          <w:color w:val="000000"/>
          <w:sz w:val="26"/>
          <w:szCs w:val="26"/>
          <w:shd w:val="clear" w:color="auto" w:fill="FFFFFF" w:themeFill="background1"/>
          <w:lang w:val="en-US"/>
        </w:rPr>
        <w:t>task</w:t>
      </w:r>
    </w:p>
    <w:p w14:paraId="3672AC04" w14:textId="6332BF4F" w:rsidR="0000350B" w:rsidRPr="00830736" w:rsidRDefault="006642FA" w:rsidP="00CD0397">
      <w:pPr>
        <w:pStyle w:val="Normalwebb"/>
        <w:numPr>
          <w:ilvl w:val="0"/>
          <w:numId w:val="4"/>
        </w:numPr>
        <w:spacing w:before="0" w:beforeAutospacing="0" w:after="0" w:afterAutospacing="0"/>
        <w:jc w:val="both"/>
        <w:rPr>
          <w:color w:val="000000"/>
          <w:sz w:val="26"/>
          <w:szCs w:val="26"/>
          <w:shd w:val="clear" w:color="auto" w:fill="EAD1DC"/>
          <w:lang w:val="en-US"/>
        </w:rPr>
      </w:pPr>
      <w:r>
        <w:rPr>
          <w:color w:val="000000"/>
          <w:sz w:val="26"/>
          <w:szCs w:val="26"/>
          <w:shd w:val="clear" w:color="auto" w:fill="DDD9C3" w:themeFill="background2" w:themeFillShade="E6"/>
          <w:lang w:val="en-US"/>
        </w:rPr>
        <w:t>Brown</w:t>
      </w:r>
      <w:r w:rsidR="005D7710" w:rsidRPr="009615EA">
        <w:rPr>
          <w:color w:val="000000"/>
          <w:sz w:val="26"/>
          <w:szCs w:val="26"/>
          <w:shd w:val="clear" w:color="auto" w:fill="FFFFFF" w:themeFill="background1"/>
          <w:lang w:val="en-US"/>
        </w:rPr>
        <w:t xml:space="preserve"> </w:t>
      </w:r>
      <w:r w:rsidR="00F8300A" w:rsidRPr="009615EA">
        <w:rPr>
          <w:color w:val="000000"/>
          <w:sz w:val="26"/>
          <w:szCs w:val="26"/>
          <w:shd w:val="clear" w:color="auto" w:fill="FFFFFF" w:themeFill="background1"/>
          <w:lang w:val="en-US"/>
        </w:rPr>
        <w:t xml:space="preserve">– </w:t>
      </w:r>
      <w:r w:rsidR="0000350B" w:rsidRPr="009615EA">
        <w:rPr>
          <w:color w:val="000000"/>
          <w:sz w:val="26"/>
          <w:szCs w:val="26"/>
          <w:shd w:val="clear" w:color="auto" w:fill="FFFFFF" w:themeFill="background1"/>
          <w:lang w:val="en-US"/>
        </w:rPr>
        <w:t xml:space="preserve"> </w:t>
      </w:r>
      <w:r w:rsidR="0000350B" w:rsidRPr="009615EA">
        <w:rPr>
          <w:b/>
          <w:bCs/>
          <w:szCs w:val="26"/>
          <w:shd w:val="clear" w:color="auto" w:fill="FFFFFF" w:themeFill="background1"/>
          <w:lang w:val="en-US" w:eastAsia="en-US"/>
        </w:rPr>
        <w:t xml:space="preserve">curriculum </w:t>
      </w:r>
      <w:r w:rsidR="00945C0F" w:rsidRPr="009615EA">
        <w:rPr>
          <w:b/>
          <w:bCs/>
          <w:szCs w:val="26"/>
          <w:shd w:val="clear" w:color="auto" w:fill="FFFFFF" w:themeFill="background1"/>
          <w:lang w:val="en-US" w:eastAsia="en-US"/>
        </w:rPr>
        <w:t>context</w:t>
      </w:r>
      <w:r w:rsidR="008F2121" w:rsidRPr="009615EA">
        <w:rPr>
          <w:b/>
          <w:bCs/>
          <w:szCs w:val="26"/>
          <w:shd w:val="clear" w:color="auto" w:fill="FFFFFF" w:themeFill="background1"/>
          <w:lang w:val="en-US" w:eastAsia="en-US"/>
        </w:rPr>
        <w:t xml:space="preserve">, </w:t>
      </w:r>
      <w:r w:rsidR="00945C0F" w:rsidRPr="009615EA">
        <w:rPr>
          <w:b/>
          <w:bCs/>
          <w:szCs w:val="26"/>
          <w:shd w:val="clear" w:color="auto" w:fill="FFFFFF" w:themeFill="background1"/>
          <w:lang w:val="en-US" w:eastAsia="en-US"/>
        </w:rPr>
        <w:t>prior learning</w:t>
      </w:r>
      <w:r w:rsidR="008F2121">
        <w:rPr>
          <w:b/>
          <w:bCs/>
          <w:color w:val="000000"/>
          <w:sz w:val="26"/>
          <w:szCs w:val="26"/>
          <w:shd w:val="clear" w:color="auto" w:fill="EAD1DC"/>
          <w:lang w:val="en-US"/>
        </w:rPr>
        <w:t xml:space="preserve"> </w:t>
      </w:r>
    </w:p>
    <w:p w14:paraId="14724ACA" w14:textId="49D06C67" w:rsidR="00830736" w:rsidRPr="00377C7C" w:rsidRDefault="00830736" w:rsidP="005D7710">
      <w:pPr>
        <w:pStyle w:val="Normalwebb"/>
        <w:numPr>
          <w:ilvl w:val="0"/>
          <w:numId w:val="4"/>
        </w:numPr>
        <w:shd w:val="clear" w:color="auto" w:fill="FFFFFF" w:themeFill="background1"/>
        <w:spacing w:before="0" w:beforeAutospacing="0" w:after="0" w:afterAutospacing="0"/>
        <w:jc w:val="both"/>
        <w:rPr>
          <w:color w:val="000000"/>
          <w:sz w:val="26"/>
          <w:szCs w:val="26"/>
          <w:lang w:val="en-US"/>
        </w:rPr>
      </w:pPr>
      <w:r>
        <w:rPr>
          <w:color w:val="000000"/>
          <w:sz w:val="26"/>
          <w:szCs w:val="26"/>
          <w:shd w:val="clear" w:color="auto" w:fill="D9D2E9"/>
          <w:lang w:val="en-US"/>
        </w:rPr>
        <w:t>Purple</w:t>
      </w:r>
      <w:r w:rsidRPr="005D7710">
        <w:rPr>
          <w:color w:val="000000"/>
          <w:sz w:val="26"/>
          <w:szCs w:val="26"/>
          <w:shd w:val="clear" w:color="auto" w:fill="FFFFFF" w:themeFill="background1"/>
          <w:lang w:val="en-US"/>
        </w:rPr>
        <w:t xml:space="preserve"> </w:t>
      </w:r>
      <w:r w:rsidR="00F8300A" w:rsidRPr="009615EA">
        <w:rPr>
          <w:color w:val="000000"/>
          <w:sz w:val="26"/>
          <w:szCs w:val="26"/>
          <w:shd w:val="clear" w:color="auto" w:fill="FFFFFF" w:themeFill="background1"/>
          <w:lang w:val="en-US"/>
        </w:rPr>
        <w:t xml:space="preserve">– </w:t>
      </w:r>
      <w:r w:rsidRPr="005D7710">
        <w:rPr>
          <w:color w:val="000000"/>
          <w:sz w:val="26"/>
          <w:szCs w:val="26"/>
          <w:shd w:val="clear" w:color="auto" w:fill="FFFFFF" w:themeFill="background1"/>
          <w:lang w:val="en-US"/>
        </w:rPr>
        <w:t xml:space="preserve">attention to </w:t>
      </w:r>
      <w:r w:rsidRPr="005D7710">
        <w:rPr>
          <w:b/>
          <w:bCs/>
          <w:color w:val="000000"/>
          <w:sz w:val="26"/>
          <w:szCs w:val="26"/>
          <w:shd w:val="clear" w:color="auto" w:fill="FFFFFF" w:themeFill="background1"/>
          <w:lang w:val="en-US"/>
        </w:rPr>
        <w:t>assessment demands</w:t>
      </w:r>
    </w:p>
    <w:p w14:paraId="184EB11D" w14:textId="5899F62E" w:rsidR="00377C7C" w:rsidRPr="007E5951" w:rsidRDefault="00B905B5" w:rsidP="003A5FCD">
      <w:pPr>
        <w:pStyle w:val="Normalwebb"/>
        <w:numPr>
          <w:ilvl w:val="0"/>
          <w:numId w:val="4"/>
        </w:numPr>
        <w:spacing w:before="0" w:beforeAutospacing="0" w:after="0" w:afterAutospacing="0"/>
        <w:jc w:val="both"/>
        <w:rPr>
          <w:color w:val="000000"/>
          <w:sz w:val="26"/>
          <w:szCs w:val="26"/>
          <w:lang w:val="en-US"/>
        </w:rPr>
      </w:pPr>
      <w:r w:rsidRPr="00B905B5">
        <w:rPr>
          <w:color w:val="000000"/>
          <w:sz w:val="26"/>
          <w:szCs w:val="26"/>
          <w:shd w:val="clear" w:color="auto" w:fill="FBD4B4" w:themeFill="accent6" w:themeFillTint="66"/>
          <w:lang w:val="en-US"/>
        </w:rPr>
        <w:t>Orange</w:t>
      </w:r>
      <w:r w:rsidR="005D7710" w:rsidRPr="005D7710">
        <w:rPr>
          <w:color w:val="000000"/>
          <w:sz w:val="26"/>
          <w:szCs w:val="26"/>
          <w:shd w:val="clear" w:color="auto" w:fill="FFFFFF" w:themeFill="background1"/>
          <w:lang w:val="en-US"/>
        </w:rPr>
        <w:t xml:space="preserve"> </w:t>
      </w:r>
      <w:r w:rsidR="00F8300A" w:rsidRPr="009615EA">
        <w:rPr>
          <w:color w:val="000000"/>
          <w:sz w:val="26"/>
          <w:szCs w:val="26"/>
          <w:shd w:val="clear" w:color="auto" w:fill="FFFFFF" w:themeFill="background1"/>
          <w:lang w:val="en-US"/>
        </w:rPr>
        <w:t xml:space="preserve">– </w:t>
      </w:r>
      <w:r w:rsidRPr="005D7710">
        <w:rPr>
          <w:color w:val="000000"/>
          <w:sz w:val="26"/>
          <w:szCs w:val="26"/>
          <w:shd w:val="clear" w:color="auto" w:fill="FFFFFF" w:themeFill="background1"/>
          <w:lang w:val="en-US"/>
        </w:rPr>
        <w:t xml:space="preserve"> </w:t>
      </w:r>
      <w:r w:rsidR="00791F81" w:rsidRPr="005D7710">
        <w:rPr>
          <w:b/>
          <w:bCs/>
          <w:color w:val="000000"/>
          <w:sz w:val="26"/>
          <w:szCs w:val="26"/>
          <w:shd w:val="clear" w:color="auto" w:fill="FFFFFF" w:themeFill="background1"/>
          <w:lang w:val="en-US"/>
        </w:rPr>
        <w:t>Sequencing</w:t>
      </w:r>
      <w:r w:rsidR="00791F81" w:rsidRPr="005D7710">
        <w:rPr>
          <w:color w:val="000000"/>
          <w:sz w:val="26"/>
          <w:szCs w:val="26"/>
          <w:shd w:val="clear" w:color="auto" w:fill="FFFFFF" w:themeFill="background1"/>
          <w:lang w:val="en-US"/>
        </w:rPr>
        <w:t xml:space="preserve"> of </w:t>
      </w:r>
      <w:r w:rsidR="00716777">
        <w:rPr>
          <w:color w:val="000000"/>
          <w:sz w:val="26"/>
          <w:szCs w:val="26"/>
          <w:shd w:val="clear" w:color="auto" w:fill="FFFFFF" w:themeFill="background1"/>
          <w:lang w:val="en-US"/>
        </w:rPr>
        <w:t xml:space="preserve">multiple </w:t>
      </w:r>
      <w:r w:rsidR="00791F81" w:rsidRPr="005D7710">
        <w:rPr>
          <w:color w:val="000000"/>
          <w:sz w:val="26"/>
          <w:szCs w:val="26"/>
          <w:shd w:val="clear" w:color="auto" w:fill="FFFFFF" w:themeFill="background1"/>
          <w:lang w:val="en-US"/>
        </w:rPr>
        <w:t>tasks</w:t>
      </w:r>
      <w:r w:rsidR="00716777">
        <w:rPr>
          <w:color w:val="000000"/>
          <w:sz w:val="26"/>
          <w:szCs w:val="26"/>
          <w:shd w:val="clear" w:color="auto" w:fill="FFFFFF" w:themeFill="background1"/>
          <w:lang w:val="en-US"/>
        </w:rPr>
        <w:t xml:space="preserve"> over time</w:t>
      </w:r>
    </w:p>
    <w:p w14:paraId="6E07C72A" w14:textId="77777777" w:rsidR="00B2339B" w:rsidRDefault="00B2339B" w:rsidP="0000350B">
      <w:pPr>
        <w:pStyle w:val="Normalwebb"/>
        <w:spacing w:before="0" w:beforeAutospacing="0" w:after="0" w:afterAutospacing="0"/>
        <w:jc w:val="both"/>
        <w:rPr>
          <w:color w:val="000000"/>
          <w:lang w:val="en-US"/>
        </w:rPr>
      </w:pPr>
    </w:p>
    <w:p w14:paraId="1FBD9137" w14:textId="499B1F42" w:rsidR="000B1252" w:rsidRPr="0000350B" w:rsidRDefault="000B1252" w:rsidP="00AF66EE">
      <w:pPr>
        <w:pStyle w:val="Brdtext"/>
        <w:rPr>
          <w:color w:val="000000"/>
          <w:lang w:val="en-US"/>
        </w:rPr>
      </w:pPr>
      <w:r>
        <w:rPr>
          <w:lang w:val="en-US"/>
        </w:rPr>
        <w:t xml:space="preserve">Many </w:t>
      </w:r>
      <w:r w:rsidR="00716777">
        <w:rPr>
          <w:lang w:val="en-US"/>
        </w:rPr>
        <w:t xml:space="preserve">words and </w:t>
      </w:r>
      <w:r>
        <w:rPr>
          <w:lang w:val="en-US"/>
        </w:rPr>
        <w:t xml:space="preserve">phrases </w:t>
      </w:r>
      <w:r w:rsidR="00716777">
        <w:rPr>
          <w:lang w:val="en-US"/>
        </w:rPr>
        <w:t xml:space="preserve">in the teacher’s account </w:t>
      </w:r>
      <w:r w:rsidR="00AF66EE">
        <w:rPr>
          <w:lang w:val="en-US"/>
        </w:rPr>
        <w:t>encompassed</w:t>
      </w:r>
      <w:r>
        <w:rPr>
          <w:lang w:val="en-US"/>
        </w:rPr>
        <w:t xml:space="preserve"> multiple themes</w:t>
      </w:r>
      <w:r w:rsidR="00AF66EE">
        <w:rPr>
          <w:lang w:val="en-US"/>
        </w:rPr>
        <w:t xml:space="preserve"> present in this analysis</w:t>
      </w:r>
      <w:r>
        <w:rPr>
          <w:lang w:val="en-US"/>
        </w:rPr>
        <w:t xml:space="preserve">. Notably, </w:t>
      </w:r>
      <w:r w:rsidR="00AF66EE">
        <w:rPr>
          <w:lang w:val="en-US"/>
        </w:rPr>
        <w:t xml:space="preserve">data coded as </w:t>
      </w:r>
      <w:r>
        <w:rPr>
          <w:lang w:val="en-US"/>
        </w:rPr>
        <w:t xml:space="preserve">Sequencing </w:t>
      </w:r>
      <w:r w:rsidR="00AF66EE">
        <w:rPr>
          <w:lang w:val="en-US"/>
        </w:rPr>
        <w:t>also connects</w:t>
      </w:r>
      <w:r>
        <w:rPr>
          <w:lang w:val="en-US"/>
        </w:rPr>
        <w:t xml:space="preserve"> with Curriculum as well as Scaffolding. The colour </w:t>
      </w:r>
      <w:r w:rsidR="00AF66EE">
        <w:rPr>
          <w:lang w:val="en-US"/>
        </w:rPr>
        <w:t>code</w:t>
      </w:r>
      <w:r>
        <w:rPr>
          <w:lang w:val="en-US"/>
        </w:rPr>
        <w:t xml:space="preserve"> thus reflect</w:t>
      </w:r>
      <w:r w:rsidR="00AF66EE">
        <w:rPr>
          <w:lang w:val="en-US"/>
        </w:rPr>
        <w:t>s</w:t>
      </w:r>
      <w:r>
        <w:rPr>
          <w:lang w:val="en-US"/>
        </w:rPr>
        <w:t xml:space="preserve"> only the main focus </w:t>
      </w:r>
      <w:r w:rsidR="00AF66EE">
        <w:rPr>
          <w:lang w:val="en-US"/>
        </w:rPr>
        <w:t>of each segment.</w:t>
      </w:r>
    </w:p>
    <w:p w14:paraId="683DE15A" w14:textId="0F0725E9" w:rsidR="0000350B" w:rsidRPr="0000350B" w:rsidRDefault="0000350B" w:rsidP="0082264D">
      <w:pPr>
        <w:pStyle w:val="Citat1"/>
        <w:rPr>
          <w:lang w:val="en-US"/>
        </w:rPr>
      </w:pPr>
      <w:r>
        <w:rPr>
          <w:lang w:val="en-US"/>
        </w:rPr>
        <w:t>I t</w:t>
      </w:r>
      <w:r w:rsidRPr="0000350B">
        <w:rPr>
          <w:shd w:val="clear" w:color="auto" w:fill="FFFF00"/>
          <w:lang w:val="en-US"/>
        </w:rPr>
        <w:t>ell the students that once per term</w:t>
      </w:r>
      <w:r w:rsidRPr="0000350B">
        <w:rPr>
          <w:lang w:val="en-US"/>
        </w:rPr>
        <w:t xml:space="preserve"> </w:t>
      </w:r>
      <w:bookmarkStart w:id="0" w:name="_Hlk156642980"/>
      <w:r w:rsidRPr="0000350B">
        <w:rPr>
          <w:lang w:val="en-US"/>
        </w:rPr>
        <w:t xml:space="preserve">they should </w:t>
      </w:r>
      <w:r w:rsidRPr="001D52C6">
        <w:rPr>
          <w:shd w:val="clear" w:color="auto" w:fill="D9D2E9"/>
          <w:lang w:val="en-US"/>
        </w:rPr>
        <w:t>choose two of the</w:t>
      </w:r>
      <w:r w:rsidRPr="0000350B">
        <w:rPr>
          <w:shd w:val="clear" w:color="auto" w:fill="D9D2E9"/>
          <w:lang w:val="en-US"/>
        </w:rPr>
        <w:t xml:space="preserve"> B&amp;C</w:t>
      </w:r>
      <w:r w:rsidRPr="001D52C6">
        <w:rPr>
          <w:shd w:val="clear" w:color="auto" w:fill="D9D2E9"/>
          <w:lang w:val="en-US"/>
        </w:rPr>
        <w:t xml:space="preserve"> puzzles</w:t>
      </w:r>
      <w:r w:rsidRPr="0000350B">
        <w:rPr>
          <w:lang w:val="en-US"/>
        </w:rPr>
        <w:t xml:space="preserve"> from the </w:t>
      </w:r>
      <w:r w:rsidRPr="006642FA">
        <w:rPr>
          <w:shd w:val="clear" w:color="auto" w:fill="DDD9C3" w:themeFill="background2" w:themeFillShade="E6"/>
          <w:lang w:val="en-US"/>
        </w:rPr>
        <w:t>curriculum we have completed so far</w:t>
      </w:r>
      <w:r w:rsidRPr="0000350B">
        <w:rPr>
          <w:lang w:val="en-US"/>
        </w:rPr>
        <w:t xml:space="preserve"> </w:t>
      </w:r>
      <w:bookmarkEnd w:id="0"/>
      <w:r w:rsidRPr="0000350B">
        <w:rPr>
          <w:shd w:val="clear" w:color="auto" w:fill="FFFF00"/>
          <w:lang w:val="en-US"/>
        </w:rPr>
        <w:t xml:space="preserve">(which they have worked on in class for roughly 30 </w:t>
      </w:r>
      <w:r w:rsidR="00773D99">
        <w:rPr>
          <w:shd w:val="clear" w:color="auto" w:fill="FFFF00"/>
          <w:lang w:val="en-US"/>
        </w:rPr>
        <w:t>–</w:t>
      </w:r>
      <w:r w:rsidRPr="0000350B">
        <w:rPr>
          <w:shd w:val="clear" w:color="auto" w:fill="FFFF00"/>
          <w:lang w:val="en-US"/>
        </w:rPr>
        <w:t xml:space="preserve"> 45 minutes per task)</w:t>
      </w:r>
      <w:r w:rsidRPr="0000350B">
        <w:rPr>
          <w:lang w:val="en-US"/>
        </w:rPr>
        <w:t xml:space="preserve"> and </w:t>
      </w:r>
      <w:r w:rsidRPr="001D52C6">
        <w:rPr>
          <w:shd w:val="clear" w:color="auto" w:fill="D9D2E9"/>
          <w:lang w:val="en-US"/>
        </w:rPr>
        <w:t>develop them</w:t>
      </w:r>
      <w:r w:rsidRPr="0000350B">
        <w:rPr>
          <w:lang w:val="en-US"/>
        </w:rPr>
        <w:t xml:space="preserve"> </w:t>
      </w:r>
      <w:r w:rsidRPr="0000350B">
        <w:rPr>
          <w:shd w:val="clear" w:color="auto" w:fill="D9D2E9"/>
          <w:lang w:val="en-US"/>
        </w:rPr>
        <w:t>to turn in as part of their summative portfolio. </w:t>
      </w:r>
    </w:p>
    <w:p w14:paraId="28FB39F9" w14:textId="4AD36583" w:rsidR="0000350B" w:rsidRPr="001D45C0" w:rsidRDefault="0000350B" w:rsidP="0082264D">
      <w:pPr>
        <w:pStyle w:val="Citat1"/>
        <w:rPr>
          <w:color w:val="000000"/>
          <w:szCs w:val="24"/>
          <w:shd w:val="clear" w:color="auto" w:fill="E5B8B7" w:themeFill="accent2" w:themeFillTint="66"/>
          <w:lang w:val="en-US" w:eastAsia="sv-SE"/>
        </w:rPr>
      </w:pPr>
      <w:r w:rsidRPr="0000350B">
        <w:rPr>
          <w:lang w:val="en-US"/>
        </w:rPr>
        <w:t xml:space="preserve">In the lesson, I put the puzzle on the board and read it. </w:t>
      </w:r>
      <w:r w:rsidRPr="0000350B">
        <w:rPr>
          <w:shd w:val="clear" w:color="auto" w:fill="D9D2E9"/>
          <w:lang w:val="en-US"/>
        </w:rPr>
        <w:t xml:space="preserve">I ask questions to ensure the students understand what is being asked in the puzzle. I may give simplified examples to ensure students understand what is being asked, but I do not tell the students how to start. </w:t>
      </w:r>
      <w:r w:rsidRPr="0000350B">
        <w:rPr>
          <w:shd w:val="clear" w:color="auto" w:fill="FFFF00"/>
          <w:lang w:val="en-US"/>
        </w:rPr>
        <w:t>Then I alternate between a 6 minute timer for working alone, and a 4 minute timer for discussion, and allow the students to attempt to find the pattern/solve the puzzle in roughly 15-20 minutes</w:t>
      </w:r>
      <w:r w:rsidRPr="0000350B">
        <w:rPr>
          <w:lang w:val="en-US"/>
        </w:rPr>
        <w:t xml:space="preserve">. </w:t>
      </w:r>
      <w:r w:rsidRPr="0000350B">
        <w:rPr>
          <w:shd w:val="clear" w:color="auto" w:fill="C9DAF8"/>
          <w:lang w:val="en-US"/>
        </w:rPr>
        <w:t>I check students</w:t>
      </w:r>
      <w:r w:rsidR="00773D99">
        <w:rPr>
          <w:shd w:val="clear" w:color="auto" w:fill="C9DAF8"/>
          <w:lang w:val="en-US"/>
        </w:rPr>
        <w:t>’</w:t>
      </w:r>
      <w:r w:rsidRPr="0000350B">
        <w:rPr>
          <w:shd w:val="clear" w:color="auto" w:fill="C9DAF8"/>
          <w:lang w:val="en-US"/>
        </w:rPr>
        <w:t xml:space="preserve"> answers individually, and try to ensure everyone has an answer. If students have the wrong answer, I tell them to keep working on the answer, maybe with a small hint,</w:t>
      </w:r>
      <w:r w:rsidRPr="001D45C0">
        <w:rPr>
          <w:color w:val="000000"/>
          <w:szCs w:val="24"/>
          <w:shd w:val="clear" w:color="auto" w:fill="E5B8B7" w:themeFill="accent2" w:themeFillTint="66"/>
          <w:lang w:val="en-US" w:eastAsia="sv-SE"/>
        </w:rPr>
        <w:t xml:space="preserve"> and if they have the right answer I ask them to write their explanation/justification. </w:t>
      </w:r>
    </w:p>
    <w:p w14:paraId="48EBDE19" w14:textId="77777777" w:rsidR="0000350B" w:rsidRPr="0000350B" w:rsidRDefault="0000350B" w:rsidP="0082264D">
      <w:pPr>
        <w:pStyle w:val="Citat1"/>
        <w:rPr>
          <w:lang w:val="en-US"/>
        </w:rPr>
      </w:pPr>
      <w:r w:rsidRPr="0000350B">
        <w:rPr>
          <w:shd w:val="clear" w:color="auto" w:fill="D9EAD3"/>
          <w:lang w:val="en-US"/>
        </w:rPr>
        <w:t>I model an explanation/justification at the start of the year so that students know what this means. Usually, I solve a simple pictorial algebra problem, I solve it, and I write the explanation/justification of my solution, explaining why certain parts (rules I used to solve the problem, why those rules work, relationships between operations or steps, definitions of mathematical terms, etc) are necessary to justify my answer [....] I highlight key words in the explanation/justification which are common in good mathematical justifications, and list good features of them, for example, accounting for all types of numbers (would a rule work with negatives? 0? 1?)</w:t>
      </w:r>
      <w:r w:rsidRPr="0000350B">
        <w:rPr>
          <w:lang w:val="en-US"/>
        </w:rPr>
        <w:t>. </w:t>
      </w:r>
    </w:p>
    <w:p w14:paraId="1BB43A5A" w14:textId="77777777" w:rsidR="0000350B" w:rsidRPr="0000350B" w:rsidRDefault="0000350B" w:rsidP="0082264D">
      <w:pPr>
        <w:pStyle w:val="Citat1"/>
        <w:rPr>
          <w:lang w:val="en-US"/>
        </w:rPr>
      </w:pPr>
      <w:r w:rsidRPr="0000350B">
        <w:rPr>
          <w:lang w:val="en-US"/>
        </w:rPr>
        <w:t xml:space="preserve">Back to the lesson itself, </w:t>
      </w:r>
      <w:r w:rsidRPr="001D45C0">
        <w:rPr>
          <w:color w:val="000000"/>
          <w:szCs w:val="24"/>
          <w:shd w:val="clear" w:color="auto" w:fill="E5B8B7" w:themeFill="accent2" w:themeFillTint="66"/>
          <w:lang w:val="en-US" w:eastAsia="sv-SE"/>
        </w:rPr>
        <w:t>when students have an answer I ask them to start the explanation</w:t>
      </w:r>
      <w:r w:rsidRPr="0082264D">
        <w:rPr>
          <w:lang w:val="en-US"/>
        </w:rPr>
        <w:t>.</w:t>
      </w:r>
      <w:r w:rsidRPr="0000350B">
        <w:rPr>
          <w:lang w:val="en-US"/>
        </w:rPr>
        <w:t xml:space="preserve"> During this process, </w:t>
      </w:r>
      <w:r w:rsidRPr="0000350B">
        <w:rPr>
          <w:shd w:val="clear" w:color="auto" w:fill="D9EAD3"/>
          <w:lang w:val="en-US"/>
        </w:rPr>
        <w:t>I may point out good features of explanations when we are working on formative versions of the task. I usually specifically invent an explanation that reads like a story and read it in a silly way to show that a justification is not a story of your journey through a problem</w:t>
      </w:r>
      <w:r w:rsidRPr="0000350B">
        <w:rPr>
          <w:lang w:val="en-US"/>
        </w:rPr>
        <w:t xml:space="preserve">. </w:t>
      </w:r>
      <w:r w:rsidRPr="0000350B">
        <w:rPr>
          <w:shd w:val="clear" w:color="auto" w:fill="C9DAF8"/>
          <w:lang w:val="en-US"/>
        </w:rPr>
        <w:t xml:space="preserve">I give regular feedback during the </w:t>
      </w:r>
      <w:r w:rsidRPr="0000350B">
        <w:rPr>
          <w:shd w:val="clear" w:color="auto" w:fill="C9DAF8"/>
          <w:lang w:val="en-US"/>
        </w:rPr>
        <w:lastRenderedPageBreak/>
        <w:t xml:space="preserve">explanation writing process to let students know where they are missing things. For example, you say you did x, </w:t>
      </w:r>
      <w:r w:rsidRPr="001D45C0">
        <w:rPr>
          <w:color w:val="000000"/>
          <w:szCs w:val="24"/>
          <w:shd w:val="clear" w:color="auto" w:fill="E5B8B7" w:themeFill="accent2" w:themeFillTint="66"/>
          <w:lang w:val="en-US" w:eastAsia="sv-SE"/>
        </w:rPr>
        <w:t>but you give no reason for doing x. Why did you have to do that? </w:t>
      </w:r>
    </w:p>
    <w:p w14:paraId="6C2F5D4B" w14:textId="77777777" w:rsidR="0000350B" w:rsidRPr="0000350B" w:rsidRDefault="0000350B" w:rsidP="0082264D">
      <w:pPr>
        <w:pStyle w:val="Citat1"/>
        <w:rPr>
          <w:lang w:val="en-US"/>
        </w:rPr>
      </w:pPr>
      <w:r w:rsidRPr="000B1252">
        <w:rPr>
          <w:shd w:val="clear" w:color="auto" w:fill="FBD4B4" w:themeFill="accent6" w:themeFillTint="66"/>
          <w:lang w:val="en-US"/>
        </w:rPr>
        <w:t>In the first few formative versions of the assignment, I write some key words or prompts on the board to help students decide which of their thoughts would be a good thing to include in their explanation.</w:t>
      </w:r>
      <w:r w:rsidRPr="0000350B">
        <w:rPr>
          <w:lang w:val="en-US"/>
        </w:rPr>
        <w:t xml:space="preserve"> See the example attached. [Figure 1]</w:t>
      </w:r>
    </w:p>
    <w:p w14:paraId="701AF4D6" w14:textId="77777777" w:rsidR="0000350B" w:rsidRPr="0000350B" w:rsidRDefault="0000350B" w:rsidP="0082264D">
      <w:pPr>
        <w:pStyle w:val="Citat1"/>
        <w:rPr>
          <w:lang w:val="en-US"/>
        </w:rPr>
      </w:pPr>
      <w:r w:rsidRPr="0000350B">
        <w:rPr>
          <w:lang w:val="en-US"/>
        </w:rPr>
        <w:t>[....]</w:t>
      </w:r>
      <w:r w:rsidRPr="0000350B">
        <w:rPr>
          <w:shd w:val="clear" w:color="auto" w:fill="D9D2E9"/>
          <w:lang w:val="en-US"/>
        </w:rPr>
        <w:t xml:space="preserve"> I refer to the rubric for more detail, which we have discussed in class. I include the rubric also. </w:t>
      </w:r>
    </w:p>
    <w:p w14:paraId="239B80C7" w14:textId="57C6C5AD" w:rsidR="007E5951" w:rsidRDefault="0000350B" w:rsidP="0082264D">
      <w:pPr>
        <w:pStyle w:val="Citat1"/>
        <w:rPr>
          <w:shd w:val="clear" w:color="auto" w:fill="C9DAF8"/>
          <w:lang w:val="en-US"/>
        </w:rPr>
      </w:pPr>
      <w:r w:rsidRPr="0000350B">
        <w:rPr>
          <w:lang w:val="en-US"/>
        </w:rPr>
        <w:t xml:space="preserve">Usually </w:t>
      </w:r>
      <w:r w:rsidRPr="000B1252">
        <w:rPr>
          <w:shd w:val="clear" w:color="auto" w:fill="FBD4B4" w:themeFill="accent6" w:themeFillTint="66"/>
          <w:lang w:val="en-US"/>
        </w:rPr>
        <w:t xml:space="preserve">before the due date of the summative we have one or two explanation workshop days where students work on these </w:t>
      </w:r>
      <w:r w:rsidRPr="0000350B">
        <w:rPr>
          <w:lang w:val="en-US"/>
        </w:rPr>
        <w:t>and</w:t>
      </w:r>
      <w:r w:rsidRPr="0000350B">
        <w:rPr>
          <w:shd w:val="clear" w:color="auto" w:fill="C9DAF8"/>
          <w:lang w:val="en-US"/>
        </w:rPr>
        <w:t xml:space="preserve"> I give regular feedback to let them know to what extent they are on track, and if not, why not.</w:t>
      </w:r>
    </w:p>
    <w:p w14:paraId="22F94FF0" w14:textId="1DC6E3DF" w:rsidR="0000350B" w:rsidRPr="0000350B" w:rsidRDefault="0000350B" w:rsidP="0000350B">
      <w:pPr>
        <w:pStyle w:val="Brdtext"/>
        <w:rPr>
          <w:lang w:val="en-US"/>
        </w:rPr>
      </w:pPr>
      <w:r w:rsidRPr="0000350B">
        <w:rPr>
          <w:lang w:val="en-US"/>
        </w:rPr>
        <w:t xml:space="preserve">During </w:t>
      </w:r>
      <w:r w:rsidR="00F12E1E">
        <w:rPr>
          <w:lang w:val="en-US"/>
        </w:rPr>
        <w:t>the</w:t>
      </w:r>
      <w:r w:rsidR="00F12E1E" w:rsidRPr="0000350B">
        <w:rPr>
          <w:lang w:val="en-US"/>
        </w:rPr>
        <w:t xml:space="preserve"> </w:t>
      </w:r>
      <w:r w:rsidRPr="0000350B">
        <w:rPr>
          <w:lang w:val="en-US"/>
        </w:rPr>
        <w:t>member check, the t</w:t>
      </w:r>
      <w:r w:rsidR="0037552B">
        <w:rPr>
          <w:lang w:val="en-US"/>
        </w:rPr>
        <w:t>eacher</w:t>
      </w:r>
      <w:r w:rsidR="00874118">
        <w:rPr>
          <w:lang w:val="en-US"/>
        </w:rPr>
        <w:t xml:space="preserve"> </w:t>
      </w:r>
      <w:r w:rsidR="00AF66EE">
        <w:rPr>
          <w:lang w:val="en-US"/>
        </w:rPr>
        <w:t xml:space="preserve">agreed with the results and </w:t>
      </w:r>
      <w:r w:rsidR="00874118">
        <w:rPr>
          <w:lang w:val="en-US"/>
        </w:rPr>
        <w:t>reported</w:t>
      </w:r>
      <w:r w:rsidRPr="0000350B">
        <w:rPr>
          <w:lang w:val="en-US"/>
        </w:rPr>
        <w:t xml:space="preserve"> that</w:t>
      </w:r>
      <w:r w:rsidR="001D52C6">
        <w:rPr>
          <w:lang w:val="en-US"/>
        </w:rPr>
        <w:t xml:space="preserve">, in her opinion, </w:t>
      </w:r>
      <w:r w:rsidRPr="0000350B">
        <w:rPr>
          <w:lang w:val="en-US"/>
        </w:rPr>
        <w:t>modelling and feedback, together with “</w:t>
      </w:r>
      <w:r w:rsidR="0082264D">
        <w:rPr>
          <w:lang w:val="en-US"/>
        </w:rPr>
        <w:t>Socratic</w:t>
      </w:r>
      <w:r w:rsidRPr="0000350B">
        <w:rPr>
          <w:lang w:val="en-US"/>
        </w:rPr>
        <w:t xml:space="preserve"> questioning” (that could be conceived as a type of feedback, authors</w:t>
      </w:r>
      <w:r w:rsidR="00492BE9">
        <w:rPr>
          <w:lang w:val="en-US"/>
        </w:rPr>
        <w:t>’</w:t>
      </w:r>
      <w:r w:rsidRPr="0000350B">
        <w:rPr>
          <w:lang w:val="en-US"/>
        </w:rPr>
        <w:t xml:space="preserve"> note), are the most </w:t>
      </w:r>
      <w:r w:rsidR="000B1252">
        <w:rPr>
          <w:lang w:val="en-US"/>
        </w:rPr>
        <w:t>important</w:t>
      </w:r>
      <w:r w:rsidR="00AF66EE">
        <w:rPr>
          <w:lang w:val="en-US"/>
        </w:rPr>
        <w:t xml:space="preserve"> elements</w:t>
      </w:r>
      <w:r w:rsidR="001D52C6">
        <w:rPr>
          <w:lang w:val="en-US"/>
        </w:rPr>
        <w:t>.</w:t>
      </w:r>
    </w:p>
    <w:p w14:paraId="517C7411" w14:textId="3C085A50" w:rsidR="0000350B" w:rsidRDefault="0000350B" w:rsidP="00492BE9">
      <w:pPr>
        <w:pStyle w:val="Rubrik4"/>
      </w:pPr>
      <w:r>
        <w:t xml:space="preserve">Application of frameworks to </w:t>
      </w:r>
      <w:r w:rsidR="0082264D">
        <w:t xml:space="preserve">the </w:t>
      </w:r>
      <w:r>
        <w:t>analysis of task implementation</w:t>
      </w:r>
    </w:p>
    <w:p w14:paraId="0237D3F8" w14:textId="1EA168F8" w:rsidR="00A04D93" w:rsidRDefault="00A04D93" w:rsidP="00A04D93">
      <w:pPr>
        <w:pStyle w:val="Brdtext"/>
        <w:rPr>
          <w:lang w:val="en-US"/>
        </w:rPr>
      </w:pPr>
      <w:r>
        <w:rPr>
          <w:lang w:val="en-US"/>
        </w:rPr>
        <w:t xml:space="preserve">A summary of </w:t>
      </w:r>
      <w:r w:rsidR="00E75257">
        <w:rPr>
          <w:lang w:val="en-US"/>
        </w:rPr>
        <w:t>the extent to which</w:t>
      </w:r>
      <w:r>
        <w:rPr>
          <w:lang w:val="en-US"/>
        </w:rPr>
        <w:t xml:space="preserve"> the frameworks capture the themes in the teacher’s description is presented in Table 3</w:t>
      </w:r>
      <w:r w:rsidR="00AF66EE">
        <w:rPr>
          <w:lang w:val="en-US"/>
        </w:rPr>
        <w:t xml:space="preserve"> and explained below.</w:t>
      </w:r>
    </w:p>
    <w:p w14:paraId="32CB9368" w14:textId="77777777" w:rsidR="00A04D93" w:rsidRDefault="00A04D93" w:rsidP="00A04D93">
      <w:pPr>
        <w:ind w:firstLine="0"/>
        <w:rPr>
          <w:lang w:val="en-US"/>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5806"/>
        <w:gridCol w:w="895"/>
        <w:gridCol w:w="1428"/>
        <w:gridCol w:w="821"/>
      </w:tblGrid>
      <w:tr w:rsidR="00A04D93" w14:paraId="79F8D5E4" w14:textId="77777777" w:rsidTr="00ED16C6">
        <w:trPr>
          <w:trHeight w:val="57"/>
        </w:trPr>
        <w:tc>
          <w:tcPr>
            <w:tcW w:w="5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2CD1B" w14:textId="77777777" w:rsidR="00A04D93" w:rsidRPr="00A04D93" w:rsidRDefault="00A04D93">
            <w:pPr>
              <w:pStyle w:val="Brdtext"/>
              <w:spacing w:line="240" w:lineRule="auto"/>
              <w:jc w:val="left"/>
              <w:rPr>
                <w:b/>
                <w:bCs/>
                <w:lang w:val="en-US"/>
              </w:rPr>
            </w:pPr>
            <w:r w:rsidRPr="00492BE9">
              <w:rPr>
                <w:b/>
                <w:bCs/>
                <w:lang w:val="en-US"/>
              </w:rPr>
              <w:t>Themes in the teacher’s description</w:t>
            </w:r>
          </w:p>
        </w:tc>
        <w:tc>
          <w:tcPr>
            <w:tcW w:w="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36ADD" w14:textId="77777777" w:rsidR="00A04D93" w:rsidRPr="00492BE9" w:rsidRDefault="00A04D93">
            <w:pPr>
              <w:pStyle w:val="Brdtext"/>
              <w:spacing w:line="240" w:lineRule="auto"/>
              <w:rPr>
                <w:b/>
                <w:bCs/>
              </w:rPr>
            </w:pPr>
            <w:r w:rsidRPr="00492BE9">
              <w:rPr>
                <w:b/>
                <w:bCs/>
              </w:rPr>
              <w:t>Stein</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762E7" w14:textId="77777777" w:rsidR="00A04D93" w:rsidRPr="00492BE9" w:rsidRDefault="00A04D93">
            <w:pPr>
              <w:pStyle w:val="Brdtext"/>
              <w:spacing w:line="240" w:lineRule="auto"/>
              <w:rPr>
                <w:b/>
                <w:bCs/>
              </w:rPr>
            </w:pPr>
            <w:r w:rsidRPr="00492BE9">
              <w:rPr>
                <w:b/>
                <w:bCs/>
              </w:rPr>
              <w:t>COACTIV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9D763" w14:textId="77777777" w:rsidR="00A04D93" w:rsidRPr="00492BE9" w:rsidRDefault="00A04D93">
            <w:pPr>
              <w:pStyle w:val="Brdtext"/>
              <w:spacing w:line="240" w:lineRule="auto"/>
              <w:rPr>
                <w:b/>
                <w:bCs/>
              </w:rPr>
            </w:pPr>
            <w:r w:rsidRPr="00492BE9">
              <w:rPr>
                <w:b/>
                <w:bCs/>
              </w:rPr>
              <w:t>CMR</w:t>
            </w:r>
          </w:p>
        </w:tc>
      </w:tr>
      <w:tr w:rsidR="00A04D93" w14:paraId="782EB386" w14:textId="77777777" w:rsidTr="00ED16C6">
        <w:trPr>
          <w:trHeight w:val="57"/>
        </w:trPr>
        <w:tc>
          <w:tcPr>
            <w:tcW w:w="5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28AD5" w14:textId="77777777" w:rsidR="00A04D93" w:rsidRPr="007E5951" w:rsidRDefault="00A04D93">
            <w:pPr>
              <w:pStyle w:val="Normalwebb"/>
              <w:spacing w:before="0" w:beforeAutospacing="0" w:after="0" w:afterAutospacing="0"/>
              <w:jc w:val="both"/>
            </w:pPr>
            <w:r w:rsidRPr="007E5951">
              <w:rPr>
                <w:color w:val="000000"/>
                <w:shd w:val="clear" w:color="auto" w:fill="FFFF00"/>
                <w:lang w:val="en-US"/>
              </w:rPr>
              <w:t>Timing</w:t>
            </w:r>
          </w:p>
        </w:tc>
        <w:tc>
          <w:tcPr>
            <w:tcW w:w="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4E2B8" w14:textId="77777777" w:rsidR="00A04D93" w:rsidRPr="007E5951" w:rsidRDefault="00A04D93">
            <w:pPr>
              <w:pStyle w:val="Brdtext"/>
              <w:spacing w:line="240" w:lineRule="auto"/>
              <w:jc w:val="center"/>
              <w:rPr>
                <w:rFonts w:ascii="Segoe UI Symbol" w:hAnsi="Segoe UI Symbol" w:cs="Segoe UI Symbol"/>
                <w:sz w:val="24"/>
                <w:szCs w:val="24"/>
              </w:rPr>
            </w:pPr>
            <w:r w:rsidRPr="007E5951">
              <w:rPr>
                <w:rFonts w:ascii="Segoe UI Symbol" w:hAnsi="Segoe UI Symbol" w:cs="Segoe UI Symbol"/>
                <w:sz w:val="24"/>
                <w:szCs w:val="24"/>
              </w:rPr>
              <w:t>✓</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AA8C7" w14:textId="77777777" w:rsidR="00A04D93" w:rsidRPr="007E5951" w:rsidRDefault="00A04D93">
            <w:pPr>
              <w:pStyle w:val="Brdtext"/>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99E68" w14:textId="77777777" w:rsidR="00A04D93" w:rsidRPr="007E5951" w:rsidRDefault="00A04D93">
            <w:pPr>
              <w:pStyle w:val="Brdtext"/>
              <w:spacing w:line="240" w:lineRule="auto"/>
              <w:jc w:val="center"/>
              <w:rPr>
                <w:sz w:val="24"/>
                <w:szCs w:val="24"/>
              </w:rPr>
            </w:pPr>
          </w:p>
        </w:tc>
      </w:tr>
      <w:tr w:rsidR="00A04D93" w14:paraId="6C35E30C" w14:textId="77777777" w:rsidTr="00ED16C6">
        <w:trPr>
          <w:trHeight w:val="57"/>
        </w:trPr>
        <w:tc>
          <w:tcPr>
            <w:tcW w:w="5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A2147" w14:textId="77777777" w:rsidR="00A04D93" w:rsidRPr="007E5951" w:rsidRDefault="00A04D93">
            <w:pPr>
              <w:pStyle w:val="Brdtext"/>
              <w:spacing w:line="240" w:lineRule="auto"/>
              <w:rPr>
                <w:sz w:val="24"/>
                <w:szCs w:val="24"/>
              </w:rPr>
            </w:pPr>
            <w:r w:rsidRPr="007E5951">
              <w:rPr>
                <w:color w:val="000000"/>
                <w:sz w:val="24"/>
                <w:szCs w:val="24"/>
                <w:shd w:val="clear" w:color="auto" w:fill="C9DAF8"/>
                <w:lang w:val="en-US" w:eastAsia="sv-SE"/>
              </w:rPr>
              <w:t>Feedback or scaffolding</w:t>
            </w:r>
          </w:p>
        </w:tc>
        <w:tc>
          <w:tcPr>
            <w:tcW w:w="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B7589" w14:textId="77777777" w:rsidR="00A04D93" w:rsidRPr="007E5951" w:rsidRDefault="00A04D93">
            <w:pPr>
              <w:pStyle w:val="Brdtext"/>
              <w:spacing w:line="240" w:lineRule="auto"/>
              <w:jc w:val="center"/>
              <w:rPr>
                <w:sz w:val="24"/>
                <w:szCs w:val="24"/>
              </w:rPr>
            </w:pPr>
            <w:r w:rsidRPr="007E5951">
              <w:rPr>
                <w:rFonts w:ascii="Segoe UI Symbol" w:hAnsi="Segoe UI Symbol" w:cs="Segoe UI Symbol"/>
                <w:sz w:val="24"/>
                <w:szCs w:val="24"/>
              </w:rPr>
              <w:t>✓</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8F351" w14:textId="77777777" w:rsidR="00A04D93" w:rsidRPr="007E5951" w:rsidRDefault="00A04D93">
            <w:pPr>
              <w:pStyle w:val="Brdtext"/>
              <w:spacing w:line="240" w:lineRule="auto"/>
              <w:jc w:val="center"/>
              <w:rPr>
                <w:sz w:val="24"/>
                <w:szCs w:val="24"/>
              </w:rPr>
            </w:pPr>
            <w:r w:rsidRPr="007E5951">
              <w:rPr>
                <w:rFonts w:ascii="Segoe UI Symbol" w:hAnsi="Segoe UI Symbol" w:cs="Segoe UI Symbol"/>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B4F81" w14:textId="77777777" w:rsidR="00A04D93" w:rsidRPr="007E5951" w:rsidRDefault="00A04D93">
            <w:pPr>
              <w:pStyle w:val="Brdtext"/>
              <w:spacing w:line="240" w:lineRule="auto"/>
              <w:jc w:val="center"/>
              <w:rPr>
                <w:sz w:val="24"/>
                <w:szCs w:val="24"/>
              </w:rPr>
            </w:pPr>
            <w:r w:rsidRPr="007E5951">
              <w:rPr>
                <w:rFonts w:ascii="Segoe UI Symbol" w:hAnsi="Segoe UI Symbol" w:cs="Segoe UI Symbol"/>
                <w:sz w:val="24"/>
                <w:szCs w:val="24"/>
              </w:rPr>
              <w:t>✓</w:t>
            </w:r>
          </w:p>
        </w:tc>
      </w:tr>
      <w:tr w:rsidR="00A04D93" w14:paraId="5086CCF6" w14:textId="77777777" w:rsidTr="00ED16C6">
        <w:trPr>
          <w:trHeight w:val="57"/>
        </w:trPr>
        <w:tc>
          <w:tcPr>
            <w:tcW w:w="5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445BB" w14:textId="77777777" w:rsidR="00A04D93" w:rsidRPr="007E5951" w:rsidRDefault="00A04D93">
            <w:pPr>
              <w:pStyle w:val="Brdtext"/>
              <w:spacing w:line="240" w:lineRule="auto"/>
              <w:rPr>
                <w:sz w:val="24"/>
                <w:szCs w:val="24"/>
              </w:rPr>
            </w:pPr>
            <w:r w:rsidRPr="007E5951">
              <w:rPr>
                <w:sz w:val="24"/>
                <w:szCs w:val="24"/>
                <w:shd w:val="clear" w:color="auto" w:fill="F4CCCC"/>
                <w:lang w:val="en-US"/>
              </w:rPr>
              <w:t>Push for justification</w:t>
            </w:r>
          </w:p>
        </w:tc>
        <w:tc>
          <w:tcPr>
            <w:tcW w:w="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4193C" w14:textId="77777777" w:rsidR="00A04D93" w:rsidRPr="007E5951" w:rsidRDefault="00A04D93">
            <w:pPr>
              <w:pStyle w:val="Brdtext"/>
              <w:spacing w:line="240" w:lineRule="auto"/>
              <w:jc w:val="center"/>
              <w:rPr>
                <w:sz w:val="24"/>
                <w:szCs w:val="24"/>
              </w:rPr>
            </w:pPr>
            <w:r w:rsidRPr="007E5951">
              <w:rPr>
                <w:rFonts w:ascii="Segoe UI Symbol" w:hAnsi="Segoe UI Symbol" w:cs="Segoe UI Symbol"/>
                <w:sz w:val="24"/>
                <w:szCs w:val="24"/>
              </w:rPr>
              <w:t>✓</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8E7C4" w14:textId="77777777" w:rsidR="00A04D93" w:rsidRPr="007E5951" w:rsidRDefault="00A04D93">
            <w:pPr>
              <w:pStyle w:val="Brdtext"/>
              <w:spacing w:line="240" w:lineRule="auto"/>
              <w:jc w:val="center"/>
              <w:rPr>
                <w:sz w:val="24"/>
                <w:szCs w:val="24"/>
              </w:rPr>
            </w:pPr>
            <w:r w:rsidRPr="007E5951">
              <w:rPr>
                <w:rFonts w:ascii="Segoe UI Symbol" w:hAnsi="Segoe UI Symbol" w:cs="Segoe UI Symbol"/>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0234C" w14:textId="77777777" w:rsidR="00A04D93" w:rsidRPr="007E5951" w:rsidRDefault="00A04D93">
            <w:pPr>
              <w:pStyle w:val="Brdtext"/>
              <w:spacing w:line="240" w:lineRule="auto"/>
              <w:jc w:val="center"/>
              <w:rPr>
                <w:sz w:val="24"/>
                <w:szCs w:val="24"/>
              </w:rPr>
            </w:pPr>
            <w:r w:rsidRPr="007E5951">
              <w:rPr>
                <w:rFonts w:ascii="Segoe UI Symbol" w:hAnsi="Segoe UI Symbol" w:cs="Segoe UI Symbol"/>
                <w:sz w:val="24"/>
                <w:szCs w:val="24"/>
              </w:rPr>
              <w:t>✓</w:t>
            </w:r>
          </w:p>
        </w:tc>
      </w:tr>
      <w:tr w:rsidR="00A04D93" w14:paraId="5476FBC6" w14:textId="77777777" w:rsidTr="00ED16C6">
        <w:trPr>
          <w:trHeight w:val="57"/>
        </w:trPr>
        <w:tc>
          <w:tcPr>
            <w:tcW w:w="5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1D59A" w14:textId="77777777" w:rsidR="00A04D93" w:rsidRPr="007E5951" w:rsidRDefault="00A04D93">
            <w:pPr>
              <w:pStyle w:val="Brdtext"/>
              <w:spacing w:line="240" w:lineRule="auto"/>
              <w:rPr>
                <w:sz w:val="24"/>
                <w:szCs w:val="24"/>
              </w:rPr>
            </w:pPr>
            <w:r w:rsidRPr="007E5951">
              <w:rPr>
                <w:sz w:val="24"/>
                <w:szCs w:val="24"/>
                <w:shd w:val="clear" w:color="auto" w:fill="D9EAD3"/>
                <w:lang w:val="en-US"/>
              </w:rPr>
              <w:t>Modelling engagement</w:t>
            </w:r>
          </w:p>
        </w:tc>
        <w:tc>
          <w:tcPr>
            <w:tcW w:w="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C65C9" w14:textId="77777777" w:rsidR="00A04D93" w:rsidRPr="007E5951" w:rsidRDefault="00A04D93">
            <w:pPr>
              <w:pStyle w:val="Brdtext"/>
              <w:spacing w:line="240" w:lineRule="auto"/>
              <w:jc w:val="center"/>
              <w:rPr>
                <w:rFonts w:ascii="Segoe UI Symbol" w:hAnsi="Segoe UI Symbol" w:cs="Segoe UI Symbol"/>
                <w:sz w:val="24"/>
                <w:szCs w:val="24"/>
              </w:rPr>
            </w:pPr>
            <w:r w:rsidRPr="007E5951">
              <w:rPr>
                <w:rFonts w:ascii="Segoe UI Symbol" w:hAnsi="Segoe UI Symbol" w:cs="Segoe UI Symbol"/>
                <w:sz w:val="24"/>
                <w:szCs w:val="24"/>
              </w:rPr>
              <w:t>✓</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9BEFC" w14:textId="77777777" w:rsidR="00A04D93" w:rsidRPr="007E5951" w:rsidRDefault="00A04D93">
            <w:pPr>
              <w:pStyle w:val="Brdtext"/>
              <w:spacing w:line="240" w:lineRule="auto"/>
              <w:jc w:val="center"/>
              <w:rPr>
                <w:rFonts w:ascii="Segoe UI Symbol" w:hAnsi="Segoe UI Symbol" w:cs="Segoe UI Symbo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0CA20" w14:textId="77777777" w:rsidR="00A04D93" w:rsidRPr="007E5951" w:rsidRDefault="00A04D93">
            <w:pPr>
              <w:pStyle w:val="Brdtext"/>
              <w:spacing w:line="240" w:lineRule="auto"/>
              <w:jc w:val="center"/>
              <w:rPr>
                <w:rFonts w:ascii="Segoe UI Symbol" w:hAnsi="Segoe UI Symbol" w:cs="Segoe UI Symbol"/>
                <w:sz w:val="24"/>
                <w:szCs w:val="24"/>
              </w:rPr>
            </w:pPr>
          </w:p>
        </w:tc>
      </w:tr>
      <w:tr w:rsidR="00A04D93" w14:paraId="12E0E6A9" w14:textId="77777777" w:rsidTr="00ED16C6">
        <w:trPr>
          <w:trHeight w:val="57"/>
        </w:trPr>
        <w:tc>
          <w:tcPr>
            <w:tcW w:w="5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5C613" w14:textId="77777777" w:rsidR="00A04D93" w:rsidRPr="007E5951" w:rsidRDefault="00A04D93">
            <w:pPr>
              <w:pStyle w:val="Brdtext"/>
              <w:spacing w:line="240" w:lineRule="auto"/>
              <w:rPr>
                <w:sz w:val="24"/>
                <w:szCs w:val="24"/>
              </w:rPr>
            </w:pPr>
            <w:r w:rsidRPr="007E5951">
              <w:rPr>
                <w:sz w:val="24"/>
                <w:szCs w:val="24"/>
                <w:shd w:val="clear" w:color="auto" w:fill="DDD9C3" w:themeFill="background2" w:themeFillShade="E6"/>
                <w:lang w:val="en-US"/>
              </w:rPr>
              <w:t>Curriculum context, prior learning</w:t>
            </w:r>
          </w:p>
        </w:tc>
        <w:tc>
          <w:tcPr>
            <w:tcW w:w="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CBD5D" w14:textId="77777777" w:rsidR="00A04D93" w:rsidRPr="007E5951" w:rsidRDefault="00A04D93">
            <w:pPr>
              <w:pStyle w:val="Brdtext"/>
              <w:spacing w:line="240" w:lineRule="auto"/>
              <w:jc w:val="center"/>
              <w:rPr>
                <w:sz w:val="24"/>
                <w:szCs w:val="24"/>
              </w:rPr>
            </w:pPr>
            <w:r w:rsidRPr="007E5951">
              <w:rPr>
                <w:rFonts w:ascii="Segoe UI Symbol" w:hAnsi="Segoe UI Symbol" w:cs="Segoe UI Symbol"/>
                <w:sz w:val="24"/>
                <w:szCs w:val="24"/>
              </w:rPr>
              <w:t>✓</w:t>
            </w: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9795E" w14:textId="77777777" w:rsidR="00A04D93" w:rsidRPr="007E5951" w:rsidRDefault="00A04D93">
            <w:pPr>
              <w:pStyle w:val="Brdtext"/>
              <w:spacing w:line="240" w:lineRule="auto"/>
              <w:jc w:val="center"/>
              <w:rPr>
                <w:sz w:val="24"/>
                <w:szCs w:val="24"/>
              </w:rPr>
            </w:pPr>
            <w:r w:rsidRPr="007E5951">
              <w:rPr>
                <w:rFonts w:ascii="Segoe UI Symbol" w:hAnsi="Segoe UI Symbol" w:cs="Segoe UI Symbol"/>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1EA28" w14:textId="77777777" w:rsidR="00A04D93" w:rsidRPr="007E5951" w:rsidRDefault="00A04D93">
            <w:pPr>
              <w:pStyle w:val="Brdtext"/>
              <w:spacing w:line="240" w:lineRule="auto"/>
              <w:jc w:val="center"/>
              <w:rPr>
                <w:sz w:val="24"/>
                <w:szCs w:val="24"/>
              </w:rPr>
            </w:pPr>
          </w:p>
        </w:tc>
      </w:tr>
      <w:tr w:rsidR="00A04D93" w14:paraId="64F8BFAF" w14:textId="77777777" w:rsidTr="00ED16C6">
        <w:trPr>
          <w:trHeight w:val="57"/>
        </w:trPr>
        <w:tc>
          <w:tcPr>
            <w:tcW w:w="5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DAAF9" w14:textId="77777777" w:rsidR="00A04D93" w:rsidRPr="007E5951" w:rsidRDefault="00A04D93">
            <w:pPr>
              <w:pStyle w:val="Brdtext"/>
              <w:spacing w:line="240" w:lineRule="auto"/>
              <w:rPr>
                <w:sz w:val="24"/>
                <w:szCs w:val="24"/>
              </w:rPr>
            </w:pPr>
            <w:r w:rsidRPr="007E5951">
              <w:rPr>
                <w:sz w:val="24"/>
                <w:szCs w:val="24"/>
                <w:shd w:val="clear" w:color="auto" w:fill="D9D2E9"/>
                <w:lang w:val="en-US"/>
              </w:rPr>
              <w:t>Assessment demands</w:t>
            </w:r>
          </w:p>
        </w:tc>
        <w:tc>
          <w:tcPr>
            <w:tcW w:w="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4FA89" w14:textId="77777777" w:rsidR="00A04D93" w:rsidRPr="007E5951" w:rsidRDefault="00A04D93">
            <w:pPr>
              <w:pStyle w:val="Brdtext"/>
              <w:spacing w:line="240" w:lineRule="auto"/>
              <w:jc w:val="center"/>
              <w:rPr>
                <w:sz w:val="24"/>
                <w:szCs w:val="24"/>
              </w:rPr>
            </w:pP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C18B5" w14:textId="77777777" w:rsidR="00A04D93" w:rsidRPr="007E5951" w:rsidRDefault="00A04D93">
            <w:pPr>
              <w:pStyle w:val="Brdtext"/>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CC7C6" w14:textId="77777777" w:rsidR="00A04D93" w:rsidRPr="007E5951" w:rsidRDefault="00A04D93">
            <w:pPr>
              <w:pStyle w:val="Brdtext"/>
              <w:spacing w:line="240" w:lineRule="auto"/>
              <w:jc w:val="center"/>
              <w:rPr>
                <w:sz w:val="24"/>
                <w:szCs w:val="24"/>
              </w:rPr>
            </w:pPr>
          </w:p>
        </w:tc>
      </w:tr>
      <w:tr w:rsidR="00A04D93" w14:paraId="00D850B8" w14:textId="77777777" w:rsidTr="00ED16C6">
        <w:trPr>
          <w:trHeight w:val="20"/>
        </w:trPr>
        <w:tc>
          <w:tcPr>
            <w:tcW w:w="5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E84BA" w14:textId="77777777" w:rsidR="00A04D93" w:rsidRPr="007E5951" w:rsidRDefault="00A04D93">
            <w:pPr>
              <w:pStyle w:val="Brdtext"/>
              <w:spacing w:line="240" w:lineRule="auto"/>
              <w:rPr>
                <w:sz w:val="24"/>
                <w:szCs w:val="24"/>
                <w:shd w:val="clear" w:color="auto" w:fill="D9D2E9"/>
                <w:lang w:val="en-US"/>
              </w:rPr>
            </w:pPr>
            <w:r w:rsidRPr="007E5951">
              <w:rPr>
                <w:color w:val="000000"/>
                <w:sz w:val="24"/>
                <w:szCs w:val="24"/>
                <w:shd w:val="clear" w:color="auto" w:fill="FBD4B4" w:themeFill="accent6" w:themeFillTint="66"/>
                <w:lang w:val="en-US"/>
              </w:rPr>
              <w:t>Sequencing</w:t>
            </w:r>
          </w:p>
        </w:tc>
        <w:tc>
          <w:tcPr>
            <w:tcW w:w="8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6997B" w14:textId="77777777" w:rsidR="00A04D93" w:rsidRPr="007E5951" w:rsidRDefault="00A04D93">
            <w:pPr>
              <w:pStyle w:val="Brdtext"/>
              <w:spacing w:line="240" w:lineRule="auto"/>
              <w:jc w:val="center"/>
              <w:rPr>
                <w:sz w:val="24"/>
                <w:szCs w:val="24"/>
              </w:rPr>
            </w:pPr>
          </w:p>
        </w:tc>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AC938" w14:textId="77777777" w:rsidR="00A04D93" w:rsidRPr="007E5951" w:rsidRDefault="00A04D93">
            <w:pPr>
              <w:pStyle w:val="Brdtext"/>
              <w:spacing w:line="240" w:lineRule="auto"/>
              <w:jc w:val="cente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63266" w14:textId="77777777" w:rsidR="00A04D93" w:rsidRPr="007E5951" w:rsidRDefault="00A04D93">
            <w:pPr>
              <w:pStyle w:val="Brdtext"/>
              <w:spacing w:line="240" w:lineRule="auto"/>
              <w:jc w:val="center"/>
              <w:rPr>
                <w:sz w:val="24"/>
                <w:szCs w:val="24"/>
              </w:rPr>
            </w:pPr>
          </w:p>
        </w:tc>
      </w:tr>
    </w:tbl>
    <w:p w14:paraId="4D74BE0D" w14:textId="655AB74F" w:rsidR="00A04D93" w:rsidRDefault="00A04D93" w:rsidP="00A04D93">
      <w:pPr>
        <w:pStyle w:val="Headtable"/>
        <w:rPr>
          <w:lang w:val="en-US"/>
        </w:rPr>
      </w:pPr>
      <w:r w:rsidRPr="0000350B">
        <w:rPr>
          <w:lang w:val="en-US"/>
        </w:rPr>
        <w:t xml:space="preserve">Table </w:t>
      </w:r>
      <w:r>
        <w:rPr>
          <w:lang w:val="en-US"/>
        </w:rPr>
        <w:t>3</w:t>
      </w:r>
      <w:r w:rsidRPr="0000350B">
        <w:rPr>
          <w:lang w:val="en-US"/>
        </w:rPr>
        <w:t xml:space="preserve">: </w:t>
      </w:r>
      <w:r>
        <w:rPr>
          <w:lang w:val="en-US"/>
        </w:rPr>
        <w:t>T</w:t>
      </w:r>
      <w:r w:rsidRPr="0000350B">
        <w:rPr>
          <w:lang w:val="en-US"/>
        </w:rPr>
        <w:t>hemes from the teacher’s description captured by the frameworks. </w:t>
      </w:r>
    </w:p>
    <w:p w14:paraId="12ABE6CC" w14:textId="2D9CD98D" w:rsidR="00A04D93" w:rsidRPr="0000350B" w:rsidRDefault="00A04D93" w:rsidP="00A04D93">
      <w:pPr>
        <w:pStyle w:val="Brdtext"/>
        <w:rPr>
          <w:lang w:val="en-US"/>
        </w:rPr>
      </w:pPr>
      <w:r w:rsidRPr="00A04D93">
        <w:rPr>
          <w:rStyle w:val="BrdtextChar"/>
        </w:rPr>
        <w:t xml:space="preserve">Students’ work on solving the task is organised in clearly defined time intervals. </w:t>
      </w:r>
      <w:r>
        <w:rPr>
          <w:rStyle w:val="BrdtextChar"/>
        </w:rPr>
        <w:t xml:space="preserve">Of the three frameworks considered here, only Stein explicitly considers appropriate timing as crucial to successful task implementation. </w:t>
      </w:r>
    </w:p>
    <w:p w14:paraId="6AF98DB9" w14:textId="445F63BC" w:rsidR="00A04D93" w:rsidRDefault="00A04D93" w:rsidP="00D153ED">
      <w:pPr>
        <w:rPr>
          <w:lang w:val="en-US"/>
        </w:rPr>
      </w:pPr>
      <w:r w:rsidRPr="0000350B">
        <w:rPr>
          <w:lang w:val="en-US"/>
        </w:rPr>
        <w:t xml:space="preserve">Scaffolding or supporting student </w:t>
      </w:r>
      <w:r>
        <w:rPr>
          <w:lang w:val="en-US"/>
        </w:rPr>
        <w:t>problem-solving</w:t>
      </w:r>
      <w:r w:rsidRPr="0000350B">
        <w:rPr>
          <w:lang w:val="en-US"/>
        </w:rPr>
        <w:t xml:space="preserve"> is mentioned in all three frameworks, although COACTIV is less explicit than Stein and CMR about what such support looks like. </w:t>
      </w:r>
      <w:r w:rsidR="0002588A">
        <w:rPr>
          <w:lang w:val="en-US"/>
        </w:rPr>
        <w:t>Likewise</w:t>
      </w:r>
      <w:r w:rsidR="00D153ED">
        <w:rPr>
          <w:lang w:val="en-US"/>
        </w:rPr>
        <w:t>, all</w:t>
      </w:r>
      <w:r>
        <w:rPr>
          <w:lang w:val="en-US"/>
        </w:rPr>
        <w:t xml:space="preserve"> three frameworks agree with the teacher that the demand for justification is an important element of the task</w:t>
      </w:r>
      <w:r w:rsidR="00D153ED">
        <w:rPr>
          <w:lang w:val="en-US"/>
        </w:rPr>
        <w:t xml:space="preserve">. </w:t>
      </w:r>
    </w:p>
    <w:p w14:paraId="7E5AD979" w14:textId="6DB28479" w:rsidR="0000350B" w:rsidRPr="0000350B" w:rsidRDefault="0000350B" w:rsidP="00A04D93">
      <w:pPr>
        <w:rPr>
          <w:lang w:val="en-US"/>
        </w:rPr>
      </w:pPr>
      <w:r w:rsidRPr="0000350B">
        <w:rPr>
          <w:lang w:val="en-US"/>
        </w:rPr>
        <w:lastRenderedPageBreak/>
        <w:t>Modelling features prominently in the teacher’s description of her teaching, as well as in her statement (during member check) that this is among the more important elements in her implementation of the task. Stein</w:t>
      </w:r>
      <w:r w:rsidR="00874118">
        <w:rPr>
          <w:lang w:val="en-US"/>
        </w:rPr>
        <w:t>’s</w:t>
      </w:r>
      <w:r w:rsidRPr="0000350B">
        <w:rPr>
          <w:lang w:val="en-US"/>
        </w:rPr>
        <w:t xml:space="preserve"> </w:t>
      </w:r>
      <w:r w:rsidR="00874118">
        <w:rPr>
          <w:lang w:val="en-US"/>
        </w:rPr>
        <w:t xml:space="preserve">is the only framework that </w:t>
      </w:r>
      <w:r w:rsidRPr="0000350B">
        <w:rPr>
          <w:lang w:val="en-US"/>
        </w:rPr>
        <w:t>consider</w:t>
      </w:r>
      <w:r w:rsidR="00874118">
        <w:rPr>
          <w:lang w:val="en-US"/>
        </w:rPr>
        <w:t xml:space="preserve">s </w:t>
      </w:r>
      <w:r w:rsidR="00D153ED">
        <w:rPr>
          <w:lang w:val="en-US"/>
        </w:rPr>
        <w:t xml:space="preserve">the </w:t>
      </w:r>
      <w:r w:rsidRPr="0000350B">
        <w:rPr>
          <w:lang w:val="en-US"/>
        </w:rPr>
        <w:t>modelling as an important factor affecting implementation</w:t>
      </w:r>
      <w:r w:rsidR="00874118">
        <w:rPr>
          <w:lang w:val="en-US"/>
        </w:rPr>
        <w:t xml:space="preserve">. </w:t>
      </w:r>
    </w:p>
    <w:p w14:paraId="43119067" w14:textId="7D25C422" w:rsidR="0000350B" w:rsidRPr="0000350B" w:rsidRDefault="0000350B" w:rsidP="00492BE9">
      <w:pPr>
        <w:rPr>
          <w:lang w:val="en-US"/>
        </w:rPr>
      </w:pPr>
      <w:r w:rsidRPr="0000350B">
        <w:rPr>
          <w:lang w:val="en-US"/>
        </w:rPr>
        <w:t xml:space="preserve">Curricular context and building on prior learning </w:t>
      </w:r>
      <w:r w:rsidR="00D153ED">
        <w:rPr>
          <w:lang w:val="en-US"/>
        </w:rPr>
        <w:t>are</w:t>
      </w:r>
      <w:r w:rsidR="00D153ED" w:rsidRPr="0000350B">
        <w:rPr>
          <w:lang w:val="en-US"/>
        </w:rPr>
        <w:t xml:space="preserve"> </w:t>
      </w:r>
      <w:r w:rsidRPr="0000350B">
        <w:rPr>
          <w:lang w:val="en-US"/>
        </w:rPr>
        <w:t>mentioned explicitly in both COACTIV and Stein, although COACTIV does not consider this a factor in implementation but rather a fact of the task formulation itself</w:t>
      </w:r>
      <w:r w:rsidR="001D52C6">
        <w:rPr>
          <w:lang w:val="en-US"/>
        </w:rPr>
        <w:t>.</w:t>
      </w:r>
    </w:p>
    <w:p w14:paraId="6110FBEA" w14:textId="3144B1B6" w:rsidR="006C3716" w:rsidRDefault="0000350B" w:rsidP="00492BE9">
      <w:pPr>
        <w:rPr>
          <w:lang w:val="en-US"/>
        </w:rPr>
      </w:pPr>
      <w:r w:rsidRPr="0000350B">
        <w:rPr>
          <w:lang w:val="en-US"/>
        </w:rPr>
        <w:t>Some important aspects of the implementation of this task were not captured by any of the frameworks: the prominent role of formative and summative assessment</w:t>
      </w:r>
      <w:r w:rsidR="00AF66EE">
        <w:rPr>
          <w:lang w:val="en-US"/>
        </w:rPr>
        <w:t xml:space="preserve"> and</w:t>
      </w:r>
      <w:r w:rsidRPr="0000350B">
        <w:rPr>
          <w:lang w:val="en-US"/>
        </w:rPr>
        <w:t xml:space="preserve"> the positioning of the task among other tasks </w:t>
      </w:r>
      <w:r w:rsidR="00F63E77">
        <w:rPr>
          <w:lang w:val="en-US"/>
        </w:rPr>
        <w:t xml:space="preserve">of </w:t>
      </w:r>
      <w:r w:rsidR="00E75257">
        <w:rPr>
          <w:lang w:val="en-US"/>
        </w:rPr>
        <w:t xml:space="preserve">a </w:t>
      </w:r>
      <w:r w:rsidR="00F63E77">
        <w:rPr>
          <w:lang w:val="en-US"/>
        </w:rPr>
        <w:t>similar kind.</w:t>
      </w:r>
    </w:p>
    <w:p w14:paraId="6A368C52" w14:textId="77777777" w:rsidR="0000350B" w:rsidRDefault="0000350B" w:rsidP="00492BE9">
      <w:pPr>
        <w:pStyle w:val="Rubrik3"/>
      </w:pPr>
      <w:r>
        <w:t>Discussion </w:t>
      </w:r>
    </w:p>
    <w:p w14:paraId="49B21402" w14:textId="7D974BC7" w:rsidR="0000350B" w:rsidRPr="0000350B" w:rsidRDefault="009D46AC" w:rsidP="00492BE9">
      <w:pPr>
        <w:pStyle w:val="Brdtext"/>
        <w:rPr>
          <w:lang w:val="en-US"/>
        </w:rPr>
      </w:pPr>
      <w:r>
        <w:rPr>
          <w:lang w:val="en-US"/>
        </w:rPr>
        <w:t xml:space="preserve">We examined </w:t>
      </w:r>
      <w:r w:rsidR="00AF66EE">
        <w:rPr>
          <w:lang w:val="en-US"/>
        </w:rPr>
        <w:t xml:space="preserve">the application of three frameworks to a </w:t>
      </w:r>
      <w:r>
        <w:rPr>
          <w:lang w:val="en-US"/>
        </w:rPr>
        <w:t xml:space="preserve">quite advanced and </w:t>
      </w:r>
      <w:r w:rsidR="00B9088A">
        <w:rPr>
          <w:lang w:val="en-US"/>
        </w:rPr>
        <w:t>well-thought-out</w:t>
      </w:r>
      <w:r>
        <w:rPr>
          <w:lang w:val="en-US"/>
        </w:rPr>
        <w:t xml:space="preserve"> task</w:t>
      </w:r>
      <w:r w:rsidR="002013F0">
        <w:rPr>
          <w:lang w:val="en-US"/>
        </w:rPr>
        <w:t>,</w:t>
      </w:r>
      <w:r>
        <w:rPr>
          <w:lang w:val="en-US"/>
        </w:rPr>
        <w:t xml:space="preserve"> chosen, modified</w:t>
      </w:r>
      <w:r w:rsidR="005E3A54">
        <w:rPr>
          <w:lang w:val="en-US"/>
        </w:rPr>
        <w:t>,</w:t>
      </w:r>
      <w:r>
        <w:rPr>
          <w:lang w:val="en-US"/>
        </w:rPr>
        <w:t xml:space="preserve"> and implemented by a</w:t>
      </w:r>
      <w:r w:rsidR="00AF66EE">
        <w:rPr>
          <w:lang w:val="en-US"/>
        </w:rPr>
        <w:t>n</w:t>
      </w:r>
      <w:r>
        <w:rPr>
          <w:lang w:val="en-US"/>
        </w:rPr>
        <w:t xml:space="preserve"> </w:t>
      </w:r>
      <w:r w:rsidR="00AF66EE">
        <w:rPr>
          <w:lang w:val="en-US"/>
        </w:rPr>
        <w:t xml:space="preserve">experienced </w:t>
      </w:r>
      <w:r>
        <w:rPr>
          <w:lang w:val="en-US"/>
        </w:rPr>
        <w:t>teacher</w:t>
      </w:r>
      <w:r w:rsidR="002013F0">
        <w:rPr>
          <w:lang w:val="en-US"/>
        </w:rPr>
        <w:t>.</w:t>
      </w:r>
      <w:r w:rsidR="00C74FC3">
        <w:rPr>
          <w:lang w:val="en-US"/>
        </w:rPr>
        <w:t xml:space="preserve"> </w:t>
      </w:r>
      <w:r w:rsidR="00B9088A">
        <w:rPr>
          <w:lang w:val="en-US"/>
        </w:rPr>
        <w:t xml:space="preserve">While the task formulation fit well with the frameworks’ characterization of </w:t>
      </w:r>
      <w:r w:rsidR="00F63E77">
        <w:rPr>
          <w:lang w:val="en-US"/>
        </w:rPr>
        <w:t xml:space="preserve">task design, </w:t>
      </w:r>
      <w:r w:rsidR="00B9088A">
        <w:rPr>
          <w:lang w:val="en-US"/>
        </w:rPr>
        <w:t xml:space="preserve">only </w:t>
      </w:r>
      <w:r w:rsidR="0000350B" w:rsidRPr="0000350B">
        <w:rPr>
          <w:lang w:val="en-US"/>
        </w:rPr>
        <w:t>Stein</w:t>
      </w:r>
      <w:r w:rsidR="00773D99">
        <w:rPr>
          <w:lang w:val="en-US"/>
        </w:rPr>
        <w:t>’</w:t>
      </w:r>
      <w:r w:rsidR="0000350B" w:rsidRPr="0000350B">
        <w:rPr>
          <w:lang w:val="en-US"/>
        </w:rPr>
        <w:t xml:space="preserve">s framework </w:t>
      </w:r>
      <w:r w:rsidR="00B9088A">
        <w:rPr>
          <w:lang w:val="en-US"/>
        </w:rPr>
        <w:t>was</w:t>
      </w:r>
      <w:r w:rsidR="0000350B" w:rsidRPr="0000350B">
        <w:rPr>
          <w:lang w:val="en-US"/>
        </w:rPr>
        <w:t xml:space="preserve"> effective in elucidating critical aspects of task</w:t>
      </w:r>
      <w:r w:rsidR="00D153ED">
        <w:rPr>
          <w:lang w:val="en-US"/>
        </w:rPr>
        <w:t xml:space="preserve"> </w:t>
      </w:r>
      <w:r w:rsidR="0000350B" w:rsidRPr="0000350B">
        <w:rPr>
          <w:lang w:val="en-US"/>
        </w:rPr>
        <w:t xml:space="preserve">implementation, aligning closely with the </w:t>
      </w:r>
      <w:r w:rsidR="00B9088A">
        <w:rPr>
          <w:lang w:val="en-US"/>
        </w:rPr>
        <w:t>teacher’s description</w:t>
      </w:r>
      <w:r w:rsidR="0000350B" w:rsidRPr="0000350B">
        <w:rPr>
          <w:lang w:val="en-US"/>
        </w:rPr>
        <w:t xml:space="preserve">. While COACTIV offered a more granular understanding of potential opportunities embedded in the task formulation, some categories proved challenging to assess, and </w:t>
      </w:r>
      <w:r w:rsidR="00D153ED">
        <w:rPr>
          <w:lang w:val="en-US"/>
        </w:rPr>
        <w:t>the</w:t>
      </w:r>
      <w:r w:rsidR="00D153ED" w:rsidRPr="0000350B">
        <w:rPr>
          <w:lang w:val="en-US"/>
        </w:rPr>
        <w:t xml:space="preserve"> </w:t>
      </w:r>
      <w:r w:rsidR="0000350B" w:rsidRPr="0000350B">
        <w:rPr>
          <w:lang w:val="en-US"/>
        </w:rPr>
        <w:t>relevance to the teacher</w:t>
      </w:r>
      <w:r w:rsidR="00773D99">
        <w:rPr>
          <w:lang w:val="en-US"/>
        </w:rPr>
        <w:t>’</w:t>
      </w:r>
      <w:r w:rsidR="0000350B" w:rsidRPr="0000350B">
        <w:rPr>
          <w:lang w:val="en-US"/>
        </w:rPr>
        <w:t xml:space="preserve">s specific implementation was limited. </w:t>
      </w:r>
      <w:r w:rsidR="00AF66EE">
        <w:rPr>
          <w:lang w:val="en-US"/>
        </w:rPr>
        <w:t xml:space="preserve">The task formulation also </w:t>
      </w:r>
      <w:r w:rsidR="0000350B" w:rsidRPr="0000350B">
        <w:rPr>
          <w:lang w:val="en-US"/>
        </w:rPr>
        <w:t>align</w:t>
      </w:r>
      <w:r w:rsidR="00F63E77">
        <w:rPr>
          <w:lang w:val="en-US"/>
        </w:rPr>
        <w:t>s</w:t>
      </w:r>
      <w:r w:rsidR="0000350B" w:rsidRPr="0000350B">
        <w:rPr>
          <w:lang w:val="en-US"/>
        </w:rPr>
        <w:t xml:space="preserve"> with CMR requisites, yet the CMR framework appears </w:t>
      </w:r>
      <w:r w:rsidR="00F63E77">
        <w:rPr>
          <w:lang w:val="en-US"/>
        </w:rPr>
        <w:t xml:space="preserve">comparatively </w:t>
      </w:r>
      <w:r w:rsidR="0000350B" w:rsidRPr="0000350B">
        <w:rPr>
          <w:lang w:val="en-US"/>
        </w:rPr>
        <w:t>constrained when juxtaposed with the rich, multifaceted perspective provided by the teacher.</w:t>
      </w:r>
    </w:p>
    <w:p w14:paraId="4FB671FC" w14:textId="6DEBE671" w:rsidR="0000350B" w:rsidRPr="0000350B" w:rsidRDefault="0000350B" w:rsidP="00492BE9">
      <w:pPr>
        <w:rPr>
          <w:lang w:val="en-US"/>
        </w:rPr>
      </w:pPr>
      <w:r w:rsidRPr="0000350B">
        <w:rPr>
          <w:lang w:val="en-US"/>
        </w:rPr>
        <w:t>The que</w:t>
      </w:r>
      <w:r w:rsidR="00634626">
        <w:rPr>
          <w:lang w:val="en-US"/>
        </w:rPr>
        <w:t>s</w:t>
      </w:r>
      <w:r w:rsidRPr="0000350B">
        <w:rPr>
          <w:lang w:val="en-US"/>
        </w:rPr>
        <w:t xml:space="preserve">tion arises: why does </w:t>
      </w:r>
      <w:r w:rsidR="004F1B48">
        <w:rPr>
          <w:lang w:val="en-US"/>
        </w:rPr>
        <w:t xml:space="preserve">CMR, which is </w:t>
      </w:r>
      <w:r w:rsidRPr="0000350B">
        <w:rPr>
          <w:lang w:val="en-US"/>
        </w:rPr>
        <w:t>the sole design framework</w:t>
      </w:r>
      <w:r w:rsidR="004F1B48">
        <w:rPr>
          <w:lang w:val="en-US"/>
        </w:rPr>
        <w:t xml:space="preserve"> in our selection,</w:t>
      </w:r>
      <w:r w:rsidRPr="0000350B">
        <w:rPr>
          <w:lang w:val="en-US"/>
        </w:rPr>
        <w:t xml:space="preserve"> capture so few </w:t>
      </w:r>
      <w:r w:rsidR="00AF66EE">
        <w:rPr>
          <w:lang w:val="en-US"/>
        </w:rPr>
        <w:t xml:space="preserve">of the </w:t>
      </w:r>
      <w:r w:rsidRPr="0000350B">
        <w:rPr>
          <w:lang w:val="en-US"/>
        </w:rPr>
        <w:t>crucial facets of implementation</w:t>
      </w:r>
      <w:r w:rsidR="00AF66EE">
        <w:rPr>
          <w:lang w:val="en-US"/>
        </w:rPr>
        <w:t xml:space="preserve"> identified by our teacher</w:t>
      </w:r>
      <w:r w:rsidRPr="0000350B">
        <w:rPr>
          <w:lang w:val="en-US"/>
        </w:rPr>
        <w:t>? In light of research indicating the pivotal role of teachers in facilitating students</w:t>
      </w:r>
      <w:r w:rsidR="00773D99">
        <w:rPr>
          <w:lang w:val="en-US"/>
        </w:rPr>
        <w:t>’</w:t>
      </w:r>
      <w:r w:rsidRPr="0000350B">
        <w:rPr>
          <w:lang w:val="en-US"/>
        </w:rPr>
        <w:t xml:space="preserve"> </w:t>
      </w:r>
      <w:r w:rsidR="0088619D">
        <w:rPr>
          <w:lang w:val="en-US"/>
        </w:rPr>
        <w:t>enactment of tasks</w:t>
      </w:r>
      <w:r w:rsidRPr="0000350B">
        <w:rPr>
          <w:lang w:val="en-US"/>
        </w:rPr>
        <w:t xml:space="preserve"> </w:t>
      </w:r>
      <w:r w:rsidR="00C1021D">
        <w:rPr>
          <w:lang w:val="en-US"/>
        </w:rPr>
        <w:t>(</w:t>
      </w:r>
      <w:r w:rsidR="001D52C6">
        <w:rPr>
          <w:lang w:val="en-US"/>
        </w:rPr>
        <w:t>Henningsen</w:t>
      </w:r>
      <w:r w:rsidRPr="0000350B">
        <w:rPr>
          <w:lang w:val="en-US"/>
        </w:rPr>
        <w:t xml:space="preserve">, </w:t>
      </w:r>
      <w:r w:rsidR="001D52C6">
        <w:rPr>
          <w:lang w:val="en-US"/>
        </w:rPr>
        <w:t>1997</w:t>
      </w:r>
      <w:r w:rsidRPr="0000350B">
        <w:rPr>
          <w:lang w:val="en-US"/>
        </w:rPr>
        <w:t xml:space="preserve">), it is </w:t>
      </w:r>
      <w:r w:rsidR="0088619D">
        <w:rPr>
          <w:lang w:val="en-US"/>
        </w:rPr>
        <w:t>reasonable to anticipate</w:t>
      </w:r>
      <w:r w:rsidRPr="0000350B">
        <w:rPr>
          <w:lang w:val="en-US"/>
        </w:rPr>
        <w:t xml:space="preserve"> that research on CMR task design </w:t>
      </w:r>
      <w:r w:rsidR="00AF66EE">
        <w:rPr>
          <w:lang w:val="en-US"/>
        </w:rPr>
        <w:t>will</w:t>
      </w:r>
      <w:r w:rsidRPr="0000350B">
        <w:rPr>
          <w:lang w:val="en-US"/>
        </w:rPr>
        <w:t xml:space="preserve"> </w:t>
      </w:r>
      <w:r w:rsidR="00BB4CC5">
        <w:rPr>
          <w:lang w:val="en-US"/>
        </w:rPr>
        <w:t>develop</w:t>
      </w:r>
      <w:r w:rsidRPr="0000350B">
        <w:rPr>
          <w:lang w:val="en-US"/>
        </w:rPr>
        <w:t xml:space="preserve"> toward formulating more complex design principles </w:t>
      </w:r>
      <w:r w:rsidR="0088619D">
        <w:rPr>
          <w:lang w:val="en-US"/>
        </w:rPr>
        <w:t>to</w:t>
      </w:r>
      <w:r w:rsidR="00AF66EE">
        <w:rPr>
          <w:lang w:val="en-US"/>
        </w:rPr>
        <w:t xml:space="preserve"> support</w:t>
      </w:r>
      <w:r w:rsidRPr="0000350B">
        <w:rPr>
          <w:lang w:val="en-US"/>
        </w:rPr>
        <w:t xml:space="preserve"> teachers</w:t>
      </w:r>
      <w:r w:rsidR="0088619D">
        <w:rPr>
          <w:lang w:val="en-US"/>
        </w:rPr>
        <w:t xml:space="preserve"> in CMR task implementation</w:t>
      </w:r>
      <w:r w:rsidR="00AF66EE">
        <w:rPr>
          <w:lang w:val="en-US"/>
        </w:rPr>
        <w:t xml:space="preserve">. </w:t>
      </w:r>
      <w:r w:rsidR="0088619D" w:rsidRPr="0088619D">
        <w:rPr>
          <w:lang w:val="en-US"/>
        </w:rPr>
        <w:t>Indeed, such research efforts appear to be in progress</w:t>
      </w:r>
      <w:r w:rsidR="00BB4CC5">
        <w:rPr>
          <w:lang w:val="en-US"/>
        </w:rPr>
        <w:t xml:space="preserve">, as evidenced in </w:t>
      </w:r>
      <w:r w:rsidR="0088619D" w:rsidRPr="0088619D">
        <w:rPr>
          <w:lang w:val="en-US"/>
        </w:rPr>
        <w:t>Sidenvall</w:t>
      </w:r>
      <w:r w:rsidR="00BB4CC5">
        <w:rPr>
          <w:lang w:val="en-US"/>
        </w:rPr>
        <w:t xml:space="preserve"> et al. (2022)</w:t>
      </w:r>
      <w:r w:rsidR="0088619D" w:rsidRPr="0088619D">
        <w:rPr>
          <w:lang w:val="en-US"/>
        </w:rPr>
        <w:t>.</w:t>
      </w:r>
    </w:p>
    <w:p w14:paraId="253FA18C" w14:textId="16F59D54" w:rsidR="0000350B" w:rsidRPr="0000350B" w:rsidRDefault="0000350B" w:rsidP="00492BE9">
      <w:pPr>
        <w:rPr>
          <w:lang w:val="en-US"/>
        </w:rPr>
      </w:pPr>
      <w:r w:rsidRPr="0000350B">
        <w:rPr>
          <w:lang w:val="en-US"/>
        </w:rPr>
        <w:t>Th</w:t>
      </w:r>
      <w:r w:rsidR="004F1B48">
        <w:rPr>
          <w:lang w:val="en-US"/>
        </w:rPr>
        <w:t>e teacher’s</w:t>
      </w:r>
      <w:r w:rsidRPr="0000350B">
        <w:rPr>
          <w:lang w:val="en-US"/>
        </w:rPr>
        <w:t xml:space="preserve"> account</w:t>
      </w:r>
      <w:r w:rsidR="004F1B48">
        <w:rPr>
          <w:lang w:val="en-US"/>
        </w:rPr>
        <w:t xml:space="preserve"> of her </w:t>
      </w:r>
      <w:r w:rsidR="0037552B">
        <w:rPr>
          <w:lang w:val="en-US"/>
        </w:rPr>
        <w:t>implementation of</w:t>
      </w:r>
      <w:r w:rsidR="004F1B48">
        <w:rPr>
          <w:lang w:val="en-US"/>
        </w:rPr>
        <w:t xml:space="preserve"> the task</w:t>
      </w:r>
      <w:r w:rsidRPr="0000350B">
        <w:rPr>
          <w:lang w:val="en-US"/>
        </w:rPr>
        <w:t xml:space="preserve"> highlighted several considerations that were not explicitly addressed in either framework. These included a focus on assessment requirements, the task's relationship to preceding </w:t>
      </w:r>
      <w:r w:rsidR="0002588A">
        <w:rPr>
          <w:lang w:val="en-US"/>
        </w:rPr>
        <w:t>tasks</w:t>
      </w:r>
      <w:r w:rsidR="0002588A" w:rsidRPr="0000350B">
        <w:rPr>
          <w:lang w:val="en-US"/>
        </w:rPr>
        <w:t xml:space="preserve"> </w:t>
      </w:r>
      <w:r w:rsidRPr="0000350B">
        <w:rPr>
          <w:lang w:val="en-US"/>
        </w:rPr>
        <w:t xml:space="preserve">that differed in content but shared similar cognitive demands, timing that extended over multiple lessons, and a deliberate shift from formative assessment, involving extensive </w:t>
      </w:r>
      <w:r w:rsidR="0002588A">
        <w:rPr>
          <w:lang w:val="en-US"/>
        </w:rPr>
        <w:t>modelling</w:t>
      </w:r>
      <w:r w:rsidR="0002588A" w:rsidRPr="0000350B">
        <w:rPr>
          <w:lang w:val="en-US"/>
        </w:rPr>
        <w:t xml:space="preserve"> </w:t>
      </w:r>
      <w:r w:rsidRPr="0000350B">
        <w:rPr>
          <w:lang w:val="en-US"/>
        </w:rPr>
        <w:t>and feedback, to more independently conducted summative assessment at the term's end.</w:t>
      </w:r>
      <w:r w:rsidR="004F1B48">
        <w:rPr>
          <w:lang w:val="en-US"/>
        </w:rPr>
        <w:t xml:space="preserve"> Overall, the teacher’s </w:t>
      </w:r>
      <w:r w:rsidR="00B51577">
        <w:rPr>
          <w:lang w:val="en-US"/>
        </w:rPr>
        <w:t>implementation</w:t>
      </w:r>
      <w:r w:rsidR="004F1B48">
        <w:rPr>
          <w:lang w:val="en-US"/>
        </w:rPr>
        <w:t xml:space="preserve"> </w:t>
      </w:r>
      <w:r w:rsidR="0002588A">
        <w:rPr>
          <w:lang w:val="en-US"/>
        </w:rPr>
        <w:t>consider</w:t>
      </w:r>
      <w:r w:rsidR="0091417F">
        <w:rPr>
          <w:lang w:val="en-US"/>
        </w:rPr>
        <w:t>s</w:t>
      </w:r>
      <w:r w:rsidR="0002588A">
        <w:rPr>
          <w:lang w:val="en-US"/>
        </w:rPr>
        <w:t xml:space="preserve"> </w:t>
      </w:r>
      <w:r w:rsidR="004F1B48">
        <w:rPr>
          <w:lang w:val="en-US"/>
        </w:rPr>
        <w:t xml:space="preserve">more facets of teaching </w:t>
      </w:r>
      <w:r w:rsidR="0091417F">
        <w:rPr>
          <w:lang w:val="en-US"/>
        </w:rPr>
        <w:t>and learning</w:t>
      </w:r>
      <w:r w:rsidR="004F1B48">
        <w:rPr>
          <w:lang w:val="en-US"/>
        </w:rPr>
        <w:t xml:space="preserve">, than </w:t>
      </w:r>
      <w:r w:rsidR="00A334E8">
        <w:rPr>
          <w:lang w:val="en-US"/>
        </w:rPr>
        <w:t xml:space="preserve">did </w:t>
      </w:r>
      <w:r w:rsidR="004F1B48">
        <w:rPr>
          <w:lang w:val="en-US"/>
        </w:rPr>
        <w:t xml:space="preserve">either of the </w:t>
      </w:r>
      <w:r w:rsidR="00A334E8">
        <w:rPr>
          <w:lang w:val="en-US"/>
        </w:rPr>
        <w:t>frameworks individually or</w:t>
      </w:r>
      <w:r w:rsidR="004F1B48">
        <w:rPr>
          <w:lang w:val="en-US"/>
        </w:rPr>
        <w:t xml:space="preserve"> </w:t>
      </w:r>
      <w:r w:rsidR="00A334E8">
        <w:rPr>
          <w:lang w:val="en-US"/>
        </w:rPr>
        <w:t>collectively</w:t>
      </w:r>
      <w:r w:rsidR="00F6145D">
        <w:rPr>
          <w:lang w:val="en-US"/>
        </w:rPr>
        <w:t xml:space="preserve">. </w:t>
      </w:r>
      <w:r w:rsidR="0091417F" w:rsidRPr="0091417F">
        <w:rPr>
          <w:lang w:val="en-US"/>
        </w:rPr>
        <w:t xml:space="preserve">This aligns with Eraut's (1994) observation that teachers often navigate numerous complexities in their lessons. </w:t>
      </w:r>
      <w:r w:rsidR="0091417F">
        <w:t>Generally</w:t>
      </w:r>
      <w:r w:rsidR="00A334E8">
        <w:t>, it may be the case</w:t>
      </w:r>
      <w:r w:rsidR="007E5951">
        <w:t xml:space="preserve"> that certain </w:t>
      </w:r>
      <w:r w:rsidR="0002588A">
        <w:t>behavioural</w:t>
      </w:r>
      <w:r w:rsidR="007E5951">
        <w:t xml:space="preserve"> routines that teacher</w:t>
      </w:r>
      <w:r w:rsidR="00B51577">
        <w:t>s</w:t>
      </w:r>
      <w:r w:rsidR="007E5951">
        <w:t xml:space="preserve"> find useful </w:t>
      </w:r>
      <w:r w:rsidR="00A334E8">
        <w:t xml:space="preserve">in light of their many priorities </w:t>
      </w:r>
      <w:r w:rsidR="007E5951">
        <w:t xml:space="preserve">may not fit well with the intended task </w:t>
      </w:r>
      <w:r w:rsidR="0091417F">
        <w:t>implementation</w:t>
      </w:r>
      <w:r w:rsidR="00A334E8">
        <w:t xml:space="preserve">. </w:t>
      </w:r>
      <w:r w:rsidR="00F6145D">
        <w:rPr>
          <w:lang w:val="en-US"/>
        </w:rPr>
        <w:t xml:space="preserve">In the model of implementation of </w:t>
      </w:r>
      <w:r w:rsidR="0002588A">
        <w:rPr>
          <w:lang w:val="en-US"/>
        </w:rPr>
        <w:t>cognitively</w:t>
      </w:r>
      <w:r w:rsidR="00F6145D">
        <w:rPr>
          <w:lang w:val="en-US"/>
        </w:rPr>
        <w:t xml:space="preserve"> demanding tasks presented by </w:t>
      </w:r>
      <w:r w:rsidR="00F6145D" w:rsidRPr="00F6145D">
        <w:t>Tekkumru-Kisa</w:t>
      </w:r>
      <w:r w:rsidR="00F6145D">
        <w:t xml:space="preserve"> </w:t>
      </w:r>
      <w:r w:rsidR="0091417F">
        <w:t>et al.</w:t>
      </w:r>
      <w:r w:rsidR="00F6145D">
        <w:t xml:space="preserve"> (2020), both the </w:t>
      </w:r>
      <w:r w:rsidR="00C74FC3">
        <w:t>teacher’s</w:t>
      </w:r>
      <w:r w:rsidR="00F6145D">
        <w:t xml:space="preserve"> </w:t>
      </w:r>
      <w:r w:rsidR="0091417F">
        <w:t>set-up</w:t>
      </w:r>
      <w:r w:rsidR="00F6145D">
        <w:t xml:space="preserve"> of the task as well as the actual classroom work with the task may </w:t>
      </w:r>
      <w:r w:rsidR="00C74FC3">
        <w:t xml:space="preserve">inflict decline in cognitive demand. </w:t>
      </w:r>
      <w:r w:rsidR="00A334E8" w:rsidRPr="00A334E8">
        <w:t xml:space="preserve">Therefore, frameworks that </w:t>
      </w:r>
      <w:r w:rsidR="00A334E8" w:rsidRPr="00A334E8">
        <w:lastRenderedPageBreak/>
        <w:t xml:space="preserve">encompass a broader range of factors, particularly those </w:t>
      </w:r>
      <w:r w:rsidR="00A334E8">
        <w:t>aligned</w:t>
      </w:r>
      <w:r w:rsidR="00A334E8" w:rsidRPr="00A334E8">
        <w:t xml:space="preserve"> with teachers' priorities such as assessment demands</w:t>
      </w:r>
      <w:r w:rsidR="00A334E8">
        <w:t xml:space="preserve"> and</w:t>
      </w:r>
      <w:r w:rsidR="00A334E8" w:rsidRPr="00A334E8">
        <w:t xml:space="preserve"> the relation to long-term skill development</w:t>
      </w:r>
      <w:r w:rsidR="00A334E8">
        <w:t xml:space="preserve">, </w:t>
      </w:r>
      <w:r w:rsidR="00A334E8" w:rsidRPr="00A334E8">
        <w:t>are more likely to</w:t>
      </w:r>
      <w:r w:rsidR="0091417F">
        <w:t xml:space="preserve"> support task implementation where cognitive demand is maintained.</w:t>
      </w:r>
    </w:p>
    <w:p w14:paraId="152538E6" w14:textId="250C0587" w:rsidR="0000350B" w:rsidRPr="0000350B" w:rsidRDefault="00C74FC3" w:rsidP="00492BE9">
      <w:pPr>
        <w:rPr>
          <w:lang w:val="en-US"/>
        </w:rPr>
      </w:pPr>
      <w:r>
        <w:rPr>
          <w:lang w:val="en-US"/>
        </w:rPr>
        <w:t xml:space="preserve">This view fits well with </w:t>
      </w:r>
      <w:r w:rsidR="0000350B" w:rsidRPr="0000350B">
        <w:rPr>
          <w:lang w:val="en-US"/>
        </w:rPr>
        <w:t>Thanheiser</w:t>
      </w:r>
      <w:r>
        <w:rPr>
          <w:lang w:val="en-US"/>
        </w:rPr>
        <w:t>’s</w:t>
      </w:r>
      <w:r w:rsidR="0000350B" w:rsidRPr="0000350B">
        <w:rPr>
          <w:lang w:val="en-US"/>
        </w:rPr>
        <w:t xml:space="preserve"> </w:t>
      </w:r>
      <w:r>
        <w:rPr>
          <w:lang w:val="en-US"/>
        </w:rPr>
        <w:t xml:space="preserve">(2017) </w:t>
      </w:r>
      <w:r w:rsidR="0000350B" w:rsidRPr="0000350B">
        <w:rPr>
          <w:lang w:val="en-US"/>
        </w:rPr>
        <w:t>emphas</w:t>
      </w:r>
      <w:r>
        <w:rPr>
          <w:lang w:val="en-US"/>
        </w:rPr>
        <w:t>is on</w:t>
      </w:r>
      <w:r w:rsidR="0000350B" w:rsidRPr="0000350B">
        <w:rPr>
          <w:lang w:val="en-US"/>
        </w:rPr>
        <w:t xml:space="preserve"> the importance of evaluating tasks in relation to domain-specific versus domain-transcendent objectives. </w:t>
      </w:r>
      <w:r>
        <w:rPr>
          <w:lang w:val="en-US"/>
        </w:rPr>
        <w:t xml:space="preserve">In this terminology, </w:t>
      </w:r>
      <w:r w:rsidR="0000350B" w:rsidRPr="0000350B">
        <w:rPr>
          <w:lang w:val="en-US"/>
        </w:rPr>
        <w:t>the task depicted in Figure 1 addresses both domain-specific goals</w:t>
      </w:r>
      <w:r w:rsidR="00BB4CC5">
        <w:rPr>
          <w:lang w:val="en-US"/>
        </w:rPr>
        <w:t xml:space="preserve">, such as </w:t>
      </w:r>
      <w:r w:rsidR="0000350B" w:rsidRPr="0000350B">
        <w:rPr>
          <w:lang w:val="en-US"/>
        </w:rPr>
        <w:t xml:space="preserve">facilitating a more profound grasp of concepts that might otherwise easily </w:t>
      </w:r>
      <w:r w:rsidR="004C770B">
        <w:rPr>
          <w:lang w:val="en-US"/>
        </w:rPr>
        <w:t xml:space="preserve">be </w:t>
      </w:r>
      <w:r w:rsidR="0000350B" w:rsidRPr="0000350B">
        <w:rPr>
          <w:lang w:val="en-US"/>
        </w:rPr>
        <w:t>forgotten</w:t>
      </w:r>
      <w:r w:rsidR="00BB4CC5">
        <w:rPr>
          <w:lang w:val="en-US"/>
        </w:rPr>
        <w:t xml:space="preserve">, </w:t>
      </w:r>
      <w:r w:rsidR="0000350B" w:rsidRPr="0000350B">
        <w:rPr>
          <w:lang w:val="en-US"/>
        </w:rPr>
        <w:t>and domain-transcendent goals, such as the</w:t>
      </w:r>
      <w:r w:rsidR="00BB4CC5">
        <w:rPr>
          <w:lang w:val="en-US"/>
        </w:rPr>
        <w:t xml:space="preserve"> </w:t>
      </w:r>
      <w:r w:rsidR="0000350B" w:rsidRPr="0000350B">
        <w:rPr>
          <w:lang w:val="en-US"/>
        </w:rPr>
        <w:t xml:space="preserve">cultivation of precise communication and reasoning </w:t>
      </w:r>
      <w:r w:rsidR="00BB4CC5">
        <w:rPr>
          <w:lang w:val="en-US"/>
        </w:rPr>
        <w:t>skills</w:t>
      </w:r>
      <w:r w:rsidR="0000350B" w:rsidRPr="0000350B">
        <w:rPr>
          <w:lang w:val="en-US"/>
        </w:rPr>
        <w:t xml:space="preserve">. The frameworks discussed in this article appear not to account for these extended </w:t>
      </w:r>
      <w:r w:rsidR="007E5951">
        <w:rPr>
          <w:lang w:val="en-US"/>
        </w:rPr>
        <w:t>objectives</w:t>
      </w:r>
      <w:r w:rsidR="0000350B" w:rsidRPr="0000350B">
        <w:rPr>
          <w:lang w:val="en-US"/>
        </w:rPr>
        <w:t>, nor do they address how a task can be used to serve both purposes.</w:t>
      </w:r>
    </w:p>
    <w:p w14:paraId="6A63BE99" w14:textId="7F3921F4" w:rsidR="00F63E77" w:rsidRDefault="0000350B" w:rsidP="00F63E77">
      <w:pPr>
        <w:rPr>
          <w:lang w:val="en-US"/>
        </w:rPr>
      </w:pPr>
      <w:r w:rsidRPr="0000350B">
        <w:rPr>
          <w:lang w:val="en-US"/>
        </w:rPr>
        <w:t>Ultimately, the frameworks were applied to the teacher's account of the task's implementation</w:t>
      </w:r>
      <w:r w:rsidR="00BB4CC5">
        <w:rPr>
          <w:lang w:val="en-US"/>
        </w:rPr>
        <w:t xml:space="preserve"> rather than the implementation itself, live in the classroom</w:t>
      </w:r>
      <w:r w:rsidRPr="0000350B">
        <w:rPr>
          <w:lang w:val="en-US"/>
        </w:rPr>
        <w:t>. It is conceivable that using filmed observations during implementation could have unveiled additional pertinent factors that the frameworks may have addressed to varying degrees. Subsequent research should incorporate direct observations of both the teacher's implementation and the students' execution of the task.</w:t>
      </w:r>
    </w:p>
    <w:p w14:paraId="38FF4313" w14:textId="13F7F0BC" w:rsidR="00F63E77" w:rsidRPr="00F63E77" w:rsidRDefault="00F63E77" w:rsidP="00F63E77">
      <w:pPr>
        <w:pStyle w:val="Rubrik3"/>
      </w:pPr>
      <w:r w:rsidRPr="00F63E77">
        <w:t>Conclusion</w:t>
      </w:r>
    </w:p>
    <w:p w14:paraId="64A8CF2A" w14:textId="7F84FEF7" w:rsidR="00B2339B" w:rsidRPr="006C3716" w:rsidRDefault="0000350B" w:rsidP="00F63E77">
      <w:pPr>
        <w:pStyle w:val="Brdtext"/>
        <w:rPr>
          <w:lang w:val="en-US"/>
        </w:rPr>
      </w:pPr>
      <w:r w:rsidRPr="0000350B">
        <w:rPr>
          <w:lang w:val="en-US"/>
        </w:rPr>
        <w:t xml:space="preserve">In this case study, </w:t>
      </w:r>
      <w:r w:rsidR="007475D7">
        <w:rPr>
          <w:lang w:val="en-US"/>
        </w:rPr>
        <w:t xml:space="preserve">we are grateful to </w:t>
      </w:r>
      <w:r w:rsidR="007475D7" w:rsidRPr="0000350B">
        <w:rPr>
          <w:lang w:val="en-US"/>
        </w:rPr>
        <w:t>a teacher</w:t>
      </w:r>
      <w:r w:rsidR="007475D7">
        <w:rPr>
          <w:lang w:val="en-US"/>
        </w:rPr>
        <w:t xml:space="preserve"> who generously allowed us insight into her</w:t>
      </w:r>
      <w:r w:rsidR="007475D7" w:rsidRPr="0000350B">
        <w:rPr>
          <w:lang w:val="en-US"/>
        </w:rPr>
        <w:t xml:space="preserve"> use of a challenging task</w:t>
      </w:r>
      <w:r w:rsidR="007475D7">
        <w:rPr>
          <w:lang w:val="en-US"/>
        </w:rPr>
        <w:t>, the implementation of which turned out to be</w:t>
      </w:r>
      <w:r w:rsidR="007475D7" w:rsidRPr="0000350B">
        <w:rPr>
          <w:lang w:val="en-US"/>
        </w:rPr>
        <w:t xml:space="preserve"> more complex than three common frameworks </w:t>
      </w:r>
      <w:r w:rsidR="00634626" w:rsidRPr="0000350B">
        <w:rPr>
          <w:lang w:val="en-US"/>
        </w:rPr>
        <w:t>c</w:t>
      </w:r>
      <w:r w:rsidR="00634626">
        <w:rPr>
          <w:lang w:val="en-US"/>
        </w:rPr>
        <w:t>ould</w:t>
      </w:r>
      <w:r w:rsidR="00634626" w:rsidRPr="0000350B">
        <w:rPr>
          <w:lang w:val="en-US"/>
        </w:rPr>
        <w:t xml:space="preserve"> </w:t>
      </w:r>
      <w:r w:rsidR="007475D7" w:rsidRPr="0000350B">
        <w:rPr>
          <w:lang w:val="en-US"/>
        </w:rPr>
        <w:t xml:space="preserve">fully capture. </w:t>
      </w:r>
      <w:r w:rsidRPr="0000350B">
        <w:rPr>
          <w:lang w:val="en-US"/>
        </w:rPr>
        <w:t xml:space="preserve"> The teacher employs the task for multiple purposes: to improve understanding of the curriculum, help students </w:t>
      </w:r>
      <w:r w:rsidR="0037552B">
        <w:rPr>
          <w:lang w:val="en-US"/>
        </w:rPr>
        <w:t xml:space="preserve">gradually </w:t>
      </w:r>
      <w:r w:rsidRPr="0000350B">
        <w:rPr>
          <w:lang w:val="en-US"/>
        </w:rPr>
        <w:t xml:space="preserve">develop </w:t>
      </w:r>
      <w:r w:rsidR="0037552B">
        <w:rPr>
          <w:lang w:val="en-US"/>
        </w:rPr>
        <w:t xml:space="preserve">complex </w:t>
      </w:r>
      <w:r w:rsidRPr="0000350B">
        <w:rPr>
          <w:lang w:val="en-US"/>
        </w:rPr>
        <w:t>skills, and</w:t>
      </w:r>
      <w:r w:rsidR="00BB4CC5">
        <w:rPr>
          <w:lang w:val="en-US"/>
        </w:rPr>
        <w:t xml:space="preserve"> to</w:t>
      </w:r>
      <w:r w:rsidRPr="0000350B">
        <w:rPr>
          <w:lang w:val="en-US"/>
        </w:rPr>
        <w:t xml:space="preserve"> meet assessment requirements. She strategically places the task within a series of similar activities spanning many weeks, choosing the right moment based on student needs and preferences. This study underscores the need for research frameworks to evolve and encompass a broader range of aspects that are pertinent to teachers. Developing such comprehensive frameworks not only benefits our understanding of teaching practices, but also has the potential to enhance our ability to assess the practicality and effectiveness of tasks within design research and implementation studies. </w:t>
      </w:r>
    </w:p>
    <w:p w14:paraId="5E98F8FB" w14:textId="1337F46E" w:rsidR="0000350B" w:rsidRPr="0000350B" w:rsidRDefault="0000350B" w:rsidP="00492BE9">
      <w:pPr>
        <w:pStyle w:val="Rubrik3"/>
        <w:rPr>
          <w:lang w:val="en-US"/>
        </w:rPr>
      </w:pPr>
      <w:r w:rsidRPr="0000350B">
        <w:rPr>
          <w:lang w:val="en-US"/>
        </w:rPr>
        <w:t>References </w:t>
      </w:r>
    </w:p>
    <w:p w14:paraId="2D948FB3" w14:textId="3F2D40D1" w:rsidR="0000350B" w:rsidRPr="001F1F9F" w:rsidRDefault="0000350B" w:rsidP="00492BE9">
      <w:pPr>
        <w:pStyle w:val="References"/>
        <w:rPr>
          <w:szCs w:val="24"/>
          <w:lang w:val="en-US"/>
        </w:rPr>
      </w:pPr>
      <w:r w:rsidRPr="003315A7">
        <w:rPr>
          <w:szCs w:val="24"/>
          <w:lang w:val="en-US"/>
        </w:rPr>
        <w:t xml:space="preserve">Boston, M. D., &amp; Smith, M. S. (2011). </w:t>
      </w:r>
      <w:r w:rsidRPr="001F1F9F">
        <w:rPr>
          <w:szCs w:val="24"/>
          <w:lang w:val="en-US"/>
        </w:rPr>
        <w:t>A ‘task-centric approach’</w:t>
      </w:r>
      <w:r w:rsidR="00203853" w:rsidRPr="001F1F9F">
        <w:rPr>
          <w:szCs w:val="24"/>
          <w:lang w:val="en-US"/>
        </w:rPr>
        <w:t xml:space="preserve"> </w:t>
      </w:r>
      <w:r w:rsidRPr="001F1F9F">
        <w:rPr>
          <w:szCs w:val="24"/>
          <w:lang w:val="en-US"/>
        </w:rPr>
        <w:t xml:space="preserve">to professional development: Enhancing and sustaining mathematics teachers’ ability to implement cognitively challenging mathematical tasks. </w:t>
      </w:r>
      <w:r w:rsidRPr="001F1F9F">
        <w:rPr>
          <w:i/>
          <w:iCs/>
          <w:szCs w:val="24"/>
          <w:lang w:val="en-US"/>
        </w:rPr>
        <w:t>ZDM</w:t>
      </w:r>
      <w:r w:rsidR="00203853" w:rsidRPr="001F1F9F">
        <w:rPr>
          <w:i/>
          <w:iCs/>
          <w:szCs w:val="24"/>
          <w:lang w:val="en-US"/>
        </w:rPr>
        <w:t xml:space="preserve"> Mathematics Education</w:t>
      </w:r>
      <w:r w:rsidRPr="001F1F9F">
        <w:rPr>
          <w:szCs w:val="24"/>
          <w:lang w:val="en-US"/>
        </w:rPr>
        <w:t xml:space="preserve">, </w:t>
      </w:r>
      <w:r w:rsidRPr="001F1F9F">
        <w:rPr>
          <w:i/>
          <w:iCs/>
          <w:szCs w:val="24"/>
          <w:lang w:val="en-US"/>
        </w:rPr>
        <w:t>43</w:t>
      </w:r>
      <w:r w:rsidRPr="001F1F9F">
        <w:rPr>
          <w:szCs w:val="24"/>
          <w:lang w:val="en-US"/>
        </w:rPr>
        <w:t>, 965–977.</w:t>
      </w:r>
      <w:r w:rsidR="00203853" w:rsidRPr="001F1F9F">
        <w:rPr>
          <w:szCs w:val="24"/>
          <w:lang w:val="en-US"/>
        </w:rPr>
        <w:t xml:space="preserve"> </w:t>
      </w:r>
      <w:r w:rsidR="00203853" w:rsidRPr="00716777">
        <w:rPr>
          <w:rStyle w:val="Hyperlnk"/>
        </w:rPr>
        <w:t>https://doi.org/10.1007/s11858-011-0353-2</w:t>
      </w:r>
    </w:p>
    <w:p w14:paraId="375989B0" w14:textId="019FF472" w:rsidR="0000350B" w:rsidRPr="001F1F9F" w:rsidRDefault="0000350B" w:rsidP="00492BE9">
      <w:pPr>
        <w:pStyle w:val="References"/>
        <w:rPr>
          <w:szCs w:val="24"/>
          <w:lang w:val="en-US"/>
        </w:rPr>
      </w:pPr>
      <w:r w:rsidRPr="001F1F9F">
        <w:rPr>
          <w:szCs w:val="24"/>
          <w:lang w:val="en-US"/>
        </w:rPr>
        <w:t xml:space="preserve">Braun, V., &amp; Clarke, V. (2006). Using thematic analysis in psychology. </w:t>
      </w:r>
      <w:r w:rsidRPr="001F1F9F">
        <w:rPr>
          <w:i/>
          <w:iCs/>
          <w:szCs w:val="24"/>
          <w:lang w:val="en-US"/>
        </w:rPr>
        <w:t>Qualitative Research in Psychology</w:t>
      </w:r>
      <w:r w:rsidRPr="001F1F9F">
        <w:rPr>
          <w:szCs w:val="24"/>
          <w:lang w:val="en-US"/>
        </w:rPr>
        <w:t xml:space="preserve">, </w:t>
      </w:r>
      <w:r w:rsidRPr="001F1F9F">
        <w:rPr>
          <w:i/>
          <w:iCs/>
          <w:szCs w:val="24"/>
          <w:lang w:val="en-US"/>
        </w:rPr>
        <w:t>3</w:t>
      </w:r>
      <w:r w:rsidRPr="001F1F9F">
        <w:rPr>
          <w:szCs w:val="24"/>
          <w:lang w:val="en-US"/>
        </w:rPr>
        <w:t>(2), 77–101.</w:t>
      </w:r>
      <w:r w:rsidR="00E75DA9" w:rsidRPr="001F1F9F">
        <w:rPr>
          <w:szCs w:val="24"/>
          <w:lang w:val="en-US"/>
        </w:rPr>
        <w:t xml:space="preserve"> </w:t>
      </w:r>
      <w:r w:rsidR="00E75DA9" w:rsidRPr="00716777">
        <w:rPr>
          <w:rStyle w:val="Hyperlnk"/>
        </w:rPr>
        <w:t>https://doi.org/10.1191/1478088706qp063oa</w:t>
      </w:r>
    </w:p>
    <w:p w14:paraId="2CCB1D18" w14:textId="41C289A1" w:rsidR="00B9088A" w:rsidRPr="001F1F9F" w:rsidRDefault="0000350B" w:rsidP="00E34FDA">
      <w:pPr>
        <w:pStyle w:val="References"/>
        <w:rPr>
          <w:szCs w:val="24"/>
          <w:lang w:val="en-US"/>
        </w:rPr>
      </w:pPr>
      <w:r w:rsidRPr="001F1F9F">
        <w:rPr>
          <w:szCs w:val="24"/>
          <w:lang w:val="en-US"/>
        </w:rPr>
        <w:t xml:space="preserve">Century, J., &amp; Cassata, A. (2016). Implementation Research: Finding Common Ground on What, How, Why, Where, and Who. </w:t>
      </w:r>
      <w:r w:rsidRPr="001F1F9F">
        <w:rPr>
          <w:i/>
          <w:iCs/>
          <w:szCs w:val="24"/>
          <w:lang w:val="en-US"/>
        </w:rPr>
        <w:t>Review of Research in Education</w:t>
      </w:r>
      <w:r w:rsidRPr="001F1F9F">
        <w:rPr>
          <w:szCs w:val="24"/>
          <w:lang w:val="en-US"/>
        </w:rPr>
        <w:t xml:space="preserve">, </w:t>
      </w:r>
      <w:r w:rsidRPr="001F1F9F">
        <w:rPr>
          <w:i/>
          <w:iCs/>
          <w:szCs w:val="24"/>
          <w:lang w:val="en-US"/>
        </w:rPr>
        <w:t>40</w:t>
      </w:r>
      <w:r w:rsidRPr="001F1F9F">
        <w:rPr>
          <w:szCs w:val="24"/>
          <w:lang w:val="en-US"/>
        </w:rPr>
        <w:t>(1), 169–215</w:t>
      </w:r>
      <w:r w:rsidR="00E34FDA">
        <w:rPr>
          <w:szCs w:val="24"/>
          <w:lang w:val="en-US"/>
        </w:rPr>
        <w:t xml:space="preserve">. </w:t>
      </w:r>
      <w:hyperlink r:id="rId9" w:history="1">
        <w:r w:rsidR="00E34FDA" w:rsidRPr="00716777">
          <w:rPr>
            <w:rStyle w:val="Hyperlnk"/>
            <w:szCs w:val="24"/>
            <w:lang w:val="en-US"/>
          </w:rPr>
          <w:t>https://doi.org/ggf5sv</w:t>
        </w:r>
      </w:hyperlink>
      <w:r w:rsidR="00E34FDA">
        <w:rPr>
          <w:szCs w:val="24"/>
          <w:lang w:val="en-US"/>
        </w:rPr>
        <w:t xml:space="preserve"> </w:t>
      </w:r>
      <w:r w:rsidRPr="001F1F9F">
        <w:rPr>
          <w:szCs w:val="24"/>
          <w:lang w:val="en-US"/>
        </w:rPr>
        <w:t xml:space="preserve"> </w:t>
      </w:r>
    </w:p>
    <w:p w14:paraId="1171888C" w14:textId="330853BE" w:rsidR="0000350B" w:rsidRDefault="0000350B" w:rsidP="00492BE9">
      <w:pPr>
        <w:pStyle w:val="References"/>
        <w:rPr>
          <w:szCs w:val="24"/>
          <w:lang w:val="en-US"/>
        </w:rPr>
      </w:pPr>
      <w:r w:rsidRPr="001F1F9F">
        <w:rPr>
          <w:szCs w:val="24"/>
          <w:lang w:val="en-US"/>
        </w:rPr>
        <w:t xml:space="preserve">Eraut, M. (1994). </w:t>
      </w:r>
      <w:r w:rsidRPr="001F1F9F">
        <w:rPr>
          <w:i/>
          <w:iCs/>
          <w:szCs w:val="24"/>
          <w:lang w:val="en-US"/>
        </w:rPr>
        <w:t>Developing professional knowledge and competence</w:t>
      </w:r>
      <w:r w:rsidRPr="001F1F9F">
        <w:rPr>
          <w:szCs w:val="24"/>
          <w:lang w:val="en-US"/>
        </w:rPr>
        <w:t>. Psychology Press.</w:t>
      </w:r>
      <w:r w:rsidR="00E75DA9" w:rsidRPr="001F1F9F">
        <w:rPr>
          <w:szCs w:val="24"/>
          <w:lang w:val="en-US"/>
        </w:rPr>
        <w:t xml:space="preserve"> </w:t>
      </w:r>
      <w:hyperlink r:id="rId10" w:history="1">
        <w:r w:rsidR="00BB0AD1" w:rsidRPr="00FA2E56">
          <w:rPr>
            <w:rStyle w:val="Hyperlnk"/>
            <w:szCs w:val="24"/>
            <w:lang w:val="en-US"/>
          </w:rPr>
          <w:t>https://doi.org/10.4324/9780203486016</w:t>
        </w:r>
      </w:hyperlink>
    </w:p>
    <w:p w14:paraId="2BAE2F49" w14:textId="012A565A" w:rsidR="00BB0AD1" w:rsidRPr="001F1F9F" w:rsidRDefault="00BB0AD1" w:rsidP="0002588A">
      <w:pPr>
        <w:pStyle w:val="References"/>
        <w:rPr>
          <w:szCs w:val="24"/>
          <w:lang w:val="en-US"/>
        </w:rPr>
      </w:pPr>
      <w:r w:rsidRPr="0002588A">
        <w:rPr>
          <w:lang w:val="en-US"/>
        </w:rPr>
        <w:lastRenderedPageBreak/>
        <w:t xml:space="preserve">Henningsen, M., &amp; Stein, M. K. (1997). </w:t>
      </w:r>
      <w:r w:rsidRPr="00BB0AD1">
        <w:t xml:space="preserve">Mathematical Tasks and Student Cognition: Classroom-Based Factors That Support and Inhibit High-Level Mathematical Thinking and Reasoning. </w:t>
      </w:r>
      <w:r w:rsidRPr="00BB0AD1">
        <w:rPr>
          <w:i/>
          <w:iCs/>
        </w:rPr>
        <w:t>Journal for Research in Mathematics Education</w:t>
      </w:r>
      <w:r w:rsidRPr="00BB0AD1">
        <w:t xml:space="preserve">, </w:t>
      </w:r>
      <w:r w:rsidRPr="00BB0AD1">
        <w:rPr>
          <w:i/>
          <w:iCs/>
        </w:rPr>
        <w:t>28</w:t>
      </w:r>
      <w:r w:rsidRPr="00BB0AD1">
        <w:t>(5), 524–549.</w:t>
      </w:r>
      <w:r w:rsidR="00E34FDA">
        <w:t xml:space="preserve"> </w:t>
      </w:r>
      <w:hyperlink r:id="rId11" w:tgtFrame="_blank" w:history="1">
        <w:r w:rsidR="00E34FDA" w:rsidRPr="00E34FDA">
          <w:rPr>
            <w:rStyle w:val="Hyperlnk"/>
          </w:rPr>
          <w:t>https://doi.org/bh4q7f</w:t>
        </w:r>
      </w:hyperlink>
      <w:r w:rsidR="00E34FDA" w:rsidRPr="00E34FDA">
        <w:t xml:space="preserve"> </w:t>
      </w:r>
    </w:p>
    <w:p w14:paraId="53C4E66E" w14:textId="131D08B8" w:rsidR="00B9088A" w:rsidRPr="001F1F9F" w:rsidRDefault="0000350B" w:rsidP="00E34FDA">
      <w:pPr>
        <w:pStyle w:val="References"/>
        <w:rPr>
          <w:szCs w:val="24"/>
          <w:lang w:val="en-US"/>
        </w:rPr>
      </w:pPr>
      <w:r w:rsidRPr="001F1F9F">
        <w:rPr>
          <w:szCs w:val="24"/>
          <w:lang w:val="en-US"/>
        </w:rPr>
        <w:t xml:space="preserve">Krainer, K. (1993). Powerful tasks: A contribution to a high level of acting and reflecting in mathematics instruction. </w:t>
      </w:r>
      <w:r w:rsidRPr="001F1F9F">
        <w:rPr>
          <w:i/>
          <w:iCs/>
          <w:szCs w:val="24"/>
          <w:lang w:val="en-US"/>
        </w:rPr>
        <w:t>Educational Studies in Mathematics</w:t>
      </w:r>
      <w:r w:rsidRPr="001F1F9F">
        <w:rPr>
          <w:szCs w:val="24"/>
          <w:lang w:val="en-US"/>
        </w:rPr>
        <w:t xml:space="preserve">, </w:t>
      </w:r>
      <w:r w:rsidRPr="001F1F9F">
        <w:rPr>
          <w:i/>
          <w:iCs/>
          <w:szCs w:val="24"/>
          <w:lang w:val="en-US"/>
        </w:rPr>
        <w:t>24</w:t>
      </w:r>
      <w:r w:rsidRPr="001F1F9F">
        <w:rPr>
          <w:szCs w:val="24"/>
          <w:lang w:val="en-US"/>
        </w:rPr>
        <w:t>(1), 65–93</w:t>
      </w:r>
      <w:r w:rsidR="00E34FDA">
        <w:rPr>
          <w:szCs w:val="24"/>
          <w:lang w:val="en-US"/>
        </w:rPr>
        <w:t>.</w:t>
      </w:r>
      <w:r w:rsidR="0088619D">
        <w:rPr>
          <w:szCs w:val="24"/>
          <w:lang w:val="en-US"/>
        </w:rPr>
        <w:t xml:space="preserve"> </w:t>
      </w:r>
      <w:hyperlink r:id="rId12" w:history="1">
        <w:r w:rsidR="0088619D" w:rsidRPr="006B40CB">
          <w:rPr>
            <w:rStyle w:val="Hyperlnk"/>
            <w:szCs w:val="24"/>
          </w:rPr>
          <w:t>https://doi.org/djkhfw</w:t>
        </w:r>
      </w:hyperlink>
      <w:r w:rsidR="00E34FDA">
        <w:rPr>
          <w:szCs w:val="24"/>
          <w:lang w:val="en-US"/>
        </w:rPr>
        <w:t xml:space="preserve"> </w:t>
      </w:r>
      <w:r w:rsidR="00A04D93">
        <w:rPr>
          <w:szCs w:val="24"/>
          <w:lang w:val="en-US"/>
        </w:rPr>
        <w:t xml:space="preserve"> </w:t>
      </w:r>
    </w:p>
    <w:p w14:paraId="4BCC3E26" w14:textId="73421111" w:rsidR="0002050F" w:rsidRPr="001F1F9F" w:rsidRDefault="0000350B" w:rsidP="00492BE9">
      <w:pPr>
        <w:pStyle w:val="References"/>
        <w:rPr>
          <w:szCs w:val="24"/>
          <w:lang w:val="en-US"/>
        </w:rPr>
      </w:pPr>
      <w:r w:rsidRPr="001F1F9F">
        <w:rPr>
          <w:szCs w:val="24"/>
          <w:lang w:val="en-US"/>
        </w:rPr>
        <w:t xml:space="preserve">Kunter, M., &amp; Voss, T. (2013). The model of instructional quality in COACTIV: A multicriteria analysis. In M. Kunter, J. Baumert, W. Blum, U. Klusmann, S. Krauss, &amp; M. Neubrand (Eds.), </w:t>
      </w:r>
      <w:r w:rsidRPr="001F1F9F">
        <w:rPr>
          <w:i/>
          <w:iCs/>
          <w:szCs w:val="24"/>
          <w:lang w:val="en-US"/>
        </w:rPr>
        <w:t>Cognitive activation in the mathematics classroom and professional competence of teachers: Results from the COACTIV project</w:t>
      </w:r>
      <w:r w:rsidRPr="001F1F9F">
        <w:rPr>
          <w:szCs w:val="24"/>
          <w:lang w:val="en-US"/>
        </w:rPr>
        <w:t xml:space="preserve"> (pp. 97–124). Springer.</w:t>
      </w:r>
    </w:p>
    <w:p w14:paraId="5F132E24" w14:textId="1102CE05" w:rsidR="00BB0AD1" w:rsidRDefault="0000350B" w:rsidP="00E75DA9">
      <w:pPr>
        <w:pStyle w:val="References"/>
      </w:pPr>
      <w:r w:rsidRPr="001F1F9F">
        <w:rPr>
          <w:szCs w:val="24"/>
          <w:lang w:val="en-US"/>
        </w:rPr>
        <w:t xml:space="preserve">Lithner, J. (2008). A research framework for creative and imitative reasoning. </w:t>
      </w:r>
      <w:r w:rsidRPr="001F1F9F">
        <w:rPr>
          <w:i/>
          <w:iCs/>
          <w:szCs w:val="24"/>
          <w:lang w:val="en-US"/>
        </w:rPr>
        <w:t>Educational Studies in Mathematics</w:t>
      </w:r>
      <w:r w:rsidRPr="001F1F9F">
        <w:rPr>
          <w:szCs w:val="24"/>
          <w:lang w:val="en-US"/>
        </w:rPr>
        <w:t xml:space="preserve">, </w:t>
      </w:r>
      <w:r w:rsidRPr="001F1F9F">
        <w:rPr>
          <w:i/>
          <w:iCs/>
          <w:szCs w:val="24"/>
          <w:lang w:val="en-US"/>
        </w:rPr>
        <w:t>67</w:t>
      </w:r>
      <w:r w:rsidRPr="001F1F9F">
        <w:rPr>
          <w:szCs w:val="24"/>
          <w:lang w:val="en-US"/>
        </w:rPr>
        <w:t>, 255–276</w:t>
      </w:r>
      <w:r w:rsidR="00E34FDA">
        <w:rPr>
          <w:szCs w:val="24"/>
          <w:lang w:val="en-US"/>
        </w:rPr>
        <w:t xml:space="preserve">. </w:t>
      </w:r>
      <w:hyperlink r:id="rId13" w:history="1">
        <w:r w:rsidR="00E34FDA" w:rsidRPr="00E34FDA">
          <w:rPr>
            <w:rStyle w:val="Hyperlnk"/>
            <w:szCs w:val="24"/>
          </w:rPr>
          <w:t>https://doi.org/cvrffd</w:t>
        </w:r>
      </w:hyperlink>
      <w:r w:rsidR="00E34FDA" w:rsidRPr="001F1F9F" w:rsidDel="00E34FDA">
        <w:rPr>
          <w:szCs w:val="24"/>
          <w:lang w:val="en-US"/>
        </w:rPr>
        <w:t xml:space="preserve"> </w:t>
      </w:r>
    </w:p>
    <w:p w14:paraId="62273620" w14:textId="39D0DB27" w:rsidR="0000350B" w:rsidRPr="0002588A" w:rsidRDefault="0000350B" w:rsidP="00E75DA9">
      <w:pPr>
        <w:pStyle w:val="References"/>
        <w:rPr>
          <w:szCs w:val="24"/>
          <w:lang w:val="en-US"/>
        </w:rPr>
      </w:pPr>
      <w:r w:rsidRPr="001F1F9F">
        <w:rPr>
          <w:szCs w:val="24"/>
          <w:lang w:val="en-US"/>
        </w:rPr>
        <w:t xml:space="preserve">Lithner, J. (2017). Principles for designing mathematical tasks that enhance imitative and creative reasoning. </w:t>
      </w:r>
      <w:r w:rsidRPr="001F1F9F">
        <w:rPr>
          <w:i/>
          <w:iCs/>
          <w:szCs w:val="24"/>
          <w:lang w:val="en-US"/>
        </w:rPr>
        <w:t>ZDM Mathematics Education</w:t>
      </w:r>
      <w:r w:rsidRPr="001F1F9F">
        <w:rPr>
          <w:szCs w:val="24"/>
          <w:lang w:val="en-US"/>
        </w:rPr>
        <w:t xml:space="preserve">, </w:t>
      </w:r>
      <w:r w:rsidRPr="001F1F9F">
        <w:rPr>
          <w:i/>
          <w:iCs/>
          <w:szCs w:val="24"/>
          <w:lang w:val="en-US"/>
        </w:rPr>
        <w:t>49</w:t>
      </w:r>
      <w:r w:rsidRPr="001F1F9F">
        <w:rPr>
          <w:szCs w:val="24"/>
          <w:lang w:val="en-US"/>
        </w:rPr>
        <w:t>(6), 937–949</w:t>
      </w:r>
      <w:r w:rsidR="00E34FDA" w:rsidRPr="00E34FDA">
        <w:rPr>
          <w:szCs w:val="24"/>
          <w:lang w:val="en-US"/>
        </w:rPr>
        <w:t xml:space="preserve">. </w:t>
      </w:r>
      <w:hyperlink r:id="rId14" w:history="1">
        <w:r w:rsidR="00E34FDA" w:rsidRPr="00E34FDA">
          <w:rPr>
            <w:rStyle w:val="Hyperlnk"/>
            <w:szCs w:val="24"/>
            <w:lang w:val="en-US"/>
          </w:rPr>
          <w:t>https://doi.org/f97rrp</w:t>
        </w:r>
      </w:hyperlink>
      <w:r w:rsidR="00E34FDA" w:rsidRPr="001F1F9F" w:rsidDel="00E34FDA">
        <w:rPr>
          <w:szCs w:val="24"/>
          <w:lang w:val="en-US"/>
        </w:rPr>
        <w:t xml:space="preserve"> </w:t>
      </w:r>
    </w:p>
    <w:p w14:paraId="5EBB063C" w14:textId="3C4B41F3" w:rsidR="0000350B" w:rsidRPr="001F1F9F" w:rsidRDefault="0000350B" w:rsidP="00492BE9">
      <w:pPr>
        <w:pStyle w:val="References"/>
        <w:rPr>
          <w:szCs w:val="24"/>
          <w:lang w:val="en-US"/>
        </w:rPr>
      </w:pPr>
      <w:r w:rsidRPr="0002588A">
        <w:rPr>
          <w:szCs w:val="24"/>
          <w:lang w:val="en-US"/>
        </w:rPr>
        <w:t xml:space="preserve">Neubrand, M., Jordan, A., Krauss, S., Blum, W., &amp; Löwen, K. (2013). </w:t>
      </w:r>
      <w:r w:rsidRPr="001F1F9F">
        <w:rPr>
          <w:szCs w:val="24"/>
          <w:lang w:val="en-US"/>
        </w:rPr>
        <w:t xml:space="preserve">Task analysis in COACTIV: Examining the potential for cognitive activation in German mathematics classrooms. </w:t>
      </w:r>
      <w:r w:rsidRPr="001F1F9F">
        <w:rPr>
          <w:i/>
          <w:iCs/>
          <w:szCs w:val="24"/>
          <w:lang w:val="en-US"/>
        </w:rPr>
        <w:t>Cognitive Activation in the Mathematics Classroom and Professional Competence of Teachers: Results from the COACTIV Project</w:t>
      </w:r>
      <w:r w:rsidRPr="001F1F9F">
        <w:rPr>
          <w:szCs w:val="24"/>
          <w:lang w:val="en-US"/>
        </w:rPr>
        <w:t>, 125–144.</w:t>
      </w:r>
    </w:p>
    <w:p w14:paraId="312315E8" w14:textId="2044FB1F" w:rsidR="00B9088A" w:rsidRDefault="0000350B" w:rsidP="00D153ED">
      <w:pPr>
        <w:pStyle w:val="References"/>
      </w:pPr>
      <w:r w:rsidRPr="001F1F9F">
        <w:rPr>
          <w:szCs w:val="24"/>
          <w:lang w:val="sv-SE"/>
        </w:rPr>
        <w:t xml:space="preserve">Stein, M. K., Grover, B. W., &amp; Henningsen, M. (1996). </w:t>
      </w:r>
      <w:r w:rsidRPr="001F1F9F">
        <w:rPr>
          <w:szCs w:val="24"/>
          <w:lang w:val="en-US"/>
        </w:rPr>
        <w:t>Building Student Capacity for Mathematical Thinking and Reasoning: An</w:t>
      </w:r>
      <w:r w:rsidR="001F1F9F" w:rsidRPr="001F1F9F">
        <w:rPr>
          <w:szCs w:val="24"/>
          <w:lang w:val="en-US"/>
        </w:rPr>
        <w:t xml:space="preserve"> </w:t>
      </w:r>
      <w:r w:rsidRPr="001F1F9F">
        <w:rPr>
          <w:szCs w:val="24"/>
          <w:lang w:val="en-US"/>
        </w:rPr>
        <w:t xml:space="preserve">Analysis of Mathematical Tasks Used in Reform Classrooms. </w:t>
      </w:r>
      <w:r w:rsidRPr="001F1F9F">
        <w:rPr>
          <w:i/>
          <w:iCs/>
          <w:szCs w:val="24"/>
          <w:lang w:val="en-US"/>
        </w:rPr>
        <w:t>American Educational Research Journal</w:t>
      </w:r>
      <w:r w:rsidRPr="001F1F9F">
        <w:rPr>
          <w:szCs w:val="24"/>
          <w:lang w:val="en-US"/>
        </w:rPr>
        <w:t xml:space="preserve">, </w:t>
      </w:r>
      <w:r w:rsidRPr="001F1F9F">
        <w:rPr>
          <w:i/>
          <w:iCs/>
          <w:szCs w:val="24"/>
          <w:lang w:val="en-US"/>
        </w:rPr>
        <w:t>33</w:t>
      </w:r>
      <w:r w:rsidRPr="001F1F9F">
        <w:rPr>
          <w:szCs w:val="24"/>
          <w:lang w:val="en-US"/>
        </w:rPr>
        <w:t>(2), 455–488</w:t>
      </w:r>
      <w:r w:rsidR="00E34FDA">
        <w:rPr>
          <w:szCs w:val="24"/>
          <w:lang w:val="en-US"/>
        </w:rPr>
        <w:t xml:space="preserve">. </w:t>
      </w:r>
      <w:hyperlink r:id="rId15" w:history="1">
        <w:r w:rsidR="00E34FDA" w:rsidRPr="00E34FDA">
          <w:rPr>
            <w:rStyle w:val="Hyperlnk"/>
            <w:szCs w:val="24"/>
          </w:rPr>
          <w:t>https://doi.org/fmrhsx</w:t>
        </w:r>
      </w:hyperlink>
      <w:r w:rsidR="00A04D93">
        <w:rPr>
          <w:szCs w:val="24"/>
          <w:lang w:val="en-US"/>
        </w:rPr>
        <w:t xml:space="preserve"> </w:t>
      </w:r>
    </w:p>
    <w:p w14:paraId="51C27CA1" w14:textId="4C0C0B74" w:rsidR="00B9088A" w:rsidRPr="00315135" w:rsidRDefault="00B9088A" w:rsidP="00B9088A">
      <w:pPr>
        <w:pStyle w:val="References"/>
        <w:rPr>
          <w:rStyle w:val="Hyperlnk"/>
          <w:lang w:val="en-US"/>
        </w:rPr>
      </w:pPr>
      <w:r w:rsidRPr="00B9088A">
        <w:t xml:space="preserve">Phipps, R., &amp; Merisotis, J. (2000). </w:t>
      </w:r>
      <w:r w:rsidRPr="00B9088A">
        <w:rPr>
          <w:i/>
          <w:iCs/>
        </w:rPr>
        <w:t>Quality on the Line: Benchmarks for Success in Internet-Based Distance Education.</w:t>
      </w:r>
      <w:r w:rsidRPr="00B9088A">
        <w:t xml:space="preserve"> </w:t>
      </w:r>
      <w:r w:rsidRPr="00315135">
        <w:rPr>
          <w:rStyle w:val="Hyperlnk"/>
          <w:lang w:val="en-US"/>
        </w:rPr>
        <w:t>https://eric.ed.gov/?id=ed444407</w:t>
      </w:r>
    </w:p>
    <w:p w14:paraId="07C130DC" w14:textId="02E0F0EA" w:rsidR="00773D99" w:rsidRPr="00ED42DC" w:rsidRDefault="00773D99" w:rsidP="00773D99">
      <w:pPr>
        <w:pStyle w:val="References"/>
        <w:rPr>
          <w:lang w:val="fi-FI"/>
        </w:rPr>
      </w:pPr>
      <w:r w:rsidRPr="00773D99">
        <w:rPr>
          <w:lang w:val="sv-SE"/>
        </w:rPr>
        <w:t xml:space="preserve">Sidenvall, J., Granberg, C., Lithner, J., &amp; Palmberg, B. (2022). </w:t>
      </w:r>
      <w:r w:rsidRPr="0002588A">
        <w:rPr>
          <w:lang w:val="en-US"/>
        </w:rPr>
        <w:t xml:space="preserve">Supporting teachers in supporting students’ mathematical problem solving. </w:t>
      </w:r>
      <w:r w:rsidRPr="0002588A">
        <w:rPr>
          <w:i/>
          <w:iCs/>
          <w:lang w:val="en-US"/>
        </w:rPr>
        <w:t>International Journal of Mathematical Education in Science and Technology</w:t>
      </w:r>
      <w:r w:rsidRPr="0002588A">
        <w:rPr>
          <w:lang w:val="en-US"/>
        </w:rPr>
        <w:t xml:space="preserve">, 1–21. </w:t>
      </w:r>
      <w:hyperlink r:id="rId16" w:history="1">
        <w:r w:rsidR="0088619D" w:rsidRPr="00ED42DC">
          <w:rPr>
            <w:rStyle w:val="Hyperlnk"/>
            <w:lang w:val="fi-FI"/>
          </w:rPr>
          <w:t>https://doi.org/grj8mn</w:t>
        </w:r>
      </w:hyperlink>
    </w:p>
    <w:p w14:paraId="79273D52" w14:textId="169F4718" w:rsidR="00B9088A" w:rsidRDefault="00B9088A" w:rsidP="00B9088A">
      <w:pPr>
        <w:pStyle w:val="References"/>
        <w:rPr>
          <w:szCs w:val="24"/>
          <w:lang w:val="en-US"/>
        </w:rPr>
      </w:pPr>
      <w:r w:rsidRPr="00ED42DC">
        <w:rPr>
          <w:lang w:val="fi-FI"/>
        </w:rPr>
        <w:t xml:space="preserve">Tekkumru-Kisa, M., Stein, M. K., &amp; Doyle, W. (2020). </w:t>
      </w:r>
      <w:r w:rsidRPr="00B9088A">
        <w:t xml:space="preserve">Theory and Research on Tasks Revisited: Task as a Context for Students’ Thinking in the Era of Ambitious Reforms in Mathematics and Science. </w:t>
      </w:r>
      <w:r w:rsidRPr="00B9088A">
        <w:rPr>
          <w:i/>
          <w:iCs/>
        </w:rPr>
        <w:t>Educational Researcher</w:t>
      </w:r>
      <w:r w:rsidRPr="00B9088A">
        <w:t xml:space="preserve">, </w:t>
      </w:r>
      <w:r w:rsidRPr="00B9088A">
        <w:rPr>
          <w:i/>
          <w:iCs/>
        </w:rPr>
        <w:t>49</w:t>
      </w:r>
      <w:r w:rsidRPr="00B9088A">
        <w:t>(8), 606–617</w:t>
      </w:r>
      <w:r w:rsidR="00E34FDA">
        <w:t>.</w:t>
      </w:r>
      <w:r w:rsidR="00E34FDA" w:rsidRPr="00E34FDA">
        <w:t xml:space="preserve"> </w:t>
      </w:r>
      <w:hyperlink r:id="rId17" w:history="1">
        <w:r w:rsidR="00E34FDA" w:rsidRPr="00E34FDA">
          <w:rPr>
            <w:rStyle w:val="Hyperlnk"/>
          </w:rPr>
          <w:t>https://doi.org/ghjspk</w:t>
        </w:r>
      </w:hyperlink>
      <w:r w:rsidR="00E34FDA" w:rsidRPr="00B9088A" w:rsidDel="00E34FDA">
        <w:t xml:space="preserve"> </w:t>
      </w:r>
    </w:p>
    <w:p w14:paraId="50E5A20D" w14:textId="1082C4CE" w:rsidR="0000350B" w:rsidRPr="00F6237E" w:rsidRDefault="0000350B" w:rsidP="00B9088A">
      <w:pPr>
        <w:pStyle w:val="References"/>
        <w:rPr>
          <w:lang w:val="en-US"/>
        </w:rPr>
      </w:pPr>
      <w:r w:rsidRPr="001F1F9F">
        <w:rPr>
          <w:lang w:val="en-US"/>
        </w:rPr>
        <w:t>Thanheiser, E. (2017). Commentary on mathematical tasks and the student: Coherence and</w:t>
      </w:r>
      <w:r w:rsidR="00B9088A">
        <w:rPr>
          <w:lang w:val="en-US"/>
        </w:rPr>
        <w:t xml:space="preserve"> </w:t>
      </w:r>
      <w:r w:rsidRPr="001F1F9F">
        <w:rPr>
          <w:lang w:val="en-US"/>
        </w:rPr>
        <w:t xml:space="preserve">connectedness of mathematics, cycles of task design, and context of implementation. </w:t>
      </w:r>
      <w:r w:rsidRPr="001F1F9F">
        <w:rPr>
          <w:i/>
          <w:iCs/>
          <w:lang w:val="en-US"/>
        </w:rPr>
        <w:t>ZDM</w:t>
      </w:r>
      <w:r w:rsidR="00203853" w:rsidRPr="001F1F9F">
        <w:rPr>
          <w:i/>
          <w:iCs/>
          <w:lang w:val="en-US"/>
        </w:rPr>
        <w:t xml:space="preserve"> Mathematics Education</w:t>
      </w:r>
      <w:r w:rsidRPr="001F1F9F">
        <w:rPr>
          <w:lang w:val="en-US"/>
        </w:rPr>
        <w:t xml:space="preserve">, </w:t>
      </w:r>
      <w:r w:rsidRPr="001F1F9F">
        <w:rPr>
          <w:i/>
          <w:iCs/>
          <w:lang w:val="en-US"/>
        </w:rPr>
        <w:t>49</w:t>
      </w:r>
      <w:r w:rsidRPr="001F1F9F">
        <w:rPr>
          <w:lang w:val="en-US"/>
        </w:rPr>
        <w:t>(6), 965–969</w:t>
      </w:r>
      <w:r w:rsidR="00E34FDA">
        <w:rPr>
          <w:lang w:val="en-US"/>
        </w:rPr>
        <w:t xml:space="preserve">. </w:t>
      </w:r>
      <w:hyperlink r:id="rId18" w:history="1">
        <w:r w:rsidR="00E34FDA" w:rsidRPr="00E34FDA">
          <w:rPr>
            <w:rStyle w:val="Hyperlnk"/>
          </w:rPr>
          <w:t>https://doi.org/mcjx</w:t>
        </w:r>
      </w:hyperlink>
      <w:r w:rsidR="001F1F9F">
        <w:rPr>
          <w:lang w:val="en-US"/>
        </w:rPr>
        <w:t xml:space="preserve"> </w:t>
      </w:r>
    </w:p>
    <w:p w14:paraId="1486AB23" w14:textId="268C9373" w:rsidR="0000350B" w:rsidRPr="001F1F9F" w:rsidRDefault="0000350B" w:rsidP="00492BE9">
      <w:pPr>
        <w:pStyle w:val="References"/>
        <w:rPr>
          <w:szCs w:val="24"/>
          <w:lang w:val="en-US"/>
        </w:rPr>
      </w:pPr>
      <w:r w:rsidRPr="001F1F9F">
        <w:rPr>
          <w:szCs w:val="24"/>
          <w:lang w:val="en-US"/>
        </w:rPr>
        <w:t xml:space="preserve">Thomas, G. (2011). A Typology for the Case Study in Social Science Following a Review of Definition, Discourse, and Structure. </w:t>
      </w:r>
      <w:r w:rsidRPr="001F1F9F">
        <w:rPr>
          <w:i/>
          <w:iCs/>
          <w:szCs w:val="24"/>
          <w:lang w:val="en-US"/>
        </w:rPr>
        <w:t>Qualitative Inquiry</w:t>
      </w:r>
      <w:r w:rsidRPr="001F1F9F">
        <w:rPr>
          <w:szCs w:val="24"/>
          <w:lang w:val="en-US"/>
        </w:rPr>
        <w:t xml:space="preserve">, </w:t>
      </w:r>
      <w:r w:rsidRPr="001F1F9F">
        <w:rPr>
          <w:i/>
          <w:iCs/>
          <w:szCs w:val="24"/>
          <w:lang w:val="en-US"/>
        </w:rPr>
        <w:t>17</w:t>
      </w:r>
      <w:r w:rsidRPr="001F1F9F">
        <w:rPr>
          <w:szCs w:val="24"/>
          <w:lang w:val="en-US"/>
        </w:rPr>
        <w:t>(6), 511–521</w:t>
      </w:r>
      <w:r w:rsidR="00E34FDA">
        <w:rPr>
          <w:szCs w:val="24"/>
          <w:lang w:val="en-US"/>
        </w:rPr>
        <w:t xml:space="preserve">. </w:t>
      </w:r>
      <w:hyperlink r:id="rId19" w:history="1">
        <w:r w:rsidR="00E34FDA" w:rsidRPr="00E34FDA">
          <w:rPr>
            <w:rStyle w:val="Hyperlnk"/>
            <w:szCs w:val="24"/>
          </w:rPr>
          <w:t>https://doi.org/d928rt</w:t>
        </w:r>
      </w:hyperlink>
      <w:r w:rsidR="00A04D93">
        <w:rPr>
          <w:szCs w:val="24"/>
          <w:lang w:val="en-US"/>
        </w:rPr>
        <w:t xml:space="preserve"> </w:t>
      </w:r>
    </w:p>
    <w:sectPr w:rsidR="0000350B" w:rsidRPr="001F1F9F" w:rsidSect="00367F6D">
      <w:headerReference w:type="default" r:id="rId20"/>
      <w:footerReference w:type="even" r:id="rId21"/>
      <w:footerReference w:type="default" r:id="rId22"/>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8442" w14:textId="77777777" w:rsidR="00367F6D" w:rsidRDefault="00367F6D">
      <w:pPr>
        <w:spacing w:line="240" w:lineRule="auto"/>
      </w:pPr>
      <w:r>
        <w:separator/>
      </w:r>
    </w:p>
  </w:endnote>
  <w:endnote w:type="continuationSeparator" w:id="0">
    <w:p w14:paraId="1B002811" w14:textId="77777777" w:rsidR="00367F6D" w:rsidRDefault="00367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9FAC" w14:textId="77777777" w:rsidR="00367F6D" w:rsidRDefault="00367F6D">
      <w:pPr>
        <w:spacing w:line="240" w:lineRule="auto"/>
      </w:pPr>
      <w:r>
        <w:separator/>
      </w:r>
    </w:p>
  </w:footnote>
  <w:footnote w:type="continuationSeparator" w:id="0">
    <w:p w14:paraId="22856465" w14:textId="77777777" w:rsidR="00367F6D" w:rsidRDefault="00367F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D7ED9"/>
    <w:multiLevelType w:val="multilevel"/>
    <w:tmpl w:val="2B50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F72F5"/>
    <w:multiLevelType w:val="multilevel"/>
    <w:tmpl w:val="E49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92A2E"/>
    <w:multiLevelType w:val="hybridMultilevel"/>
    <w:tmpl w:val="E348C4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11501581">
    <w:abstractNumId w:val="0"/>
  </w:num>
  <w:num w:numId="2" w16cid:durableId="1402603094">
    <w:abstractNumId w:val="2"/>
  </w:num>
  <w:num w:numId="3" w16cid:durableId="1398941583">
    <w:abstractNumId w:val="1"/>
  </w:num>
  <w:num w:numId="4" w16cid:durableId="1667391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7"/>
    <w:rsid w:val="0000350B"/>
    <w:rsid w:val="00004C6E"/>
    <w:rsid w:val="00007156"/>
    <w:rsid w:val="000077DF"/>
    <w:rsid w:val="00015342"/>
    <w:rsid w:val="0002050F"/>
    <w:rsid w:val="0002588A"/>
    <w:rsid w:val="000270DB"/>
    <w:rsid w:val="00053461"/>
    <w:rsid w:val="00064A57"/>
    <w:rsid w:val="000761F4"/>
    <w:rsid w:val="00084739"/>
    <w:rsid w:val="00093558"/>
    <w:rsid w:val="000B1252"/>
    <w:rsid w:val="000D1C53"/>
    <w:rsid w:val="000D2258"/>
    <w:rsid w:val="000E66E2"/>
    <w:rsid w:val="000F7629"/>
    <w:rsid w:val="000F7BC9"/>
    <w:rsid w:val="00117643"/>
    <w:rsid w:val="00133F5F"/>
    <w:rsid w:val="00152164"/>
    <w:rsid w:val="00161962"/>
    <w:rsid w:val="00187C67"/>
    <w:rsid w:val="001A4369"/>
    <w:rsid w:val="001B0E2F"/>
    <w:rsid w:val="001D45C0"/>
    <w:rsid w:val="001D52C6"/>
    <w:rsid w:val="001F1F9F"/>
    <w:rsid w:val="002013F0"/>
    <w:rsid w:val="00203853"/>
    <w:rsid w:val="00230ED0"/>
    <w:rsid w:val="00233BBB"/>
    <w:rsid w:val="00252486"/>
    <w:rsid w:val="0025487C"/>
    <w:rsid w:val="00257BFA"/>
    <w:rsid w:val="00260048"/>
    <w:rsid w:val="002605ED"/>
    <w:rsid w:val="00277D86"/>
    <w:rsid w:val="002824CB"/>
    <w:rsid w:val="002A38E1"/>
    <w:rsid w:val="002C38F0"/>
    <w:rsid w:val="002C3A18"/>
    <w:rsid w:val="002C65E6"/>
    <w:rsid w:val="002D1CDC"/>
    <w:rsid w:val="002E347C"/>
    <w:rsid w:val="002E5F82"/>
    <w:rsid w:val="00311382"/>
    <w:rsid w:val="00314C92"/>
    <w:rsid w:val="00315135"/>
    <w:rsid w:val="0032412E"/>
    <w:rsid w:val="003315A7"/>
    <w:rsid w:val="003346D2"/>
    <w:rsid w:val="00367F6D"/>
    <w:rsid w:val="0037552B"/>
    <w:rsid w:val="0037576E"/>
    <w:rsid w:val="00377C7C"/>
    <w:rsid w:val="00387E49"/>
    <w:rsid w:val="003A5FCD"/>
    <w:rsid w:val="003A60FC"/>
    <w:rsid w:val="003B2647"/>
    <w:rsid w:val="003E353D"/>
    <w:rsid w:val="003E4A14"/>
    <w:rsid w:val="004436CB"/>
    <w:rsid w:val="004451F9"/>
    <w:rsid w:val="00453E25"/>
    <w:rsid w:val="00461D61"/>
    <w:rsid w:val="00486FD6"/>
    <w:rsid w:val="00492BE9"/>
    <w:rsid w:val="004A3CBD"/>
    <w:rsid w:val="004C5DBA"/>
    <w:rsid w:val="004C770B"/>
    <w:rsid w:val="004C7963"/>
    <w:rsid w:val="004D0BC2"/>
    <w:rsid w:val="004D5639"/>
    <w:rsid w:val="004D7F78"/>
    <w:rsid w:val="004E6BFD"/>
    <w:rsid w:val="004F155F"/>
    <w:rsid w:val="004F1B48"/>
    <w:rsid w:val="004F6151"/>
    <w:rsid w:val="005109F2"/>
    <w:rsid w:val="00515ACD"/>
    <w:rsid w:val="00530F57"/>
    <w:rsid w:val="005651C1"/>
    <w:rsid w:val="005710F8"/>
    <w:rsid w:val="005840EF"/>
    <w:rsid w:val="005B66B0"/>
    <w:rsid w:val="005D54B1"/>
    <w:rsid w:val="005D7710"/>
    <w:rsid w:val="005D7A5B"/>
    <w:rsid w:val="005E3911"/>
    <w:rsid w:val="005E3A54"/>
    <w:rsid w:val="005E503D"/>
    <w:rsid w:val="005F40D9"/>
    <w:rsid w:val="006152C9"/>
    <w:rsid w:val="00631228"/>
    <w:rsid w:val="00634626"/>
    <w:rsid w:val="0064325D"/>
    <w:rsid w:val="006642FA"/>
    <w:rsid w:val="00672077"/>
    <w:rsid w:val="00676345"/>
    <w:rsid w:val="006805F7"/>
    <w:rsid w:val="006C3716"/>
    <w:rsid w:val="006E2B74"/>
    <w:rsid w:val="006E44D3"/>
    <w:rsid w:val="006E6068"/>
    <w:rsid w:val="006F2D32"/>
    <w:rsid w:val="007012D1"/>
    <w:rsid w:val="00703A1B"/>
    <w:rsid w:val="00710759"/>
    <w:rsid w:val="00716777"/>
    <w:rsid w:val="00737C28"/>
    <w:rsid w:val="007433A1"/>
    <w:rsid w:val="007475D7"/>
    <w:rsid w:val="00752A1D"/>
    <w:rsid w:val="0075497C"/>
    <w:rsid w:val="00773D99"/>
    <w:rsid w:val="00775144"/>
    <w:rsid w:val="00791F81"/>
    <w:rsid w:val="007B06D9"/>
    <w:rsid w:val="007B6136"/>
    <w:rsid w:val="007E5951"/>
    <w:rsid w:val="0080411A"/>
    <w:rsid w:val="008152CD"/>
    <w:rsid w:val="00817E71"/>
    <w:rsid w:val="0082264D"/>
    <w:rsid w:val="00830736"/>
    <w:rsid w:val="008359CE"/>
    <w:rsid w:val="00842F58"/>
    <w:rsid w:val="00855D5C"/>
    <w:rsid w:val="00874118"/>
    <w:rsid w:val="00882609"/>
    <w:rsid w:val="00885893"/>
    <w:rsid w:val="0088619D"/>
    <w:rsid w:val="008A568E"/>
    <w:rsid w:val="008B2EE2"/>
    <w:rsid w:val="008C1B8F"/>
    <w:rsid w:val="008C4C60"/>
    <w:rsid w:val="008E3FCE"/>
    <w:rsid w:val="008F08F2"/>
    <w:rsid w:val="008F2121"/>
    <w:rsid w:val="00902704"/>
    <w:rsid w:val="009044BA"/>
    <w:rsid w:val="00913F45"/>
    <w:rsid w:val="0091417F"/>
    <w:rsid w:val="0091579A"/>
    <w:rsid w:val="009165A8"/>
    <w:rsid w:val="00922062"/>
    <w:rsid w:val="00925318"/>
    <w:rsid w:val="00933A03"/>
    <w:rsid w:val="00934DA0"/>
    <w:rsid w:val="00945C0F"/>
    <w:rsid w:val="009615EA"/>
    <w:rsid w:val="00983057"/>
    <w:rsid w:val="009A77B1"/>
    <w:rsid w:val="009C103B"/>
    <w:rsid w:val="009C2E11"/>
    <w:rsid w:val="009D3BE5"/>
    <w:rsid w:val="009D46AC"/>
    <w:rsid w:val="00A04D93"/>
    <w:rsid w:val="00A21010"/>
    <w:rsid w:val="00A2654B"/>
    <w:rsid w:val="00A334E8"/>
    <w:rsid w:val="00A45374"/>
    <w:rsid w:val="00A61F10"/>
    <w:rsid w:val="00A835CB"/>
    <w:rsid w:val="00AC1294"/>
    <w:rsid w:val="00AD52C9"/>
    <w:rsid w:val="00AD7E1A"/>
    <w:rsid w:val="00AF66EE"/>
    <w:rsid w:val="00B02CFD"/>
    <w:rsid w:val="00B052B2"/>
    <w:rsid w:val="00B12202"/>
    <w:rsid w:val="00B13C57"/>
    <w:rsid w:val="00B2339B"/>
    <w:rsid w:val="00B26796"/>
    <w:rsid w:val="00B51577"/>
    <w:rsid w:val="00B70A0F"/>
    <w:rsid w:val="00B740FC"/>
    <w:rsid w:val="00B905B5"/>
    <w:rsid w:val="00B9088A"/>
    <w:rsid w:val="00BB0AD1"/>
    <w:rsid w:val="00BB4CC5"/>
    <w:rsid w:val="00BC7DC4"/>
    <w:rsid w:val="00BD165F"/>
    <w:rsid w:val="00BE29E3"/>
    <w:rsid w:val="00BF5C79"/>
    <w:rsid w:val="00C1021D"/>
    <w:rsid w:val="00C11145"/>
    <w:rsid w:val="00C32D6E"/>
    <w:rsid w:val="00C33754"/>
    <w:rsid w:val="00C4249D"/>
    <w:rsid w:val="00C42DDA"/>
    <w:rsid w:val="00C46C16"/>
    <w:rsid w:val="00C55660"/>
    <w:rsid w:val="00C74FC3"/>
    <w:rsid w:val="00CA5D71"/>
    <w:rsid w:val="00CA66A9"/>
    <w:rsid w:val="00CD0397"/>
    <w:rsid w:val="00CD2398"/>
    <w:rsid w:val="00CE6A6A"/>
    <w:rsid w:val="00D00700"/>
    <w:rsid w:val="00D153ED"/>
    <w:rsid w:val="00D43B63"/>
    <w:rsid w:val="00D773D0"/>
    <w:rsid w:val="00D94184"/>
    <w:rsid w:val="00DC18A2"/>
    <w:rsid w:val="00DC2DF3"/>
    <w:rsid w:val="00E06161"/>
    <w:rsid w:val="00E21FA9"/>
    <w:rsid w:val="00E22A6D"/>
    <w:rsid w:val="00E34FDA"/>
    <w:rsid w:val="00E6695F"/>
    <w:rsid w:val="00E75257"/>
    <w:rsid w:val="00E75DA9"/>
    <w:rsid w:val="00E90B43"/>
    <w:rsid w:val="00E96FC6"/>
    <w:rsid w:val="00EA21DC"/>
    <w:rsid w:val="00EC078D"/>
    <w:rsid w:val="00ED16C6"/>
    <w:rsid w:val="00ED2199"/>
    <w:rsid w:val="00ED42DC"/>
    <w:rsid w:val="00EE45C0"/>
    <w:rsid w:val="00F00ABC"/>
    <w:rsid w:val="00F12E1E"/>
    <w:rsid w:val="00F312B6"/>
    <w:rsid w:val="00F42DFA"/>
    <w:rsid w:val="00F5400D"/>
    <w:rsid w:val="00F57F9B"/>
    <w:rsid w:val="00F6145D"/>
    <w:rsid w:val="00F6237E"/>
    <w:rsid w:val="00F63E77"/>
    <w:rsid w:val="00F8300A"/>
    <w:rsid w:val="00F8658C"/>
    <w:rsid w:val="00F91703"/>
    <w:rsid w:val="00FB30D0"/>
    <w:rsid w:val="00FB4E6F"/>
    <w:rsid w:val="00FD2CF2"/>
    <w:rsid w:val="00FF5B2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1"/>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paragraph" w:styleId="Normalwebb">
    <w:name w:val="Normal (Web)"/>
    <w:basedOn w:val="Normal"/>
    <w:uiPriority w:val="99"/>
    <w:unhideWhenUsed/>
    <w:rsid w:val="0000350B"/>
    <w:pPr>
      <w:autoSpaceDE/>
      <w:autoSpaceDN/>
      <w:spacing w:before="100" w:beforeAutospacing="1" w:after="100" w:afterAutospacing="1" w:line="240" w:lineRule="auto"/>
      <w:ind w:firstLine="0"/>
      <w:jc w:val="left"/>
    </w:pPr>
    <w:rPr>
      <w:sz w:val="24"/>
      <w:szCs w:val="24"/>
      <w:lang w:val="sv-SE" w:eastAsia="sv-SE"/>
    </w:rPr>
  </w:style>
  <w:style w:type="character" w:styleId="Hyperlnk">
    <w:name w:val="Hyperlink"/>
    <w:basedOn w:val="Standardstycketeckensnitt"/>
    <w:uiPriority w:val="99"/>
    <w:unhideWhenUsed/>
    <w:rsid w:val="0000350B"/>
    <w:rPr>
      <w:color w:val="0000FF"/>
      <w:u w:val="single"/>
    </w:rPr>
  </w:style>
  <w:style w:type="character" w:customStyle="1" w:styleId="apple-tab-span">
    <w:name w:val="apple-tab-span"/>
    <w:basedOn w:val="Standardstycketeckensnitt"/>
    <w:rsid w:val="0000350B"/>
  </w:style>
  <w:style w:type="paragraph" w:styleId="Revision">
    <w:name w:val="Revision"/>
    <w:hidden/>
    <w:semiHidden/>
    <w:rsid w:val="007475D7"/>
    <w:rPr>
      <w:sz w:val="26"/>
      <w:szCs w:val="28"/>
      <w:lang w:val="en-GB" w:eastAsia="en-US"/>
    </w:rPr>
  </w:style>
  <w:style w:type="character" w:styleId="Kommentarsreferens">
    <w:name w:val="annotation reference"/>
    <w:basedOn w:val="Standardstycketeckensnitt"/>
    <w:semiHidden/>
    <w:unhideWhenUsed/>
    <w:rsid w:val="00311382"/>
    <w:rPr>
      <w:sz w:val="16"/>
      <w:szCs w:val="16"/>
    </w:rPr>
  </w:style>
  <w:style w:type="paragraph" w:styleId="Kommentarer">
    <w:name w:val="annotation text"/>
    <w:basedOn w:val="Normal"/>
    <w:link w:val="KommentarerChar"/>
    <w:unhideWhenUsed/>
    <w:rsid w:val="00311382"/>
    <w:pPr>
      <w:spacing w:line="240" w:lineRule="auto"/>
    </w:pPr>
    <w:rPr>
      <w:sz w:val="20"/>
      <w:szCs w:val="20"/>
    </w:rPr>
  </w:style>
  <w:style w:type="character" w:customStyle="1" w:styleId="KommentarerChar">
    <w:name w:val="Kommentarer Char"/>
    <w:basedOn w:val="Standardstycketeckensnitt"/>
    <w:link w:val="Kommentarer"/>
    <w:rsid w:val="00311382"/>
    <w:rPr>
      <w:lang w:val="en-GB" w:eastAsia="en-US"/>
    </w:rPr>
  </w:style>
  <w:style w:type="paragraph" w:styleId="Kommentarsmne">
    <w:name w:val="annotation subject"/>
    <w:basedOn w:val="Kommentarer"/>
    <w:next w:val="Kommentarer"/>
    <w:link w:val="KommentarsmneChar"/>
    <w:semiHidden/>
    <w:unhideWhenUsed/>
    <w:rsid w:val="00311382"/>
    <w:rPr>
      <w:b/>
      <w:bCs/>
    </w:rPr>
  </w:style>
  <w:style w:type="character" w:customStyle="1" w:styleId="KommentarsmneChar">
    <w:name w:val="Kommentarsämne Char"/>
    <w:basedOn w:val="KommentarerChar"/>
    <w:link w:val="Kommentarsmne"/>
    <w:semiHidden/>
    <w:rsid w:val="00311382"/>
    <w:rPr>
      <w:b/>
      <w:bCs/>
      <w:lang w:val="en-GB" w:eastAsia="en-US"/>
    </w:rPr>
  </w:style>
  <w:style w:type="paragraph" w:styleId="Sidhuvud">
    <w:name w:val="header"/>
    <w:basedOn w:val="Normal"/>
    <w:link w:val="SidhuvudChar"/>
    <w:unhideWhenUsed/>
    <w:rsid w:val="00C55660"/>
    <w:pPr>
      <w:tabs>
        <w:tab w:val="center" w:pos="4513"/>
        <w:tab w:val="right" w:pos="9026"/>
      </w:tabs>
      <w:spacing w:line="240" w:lineRule="auto"/>
    </w:pPr>
  </w:style>
  <w:style w:type="character" w:customStyle="1" w:styleId="SidhuvudChar">
    <w:name w:val="Sidhuvud Char"/>
    <w:basedOn w:val="Standardstycketeckensnitt"/>
    <w:link w:val="Sidhuvud"/>
    <w:rsid w:val="00C55660"/>
    <w:rPr>
      <w:sz w:val="26"/>
      <w:szCs w:val="28"/>
      <w:lang w:val="en-GB" w:eastAsia="en-US"/>
    </w:rPr>
  </w:style>
  <w:style w:type="character" w:styleId="Olstomnmnande">
    <w:name w:val="Unresolved Mention"/>
    <w:basedOn w:val="Standardstycketeckensnitt"/>
    <w:uiPriority w:val="99"/>
    <w:semiHidden/>
    <w:unhideWhenUsed/>
    <w:rsid w:val="00902704"/>
    <w:rPr>
      <w:color w:val="605E5C"/>
      <w:shd w:val="clear" w:color="auto" w:fill="E1DFDD"/>
    </w:rPr>
  </w:style>
  <w:style w:type="paragraph" w:styleId="Litteraturfrteckning">
    <w:name w:val="Bibliography"/>
    <w:basedOn w:val="Normal"/>
    <w:next w:val="Normal"/>
    <w:unhideWhenUsed/>
    <w:rsid w:val="00B9088A"/>
    <w:pPr>
      <w:spacing w:line="480" w:lineRule="atLeast"/>
      <w:ind w:left="720" w:hanging="720"/>
    </w:pPr>
  </w:style>
  <w:style w:type="character" w:styleId="AnvndHyperlnk">
    <w:name w:val="FollowedHyperlink"/>
    <w:basedOn w:val="Standardstycketeckensnitt"/>
    <w:semiHidden/>
    <w:unhideWhenUsed/>
    <w:rsid w:val="00E34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8056">
      <w:bodyDiv w:val="1"/>
      <w:marLeft w:val="0"/>
      <w:marRight w:val="0"/>
      <w:marTop w:val="0"/>
      <w:marBottom w:val="0"/>
      <w:divBdr>
        <w:top w:val="none" w:sz="0" w:space="0" w:color="auto"/>
        <w:left w:val="none" w:sz="0" w:space="0" w:color="auto"/>
        <w:bottom w:val="none" w:sz="0" w:space="0" w:color="auto"/>
        <w:right w:val="none" w:sz="0" w:space="0" w:color="auto"/>
      </w:divBdr>
      <w:divsChild>
        <w:div w:id="801776199">
          <w:marLeft w:val="480"/>
          <w:marRight w:val="0"/>
          <w:marTop w:val="0"/>
          <w:marBottom w:val="0"/>
          <w:divBdr>
            <w:top w:val="none" w:sz="0" w:space="0" w:color="auto"/>
            <w:left w:val="none" w:sz="0" w:space="0" w:color="auto"/>
            <w:bottom w:val="none" w:sz="0" w:space="0" w:color="auto"/>
            <w:right w:val="none" w:sz="0" w:space="0" w:color="auto"/>
          </w:divBdr>
          <w:divsChild>
            <w:div w:id="249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6707">
      <w:bodyDiv w:val="1"/>
      <w:marLeft w:val="0"/>
      <w:marRight w:val="0"/>
      <w:marTop w:val="0"/>
      <w:marBottom w:val="0"/>
      <w:divBdr>
        <w:top w:val="none" w:sz="0" w:space="0" w:color="auto"/>
        <w:left w:val="none" w:sz="0" w:space="0" w:color="auto"/>
        <w:bottom w:val="none" w:sz="0" w:space="0" w:color="auto"/>
        <w:right w:val="none" w:sz="0" w:space="0" w:color="auto"/>
      </w:divBdr>
    </w:div>
    <w:div w:id="676689596">
      <w:bodyDiv w:val="1"/>
      <w:marLeft w:val="0"/>
      <w:marRight w:val="0"/>
      <w:marTop w:val="0"/>
      <w:marBottom w:val="0"/>
      <w:divBdr>
        <w:top w:val="none" w:sz="0" w:space="0" w:color="auto"/>
        <w:left w:val="none" w:sz="0" w:space="0" w:color="auto"/>
        <w:bottom w:val="none" w:sz="0" w:space="0" w:color="auto"/>
        <w:right w:val="none" w:sz="0" w:space="0" w:color="auto"/>
      </w:divBdr>
    </w:div>
    <w:div w:id="874269657">
      <w:bodyDiv w:val="1"/>
      <w:marLeft w:val="0"/>
      <w:marRight w:val="0"/>
      <w:marTop w:val="0"/>
      <w:marBottom w:val="0"/>
      <w:divBdr>
        <w:top w:val="none" w:sz="0" w:space="0" w:color="auto"/>
        <w:left w:val="none" w:sz="0" w:space="0" w:color="auto"/>
        <w:bottom w:val="none" w:sz="0" w:space="0" w:color="auto"/>
        <w:right w:val="none" w:sz="0" w:space="0" w:color="auto"/>
      </w:divBdr>
    </w:div>
    <w:div w:id="1510146073">
      <w:bodyDiv w:val="1"/>
      <w:marLeft w:val="0"/>
      <w:marRight w:val="0"/>
      <w:marTop w:val="0"/>
      <w:marBottom w:val="0"/>
      <w:divBdr>
        <w:top w:val="none" w:sz="0" w:space="0" w:color="auto"/>
        <w:left w:val="none" w:sz="0" w:space="0" w:color="auto"/>
        <w:bottom w:val="none" w:sz="0" w:space="0" w:color="auto"/>
        <w:right w:val="none" w:sz="0" w:space="0" w:color="auto"/>
      </w:divBdr>
    </w:div>
    <w:div w:id="1648510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cvrffd" TargetMode="External"/><Relationship Id="rId18" Type="http://schemas.openxmlformats.org/officeDocument/2006/relationships/hyperlink" Target="https://doi.org/mcj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djkhfw" TargetMode="External"/><Relationship Id="rId17" Type="http://schemas.openxmlformats.org/officeDocument/2006/relationships/hyperlink" Target="https://doi.org/ghjspk" TargetMode="External"/><Relationship Id="rId2" Type="http://schemas.openxmlformats.org/officeDocument/2006/relationships/numbering" Target="numbering.xml"/><Relationship Id="rId16" Type="http://schemas.openxmlformats.org/officeDocument/2006/relationships/hyperlink" Target="https://doi.org/grj8m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bh4q7f?fbclid=IwAR0-N52F8uHI9PCt7MZ9hMSwo4cUkAfo65UDqrhgJQqAjZU_Pev4u98OtW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fmrhsx" TargetMode="External"/><Relationship Id="rId23" Type="http://schemas.openxmlformats.org/officeDocument/2006/relationships/fontTable" Target="fontTable.xml"/><Relationship Id="rId10" Type="http://schemas.openxmlformats.org/officeDocument/2006/relationships/hyperlink" Target="https://doi.org/10.4324/9780203486016" TargetMode="External"/><Relationship Id="rId19" Type="http://schemas.openxmlformats.org/officeDocument/2006/relationships/hyperlink" Target="https://doi.org/d928rt" TargetMode="External"/><Relationship Id="rId4" Type="http://schemas.openxmlformats.org/officeDocument/2006/relationships/settings" Target="settings.xml"/><Relationship Id="rId9" Type="http://schemas.openxmlformats.org/officeDocument/2006/relationships/hyperlink" Target="https://doi.org/ggf5sv" TargetMode="External"/><Relationship Id="rId14" Type="http://schemas.openxmlformats.org/officeDocument/2006/relationships/hyperlink" Target="https://doi.org/f97rrp"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810D-730D-4BB4-9D59-311CF7B9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4450</Words>
  <Characters>23591</Characters>
  <Application>Microsoft Office Word</Application>
  <DocSecurity>0</DocSecurity>
  <Lines>196</Lines>
  <Paragraphs>55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MADIF8 PROCEEDINGS STYLE TEMPLATE</vt:lpstr>
      <vt:lpstr>MADIF8 PROCEEDINGS STYLE TEMPLATE</vt:lpstr>
      <vt:lpstr>MES6 PROCEEDINGS STYLE TEMPLATE: TYPE YOUR TITLE HERE (THE STYLE IS CALLED HEADING 1)</vt:lpstr>
    </vt:vector>
  </TitlesOfParts>
  <Manager/>
  <Company/>
  <LinksUpToDate>false</LinksUpToDate>
  <CharactersWithSpaces>27986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2024-01-24T10:37:00Z</dcterms:created>
  <dcterms:modified xsi:type="dcterms:W3CDTF">2024-01-24T10:37:00Z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919d88bebb500e1f00ec973ad5a02a8eebd398ef4d3430207f8224f4ec8deb46</vt:lpwstr>
  </property>
  <property fmtid="{D5CDD505-2E9C-101B-9397-08002B2CF9AE}" pid="3" name="ZOTERO_PREF_1">
    <vt:lpwstr>&lt;data data-version="3" zotero-version="6.0.30"&gt;&lt;session id="UWBwS1Zf"/&gt;&lt;style id="http://www.zotero.org/styles/apa" locale="en-GB"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