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9E2A" w14:textId="77777777" w:rsidR="00084739" w:rsidRPr="00084739" w:rsidRDefault="00084739" w:rsidP="00084739">
      <w:pPr>
        <w:pStyle w:val="Brdtext"/>
      </w:pPr>
    </w:p>
    <w:p w14:paraId="3D087219" w14:textId="050FA65E" w:rsidR="00F5400D" w:rsidRDefault="00B94D29" w:rsidP="00C04B24">
      <w:pPr>
        <w:pStyle w:val="Rubrik1"/>
      </w:pPr>
      <w:r>
        <w:t>C</w:t>
      </w:r>
      <w:r w:rsidR="007E4856">
        <w:t xml:space="preserve">ommunication strategies </w:t>
      </w:r>
      <w:r w:rsidR="00FB30E8">
        <w:t xml:space="preserve">when </w:t>
      </w:r>
      <w:r w:rsidR="007E4856">
        <w:t xml:space="preserve">reading </w:t>
      </w:r>
      <w:r w:rsidR="005A785B">
        <w:t xml:space="preserve">less familiar </w:t>
      </w:r>
      <w:r w:rsidR="007E4856">
        <w:t>mathematical expressions</w:t>
      </w:r>
      <w:r w:rsidR="00FB30E8">
        <w:t xml:space="preserve"> aloud</w:t>
      </w:r>
      <w:r w:rsidR="007E4856">
        <w:t xml:space="preserve"> </w:t>
      </w:r>
    </w:p>
    <w:p w14:paraId="080E0699" w14:textId="18550DF2" w:rsidR="00CE6A6A" w:rsidRDefault="007E4856" w:rsidP="00CE6A6A">
      <w:pPr>
        <w:pStyle w:val="Rubrik8"/>
      </w:pPr>
      <w:r>
        <w:t xml:space="preserve">Ulrika Wikström Hultdin </w:t>
      </w:r>
    </w:p>
    <w:p w14:paraId="6074C7E7" w14:textId="0B4F2358" w:rsidR="00CE6A6A" w:rsidRDefault="007E4856" w:rsidP="00E166F0">
      <w:pPr>
        <w:pStyle w:val="Rubrik9"/>
      </w:pPr>
      <w:r>
        <w:rPr>
          <w:rStyle w:val="spellingerror"/>
          <w:color w:val="000000"/>
          <w:shd w:val="clear" w:color="auto" w:fill="FFFFFF"/>
        </w:rPr>
        <w:t>Umeå</w:t>
      </w:r>
      <w:r>
        <w:rPr>
          <w:rStyle w:val="normaltextrun"/>
          <w:color w:val="000000"/>
          <w:shd w:val="clear" w:color="auto" w:fill="FFFFFF"/>
        </w:rPr>
        <w:t xml:space="preserve"> Mathematics Education Research Centre (UMERC),</w:t>
      </w:r>
      <w:r>
        <w:t xml:space="preserve"> </w:t>
      </w:r>
      <w:r>
        <w:br/>
        <w:t>Department of Science and Mathematics Education, Umeå University, Swede</w:t>
      </w:r>
      <w:r w:rsidR="00E166F0">
        <w:t>n</w:t>
      </w:r>
    </w:p>
    <w:p w14:paraId="01C33E2A" w14:textId="1BEDB5FC" w:rsidR="00E166F0" w:rsidRDefault="00E166F0" w:rsidP="00E166F0">
      <w:pPr>
        <w:pStyle w:val="Abstract"/>
      </w:pPr>
      <w:r w:rsidRPr="009A5FED">
        <w:t>Spoken mathematical symbols are part of</w:t>
      </w:r>
      <w:r w:rsidR="005910C8">
        <w:t xml:space="preserve"> </w:t>
      </w:r>
      <w:r w:rsidRPr="009A5FED">
        <w:t xml:space="preserve">oral communication </w:t>
      </w:r>
      <w:r>
        <w:t>in</w:t>
      </w:r>
      <w:r w:rsidRPr="009A5FED">
        <w:t xml:space="preserve"> mathematics classroom</w:t>
      </w:r>
      <w:r>
        <w:t>s</w:t>
      </w:r>
      <w:r w:rsidRPr="009A5FED">
        <w:t xml:space="preserve">. The transition </w:t>
      </w:r>
      <w:r w:rsidR="00345E43">
        <w:t>from</w:t>
      </w:r>
      <w:r w:rsidRPr="009A5FED">
        <w:t xml:space="preserve"> written mathematical s</w:t>
      </w:r>
      <w:r>
        <w:t>ymbol</w:t>
      </w:r>
      <w:r w:rsidRPr="009A5FED">
        <w:t>s into spoken sound is an intricate process</w:t>
      </w:r>
      <w:r w:rsidR="004D7635">
        <w:t xml:space="preserve"> that,</w:t>
      </w:r>
      <w:r w:rsidRPr="009A5FED">
        <w:t xml:space="preserve"> in some </w:t>
      </w:r>
      <w:r>
        <w:t>re</w:t>
      </w:r>
      <w:r w:rsidRPr="009A5FED">
        <w:t>spects</w:t>
      </w:r>
      <w:r w:rsidR="004D7635">
        <w:t>,</w:t>
      </w:r>
      <w:r w:rsidRPr="009A5FED">
        <w:t xml:space="preserve"> </w:t>
      </w:r>
      <w:r w:rsidR="004D7635">
        <w:t>parallels</w:t>
      </w:r>
      <w:r w:rsidRPr="009A5FED">
        <w:t xml:space="preserve"> the translation of one language into another. This study focuses on strategy</w:t>
      </w:r>
      <w:r w:rsidR="00E3054F">
        <w:t>-</w:t>
      </w:r>
      <w:r w:rsidRPr="009A5FED">
        <w:t>use in the</w:t>
      </w:r>
      <w:r w:rsidR="00345E43">
        <w:t xml:space="preserve"> </w:t>
      </w:r>
      <w:r w:rsidRPr="009A5FED">
        <w:t>reading</w:t>
      </w:r>
      <w:r w:rsidR="00345E43">
        <w:t xml:space="preserve"> aloud</w:t>
      </w:r>
      <w:r w:rsidRPr="009A5FED">
        <w:t xml:space="preserve"> of mathematical symbols and</w:t>
      </w:r>
      <w:r w:rsidR="00485A85">
        <w:t xml:space="preserve"> compare them</w:t>
      </w:r>
      <w:r w:rsidRPr="009A5FED">
        <w:t xml:space="preserve"> to strategies </w:t>
      </w:r>
      <w:r>
        <w:t xml:space="preserve">found </w:t>
      </w:r>
      <w:r w:rsidRPr="009A5FED">
        <w:t xml:space="preserve">in second language communication (SLC). In an analysis of sound recordings of university students </w:t>
      </w:r>
      <w:r>
        <w:t xml:space="preserve">who </w:t>
      </w:r>
      <w:r w:rsidRPr="009A5FED">
        <w:t>read symbolic expressions</w:t>
      </w:r>
      <w:r>
        <w:t xml:space="preserve"> aloud</w:t>
      </w:r>
      <w:r w:rsidRPr="009A5FED">
        <w:t>, SLC strategies were</w:t>
      </w:r>
      <w:r>
        <w:t xml:space="preserve"> found to be abundant</w:t>
      </w:r>
      <w:r w:rsidRPr="009A5FED">
        <w:t>.</w:t>
      </w:r>
      <w:r>
        <w:t xml:space="preserve"> This indicates that some obstacles encountered when </w:t>
      </w:r>
      <w:r w:rsidRPr="009A5FED">
        <w:t>transform</w:t>
      </w:r>
      <w:r>
        <w:t>ing</w:t>
      </w:r>
      <w:r w:rsidRPr="009A5FED">
        <w:t xml:space="preserve"> written symbols </w:t>
      </w:r>
      <w:r>
        <w:t>in</w:t>
      </w:r>
      <w:r w:rsidRPr="009A5FED">
        <w:t xml:space="preserve">to spoken </w:t>
      </w:r>
      <w:r>
        <w:t>words are</w:t>
      </w:r>
      <w:r w:rsidRPr="009A5FED">
        <w:t xml:space="preserve"> similar to </w:t>
      </w:r>
      <w:r>
        <w:t>problems</w:t>
      </w:r>
      <w:r w:rsidR="00882708">
        <w:t xml:space="preserve"> occurring</w:t>
      </w:r>
      <w:r>
        <w:t xml:space="preserve"> in SLC. It is suggested that mathematics </w:t>
      </w:r>
      <w:r w:rsidR="004D3065">
        <w:t xml:space="preserve">teaching </w:t>
      </w:r>
      <w:r>
        <w:t xml:space="preserve">should include some instructions on how to read symbolic expressions.   </w:t>
      </w:r>
    </w:p>
    <w:p w14:paraId="47CFED6C" w14:textId="63344978" w:rsidR="00A72E1C" w:rsidRDefault="00A72E1C" w:rsidP="00A72E1C">
      <w:pPr>
        <w:pStyle w:val="Rubrik2"/>
      </w:pPr>
      <w:r>
        <w:t>Introduction</w:t>
      </w:r>
    </w:p>
    <w:p w14:paraId="4A0525D6" w14:textId="2A02A4C4" w:rsidR="004D6E7F" w:rsidRPr="000F53BA" w:rsidRDefault="00882708" w:rsidP="004D6E7F">
      <w:pPr>
        <w:pStyle w:val="Brdtext"/>
      </w:pPr>
      <w:r>
        <w:t>Some say that mathematics is a language</w:t>
      </w:r>
      <w:r w:rsidR="004D7635">
        <w:t>,</w:t>
      </w:r>
      <w:r>
        <w:t xml:space="preserve"> and others </w:t>
      </w:r>
      <w:r w:rsidR="00B12721">
        <w:t>think that is not the case</w:t>
      </w:r>
      <w:r>
        <w:t xml:space="preserve"> (Wakefield, 2000). </w:t>
      </w:r>
      <w:r w:rsidR="00B12721">
        <w:t>Nevertheless</w:t>
      </w:r>
      <w:r>
        <w:t>, i</w:t>
      </w:r>
      <w:r w:rsidR="004D6E7F" w:rsidRPr="000F53BA">
        <w:t xml:space="preserve">n mathematics education research, language-rich classroom activities are generally acknowledged as central </w:t>
      </w:r>
      <w:r w:rsidR="004D7635">
        <w:t xml:space="preserve">to </w:t>
      </w:r>
      <w:r w:rsidR="004D6E7F" w:rsidRPr="000F53BA">
        <w:t>learning (Morgan et al., 2014).</w:t>
      </w:r>
      <w:r w:rsidR="00BA793C">
        <w:t xml:space="preserve"> More specific</w:t>
      </w:r>
      <w:r w:rsidR="00BA793C" w:rsidRPr="000F53BA">
        <w:t xml:space="preserve"> suggesti</w:t>
      </w:r>
      <w:r w:rsidR="00BA793C">
        <w:t xml:space="preserve">ons </w:t>
      </w:r>
      <w:r>
        <w:t xml:space="preserve">on the topic </w:t>
      </w:r>
      <w:r w:rsidR="00BA793C">
        <w:t xml:space="preserve">have included </w:t>
      </w:r>
      <w:r w:rsidR="004D7635">
        <w:t xml:space="preserve">teaching mathematics </w:t>
      </w:r>
      <w:r w:rsidR="00BA793C">
        <w:t xml:space="preserve">using methods </w:t>
      </w:r>
      <w:r w:rsidR="00BA793C" w:rsidRPr="000F53BA">
        <w:t xml:space="preserve">common </w:t>
      </w:r>
      <w:r w:rsidR="004D7635">
        <w:t>to</w:t>
      </w:r>
      <w:r w:rsidR="00BA793C">
        <w:t xml:space="preserve"> </w:t>
      </w:r>
      <w:r w:rsidR="00BA793C" w:rsidRPr="000F53BA">
        <w:t>second language learning (Wakefield, 2000; Bossé et al, 2018; Ledibane et al, 2018).</w:t>
      </w:r>
      <w:r w:rsidR="00656BEC">
        <w:t xml:space="preserve"> </w:t>
      </w:r>
      <w:r w:rsidR="00BA793C">
        <w:t>Because</w:t>
      </w:r>
      <w:r w:rsidR="00BA793C" w:rsidRPr="000F53BA">
        <w:t xml:space="preserve"> both language use and the use of mathematics are considered social human activities that are learn</w:t>
      </w:r>
      <w:r w:rsidR="00BA793C">
        <w:t>ed</w:t>
      </w:r>
      <w:r w:rsidR="00BA793C" w:rsidRPr="000F53BA">
        <w:t xml:space="preserve"> in communication with others, this is in tune with other current ideas,</w:t>
      </w:r>
      <w:r w:rsidR="00BA793C">
        <w:t xml:space="preserve"> for example</w:t>
      </w:r>
      <w:r w:rsidR="00BA793C" w:rsidRPr="000F53BA">
        <w:t>, about the benefits of collaborative learning (Laal &amp; Ghodsi, 2012)</w:t>
      </w:r>
      <w:r w:rsidR="00BA793C">
        <w:t xml:space="preserve">. </w:t>
      </w:r>
    </w:p>
    <w:p w14:paraId="42895577" w14:textId="2F74E799" w:rsidR="004D6E7F" w:rsidRPr="000F53BA" w:rsidRDefault="00BA793C" w:rsidP="004D6E7F">
      <w:r>
        <w:t>E</w:t>
      </w:r>
      <w:r w:rsidR="004D6E7F" w:rsidRPr="000F53BA">
        <w:t>nvisioning the learning of mathematics in a functional collaborative environment</w:t>
      </w:r>
      <w:r w:rsidR="001A0486">
        <w:t xml:space="preserve"> typicall</w:t>
      </w:r>
      <w:r w:rsidR="004D6E7F" w:rsidRPr="000F53BA">
        <w:t>y includes students working together on mathematical problems, discussing and reasoning about</w:t>
      </w:r>
      <w:r w:rsidR="005A785B">
        <w:t xml:space="preserve"> </w:t>
      </w:r>
      <w:r w:rsidR="004D6E7F" w:rsidRPr="000F53BA">
        <w:t>concepts and methods, sharing ideas, interpreting different visuals,</w:t>
      </w:r>
      <w:r>
        <w:t xml:space="preserve"> and so on</w:t>
      </w:r>
      <w:r w:rsidR="004D6E7F" w:rsidRPr="000F53BA">
        <w:t>. It might also include students’ advancements in the use and understanding of mathematical symbols.</w:t>
      </w:r>
      <w:r w:rsidR="00D53D9E">
        <w:t xml:space="preserve"> </w:t>
      </w:r>
      <w:r w:rsidR="00A55A35">
        <w:t>In such a collaborative environment</w:t>
      </w:r>
      <w:r w:rsidR="005A785B">
        <w:t>, t</w:t>
      </w:r>
      <w:r w:rsidR="00402786">
        <w:t xml:space="preserve">he students </w:t>
      </w:r>
      <w:r w:rsidR="00EF5207">
        <w:t>will probably</w:t>
      </w:r>
      <w:r w:rsidR="00345E43">
        <w:t>,</w:t>
      </w:r>
      <w:r w:rsidR="00EF5207">
        <w:t xml:space="preserve"> </w:t>
      </w:r>
      <w:r w:rsidR="005A785B">
        <w:t>now and then</w:t>
      </w:r>
      <w:r w:rsidR="00345E43">
        <w:t>,</w:t>
      </w:r>
      <w:r w:rsidR="005A785B">
        <w:t xml:space="preserve"> </w:t>
      </w:r>
      <w:r w:rsidR="00EF5207">
        <w:t xml:space="preserve">need to </w:t>
      </w:r>
      <w:r w:rsidR="00EF5207" w:rsidRPr="000F53BA">
        <w:t>transform written</w:t>
      </w:r>
      <w:r w:rsidR="00EF5207" w:rsidRPr="00A94896">
        <w:t xml:space="preserve"> </w:t>
      </w:r>
      <w:r w:rsidR="00EF5207" w:rsidRPr="000F53BA">
        <w:t>mathematical expressions into speech.</w:t>
      </w:r>
      <w:r w:rsidR="00EF5207">
        <w:t xml:space="preserve"> </w:t>
      </w:r>
      <w:r w:rsidR="00353E5F">
        <w:t>Intriguingly</w:t>
      </w:r>
      <w:r w:rsidR="00E208C3">
        <w:t xml:space="preserve">, little is known about </w:t>
      </w:r>
      <w:r w:rsidR="00240F52">
        <w:t xml:space="preserve">what happens </w:t>
      </w:r>
      <w:r w:rsidR="00EF5207">
        <w:t>in such situations</w:t>
      </w:r>
      <w:r w:rsidR="00CF27C3">
        <w:t xml:space="preserve">, </w:t>
      </w:r>
      <w:r w:rsidR="004D6E7F" w:rsidRPr="000F53BA">
        <w:t xml:space="preserve">and </w:t>
      </w:r>
      <w:r w:rsidR="00CF27C3" w:rsidRPr="000F53BA">
        <w:t>due to the characteristics of the mathematical symbol system</w:t>
      </w:r>
      <w:r w:rsidR="00CF27C3">
        <w:t xml:space="preserve">, it </w:t>
      </w:r>
      <w:r w:rsidR="004D6E7F" w:rsidRPr="000F53BA">
        <w:t xml:space="preserve">might involve some </w:t>
      </w:r>
      <w:r w:rsidR="005A785B">
        <w:t>chall</w:t>
      </w:r>
      <w:r w:rsidR="00485A85">
        <w:t>e</w:t>
      </w:r>
      <w:r w:rsidR="005A785B">
        <w:t>nges</w:t>
      </w:r>
      <w:r w:rsidR="004D6E7F" w:rsidRPr="000F53BA">
        <w:t xml:space="preserve">.  </w:t>
      </w:r>
    </w:p>
    <w:p w14:paraId="0D11F341" w14:textId="01790F34" w:rsidR="004D6E7F" w:rsidRPr="000F53BA" w:rsidRDefault="004D6E7F" w:rsidP="005A785B">
      <w:r w:rsidRPr="000F53BA">
        <w:t xml:space="preserve">Mathematical symbols are used to represent values, operations, functions, </w:t>
      </w:r>
      <w:r w:rsidR="00D16470">
        <w:t xml:space="preserve">and </w:t>
      </w:r>
      <w:r w:rsidRPr="000F53BA">
        <w:t>patterns</w:t>
      </w:r>
      <w:r w:rsidR="00D16470">
        <w:t>.</w:t>
      </w:r>
      <w:r w:rsidRPr="000F53BA">
        <w:t xml:space="preserve"> </w:t>
      </w:r>
      <w:r w:rsidR="004D7635">
        <w:t>I</w:t>
      </w:r>
      <w:r w:rsidRPr="000F53BA">
        <w:t xml:space="preserve">t </w:t>
      </w:r>
      <w:r w:rsidR="004D7635">
        <w:t>is</w:t>
      </w:r>
      <w:r w:rsidRPr="000F53BA">
        <w:t xml:space="preserve"> a written system, </w:t>
      </w:r>
      <w:r w:rsidR="00D16470">
        <w:t xml:space="preserve">where the signs relate to their content by convention </w:t>
      </w:r>
      <w:r w:rsidRPr="000F53BA">
        <w:t xml:space="preserve">(Pimm, 1987). In contrast to the reading of alphabetical languages, </w:t>
      </w:r>
      <w:r w:rsidR="000B2377">
        <w:t xml:space="preserve">where </w:t>
      </w:r>
      <w:r w:rsidR="003B0EC4">
        <w:t xml:space="preserve">words can be </w:t>
      </w:r>
      <w:r w:rsidR="003B0EC4">
        <w:lastRenderedPageBreak/>
        <w:t xml:space="preserve">spelled out syllable by syllable, </w:t>
      </w:r>
      <w:r w:rsidR="00D16470">
        <w:t xml:space="preserve">the reading </w:t>
      </w:r>
      <w:r w:rsidR="00345E43">
        <w:t xml:space="preserve">aloud </w:t>
      </w:r>
      <w:r w:rsidR="00D16470">
        <w:t xml:space="preserve">of </w:t>
      </w:r>
      <w:r w:rsidRPr="000F53BA">
        <w:t>mathematical symbols require</w:t>
      </w:r>
      <w:r w:rsidR="002356B8">
        <w:t xml:space="preserve">s </w:t>
      </w:r>
      <w:r w:rsidR="00D16470">
        <w:t>the reader to have experience either with the sound, or an alphabetical translation, of the symbols before they can read themselves</w:t>
      </w:r>
      <w:r w:rsidR="00A72E1C">
        <w:t xml:space="preserve">. </w:t>
      </w:r>
      <w:r w:rsidRPr="000F53BA">
        <w:t xml:space="preserve">An additional peculiarity </w:t>
      </w:r>
      <w:r w:rsidR="00EF2569">
        <w:t>is</w:t>
      </w:r>
      <w:r w:rsidRPr="000F53BA">
        <w:t xml:space="preserve"> that a reader, despite knowing the name of every single symbol included in a mathematical expression, </w:t>
      </w:r>
      <w:r w:rsidR="00BA793C">
        <w:t>can</w:t>
      </w:r>
      <w:r w:rsidRPr="000F53BA">
        <w:t xml:space="preserve"> </w:t>
      </w:r>
      <w:r w:rsidR="004D7635">
        <w:t xml:space="preserve">still </w:t>
      </w:r>
      <w:r w:rsidRPr="000F53BA">
        <w:t xml:space="preserve">be unable to perform the interpretation necessary </w:t>
      </w:r>
      <w:r w:rsidR="005221A3">
        <w:t xml:space="preserve">to </w:t>
      </w:r>
      <w:r w:rsidR="00334FDE">
        <w:t>express it orally</w:t>
      </w:r>
      <w:r w:rsidRPr="000F53BA">
        <w:t xml:space="preserve">. </w:t>
      </w:r>
      <w:r w:rsidR="00BA793C">
        <w:t>D</w:t>
      </w:r>
      <w:r w:rsidR="00BA793C" w:rsidRPr="000F53BA">
        <w:t xml:space="preserve">ifferences in </w:t>
      </w:r>
      <w:r w:rsidR="004D7635">
        <w:t xml:space="preserve">the </w:t>
      </w:r>
      <w:r w:rsidR="00BA793C" w:rsidRPr="000F53BA">
        <w:t xml:space="preserve">size and spatial location of a symbol can completely change its </w:t>
      </w:r>
      <w:r w:rsidR="00C61DE0">
        <w:t xml:space="preserve">meaning </w:t>
      </w:r>
      <w:r w:rsidR="00BA793C">
        <w:t xml:space="preserve">and how it is </w:t>
      </w:r>
      <w:r w:rsidR="00A72E1C">
        <w:t>read</w:t>
      </w:r>
      <w:r w:rsidR="00BA793C">
        <w:t>. Consequently, the reading become</w:t>
      </w:r>
      <w:r w:rsidR="004D7635">
        <w:t>s</w:t>
      </w:r>
      <w:r w:rsidR="00BA793C">
        <w:t xml:space="preserve"> different fr</w:t>
      </w:r>
      <w:r w:rsidR="005910C8">
        <w:t>o</w:t>
      </w:r>
      <w:r w:rsidR="00BA793C">
        <w:t xml:space="preserve">m </w:t>
      </w:r>
      <w:r w:rsidR="004D7635">
        <w:t xml:space="preserve">the </w:t>
      </w:r>
      <w:r w:rsidR="00BA793C">
        <w:t xml:space="preserve">reading of </w:t>
      </w:r>
      <w:r w:rsidR="00C10D9F">
        <w:t xml:space="preserve">the </w:t>
      </w:r>
      <w:r w:rsidR="00BA793C">
        <w:t xml:space="preserve">ordinary </w:t>
      </w:r>
      <w:r w:rsidR="00C10D9F">
        <w:t xml:space="preserve">Swedish </w:t>
      </w:r>
      <w:r w:rsidR="00BA793C">
        <w:t xml:space="preserve">language. </w:t>
      </w:r>
      <w:r w:rsidRPr="000F53BA">
        <w:t>For example, the reading order is not necessarily left-to-right and top-to-bottom</w:t>
      </w:r>
      <w:r w:rsidR="00BA793C">
        <w:t>.</w:t>
      </w:r>
      <w:r w:rsidR="005A785B">
        <w:t xml:space="preserve"> </w:t>
      </w:r>
      <w:r w:rsidR="00BA793C" w:rsidRPr="000F53BA">
        <w:t>Further</w:t>
      </w:r>
      <w:r w:rsidR="00BA793C">
        <w:t>more</w:t>
      </w:r>
      <w:r w:rsidR="00BA793C" w:rsidRPr="000F53BA">
        <w:t>, there is often more than one option on how to write an expression</w:t>
      </w:r>
      <w:r w:rsidR="004D7635">
        <w:t>. C</w:t>
      </w:r>
      <w:r w:rsidR="00BA793C" w:rsidRPr="000F53BA">
        <w:t xml:space="preserve">ompare, for example,  </w:t>
      </w: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5</m:t>
            </m:r>
          </m:den>
        </m:f>
      </m:oMath>
      <w:r w:rsidR="00BA793C" w:rsidRPr="000F53BA">
        <w:t xml:space="preserve"> ,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oMath>
      <w:r w:rsidR="00BA793C" w:rsidRPr="000F53BA">
        <w:t xml:space="preserve"> and (</w:t>
      </w:r>
      <m:oMath>
        <m:r>
          <w:rPr>
            <w:rFonts w:ascii="Cambria Math" w:hAnsi="Cambria Math"/>
          </w:rPr>
          <m:t>x</m:t>
        </m:r>
        <m:r>
          <m:rPr>
            <m:sty m:val="p"/>
          </m:rPr>
          <w:rPr>
            <w:rFonts w:ascii="Cambria Math" w:hAnsi="Cambria Math"/>
          </w:rPr>
          <m:t xml:space="preserve">^2)/5. </m:t>
        </m:r>
      </m:oMath>
      <w:r w:rsidR="004D7635">
        <w:t xml:space="preserve">The possibility </w:t>
      </w:r>
      <w:r w:rsidR="005910C8">
        <w:t xml:space="preserve">to </w:t>
      </w:r>
      <w:r w:rsidR="00A72E1C">
        <w:t>read</w:t>
      </w:r>
      <w:r w:rsidR="004D7635">
        <w:t xml:space="preserve"> an expression in several ways is also common</w:t>
      </w:r>
      <w:r w:rsidRPr="000F53BA">
        <w:t xml:space="preserve">. Consider, for example, </w:t>
      </w:r>
      <m:oMath>
        <m:r>
          <w:rPr>
            <w:rFonts w:ascii="Cambria Math" w:hAnsi="Cambria Math"/>
          </w:rPr>
          <m:t>y</m:t>
        </m:r>
        <m:r>
          <m:rPr>
            <m:sty m:val="p"/>
          </m:rPr>
          <w:rPr>
            <w:rFonts w:ascii="Cambria Math" w:hAnsi="Cambria Math"/>
          </w:rPr>
          <m:t>''</m:t>
        </m:r>
      </m:oMath>
      <w:r w:rsidRPr="000F53BA">
        <w:t xml:space="preserve"> which can be read</w:t>
      </w:r>
      <w:r w:rsidR="005910C8">
        <w:t xml:space="preserve"> as</w:t>
      </w:r>
      <w:r w:rsidRPr="000F53BA">
        <w:t xml:space="preserve"> “y-double-prime” just as well as “the second derivative of y”</w:t>
      </w:r>
      <w:r w:rsidR="00BA793C">
        <w:t>. B</w:t>
      </w:r>
      <w:r w:rsidR="00BA793C" w:rsidRPr="000F53BA">
        <w:t>oth</w:t>
      </w:r>
      <w:r w:rsidR="00BA793C">
        <w:t xml:space="preserve"> are </w:t>
      </w:r>
      <w:r w:rsidR="00BA793C" w:rsidRPr="000F53BA">
        <w:t>mathematically acceptable</w:t>
      </w:r>
      <w:r w:rsidR="00BA793C">
        <w:t>.</w:t>
      </w:r>
      <w:r w:rsidR="00BA793C" w:rsidRPr="000F53BA">
        <w:t xml:space="preserve"> </w:t>
      </w:r>
      <w:r w:rsidR="00BA793C">
        <w:t>Yet, t</w:t>
      </w:r>
      <w:r w:rsidRPr="000F53BA">
        <w:t>he latter</w:t>
      </w:r>
      <w:r w:rsidR="004D7635">
        <w:t xml:space="preserve"> </w:t>
      </w:r>
      <w:r w:rsidR="00BA793C">
        <w:t xml:space="preserve">alternative is </w:t>
      </w:r>
      <w:r w:rsidRPr="000F53BA">
        <w:t>a more interpretive form of re</w:t>
      </w:r>
      <w:r>
        <w:t>a</w:t>
      </w:r>
      <w:r w:rsidRPr="000F53BA">
        <w:t xml:space="preserve">ding </w:t>
      </w:r>
      <w:r w:rsidR="00C10D9F">
        <w:t xml:space="preserve">than </w:t>
      </w:r>
      <w:r w:rsidRPr="000F53BA">
        <w:t xml:space="preserve">the former (Pimm, 1987). </w:t>
      </w:r>
    </w:p>
    <w:p w14:paraId="1C3D4387" w14:textId="7DF7BCE9" w:rsidR="000D3CA5" w:rsidRDefault="00782A1F" w:rsidP="0016099B">
      <w:r>
        <w:t xml:space="preserve">At the time </w:t>
      </w:r>
      <w:r w:rsidR="005A785B">
        <w:t xml:space="preserve">I started to develop an interest in reading in mathematics, previous research had shown </w:t>
      </w:r>
      <w:r w:rsidR="005A785B" w:rsidRPr="005A785B">
        <w:rPr>
          <w:rStyle w:val="cf01"/>
          <w:rFonts w:ascii="Times New Roman" w:hAnsi="Times New Roman" w:cs="Times New Roman"/>
          <w:sz w:val="26"/>
          <w:szCs w:val="26"/>
        </w:rPr>
        <w:t xml:space="preserve">that </w:t>
      </w:r>
      <w:r w:rsidR="005A785B" w:rsidRPr="00D16470">
        <w:rPr>
          <w:rStyle w:val="cf01"/>
          <w:rFonts w:ascii="Times New Roman" w:hAnsi="Times New Roman" w:cs="Times New Roman"/>
          <w:sz w:val="26"/>
          <w:szCs w:val="26"/>
        </w:rPr>
        <w:t>silent</w:t>
      </w:r>
      <w:r w:rsidR="005A785B" w:rsidRPr="005A785B">
        <w:rPr>
          <w:rStyle w:val="cf01"/>
          <w:rFonts w:ascii="Times New Roman" w:hAnsi="Times New Roman" w:cs="Times New Roman"/>
          <w:sz w:val="26"/>
          <w:szCs w:val="26"/>
        </w:rPr>
        <w:t xml:space="preserve"> reading of texts with mathematical symbols </w:t>
      </w:r>
      <w:r w:rsidR="005A785B">
        <w:rPr>
          <w:rStyle w:val="cf01"/>
          <w:rFonts w:ascii="Times New Roman" w:hAnsi="Times New Roman" w:cs="Times New Roman"/>
          <w:sz w:val="26"/>
          <w:szCs w:val="26"/>
        </w:rPr>
        <w:t xml:space="preserve">interwoven </w:t>
      </w:r>
      <w:r w:rsidR="005A785B" w:rsidRPr="005A785B">
        <w:rPr>
          <w:rStyle w:val="cf01"/>
          <w:rFonts w:ascii="Times New Roman" w:hAnsi="Times New Roman" w:cs="Times New Roman"/>
          <w:sz w:val="26"/>
          <w:szCs w:val="26"/>
        </w:rPr>
        <w:t>in sentences w</w:t>
      </w:r>
      <w:r w:rsidR="00D16470">
        <w:rPr>
          <w:rStyle w:val="cf01"/>
          <w:rFonts w:ascii="Times New Roman" w:hAnsi="Times New Roman" w:cs="Times New Roman"/>
          <w:sz w:val="26"/>
          <w:szCs w:val="26"/>
        </w:rPr>
        <w:t>as</w:t>
      </w:r>
      <w:r w:rsidR="005A785B" w:rsidRPr="005A785B">
        <w:rPr>
          <w:rStyle w:val="cf01"/>
          <w:rFonts w:ascii="Times New Roman" w:hAnsi="Times New Roman" w:cs="Times New Roman"/>
          <w:sz w:val="26"/>
          <w:szCs w:val="26"/>
        </w:rPr>
        <w:t xml:space="preserve"> more difficult than </w:t>
      </w:r>
      <w:r w:rsidR="00D16470">
        <w:rPr>
          <w:rStyle w:val="cf01"/>
          <w:rFonts w:ascii="Times New Roman" w:hAnsi="Times New Roman" w:cs="Times New Roman"/>
          <w:sz w:val="26"/>
          <w:szCs w:val="26"/>
        </w:rPr>
        <w:t xml:space="preserve">the reading of </w:t>
      </w:r>
      <w:r w:rsidR="005A785B" w:rsidRPr="005A785B">
        <w:rPr>
          <w:rStyle w:val="cf01"/>
          <w:rFonts w:ascii="Times New Roman" w:hAnsi="Times New Roman" w:cs="Times New Roman"/>
          <w:sz w:val="26"/>
          <w:szCs w:val="26"/>
        </w:rPr>
        <w:t>texts without any mathematical symbols</w:t>
      </w:r>
      <w:r w:rsidR="005A785B">
        <w:rPr>
          <w:rStyle w:val="cf01"/>
          <w:rFonts w:ascii="Times New Roman" w:hAnsi="Times New Roman" w:cs="Times New Roman"/>
          <w:sz w:val="26"/>
          <w:szCs w:val="26"/>
        </w:rPr>
        <w:t xml:space="preserve"> </w:t>
      </w:r>
      <w:r w:rsidR="00144463" w:rsidRPr="005A785B">
        <w:rPr>
          <w:szCs w:val="26"/>
        </w:rPr>
        <w:t>(Österholm, 2006</w:t>
      </w:r>
      <w:r w:rsidR="00144463" w:rsidRPr="005E3983">
        <w:t>)</w:t>
      </w:r>
      <w:r w:rsidR="00911D78" w:rsidRPr="005E3983">
        <w:t>.</w:t>
      </w:r>
      <w:r w:rsidR="00BD036F" w:rsidRPr="005E3983">
        <w:t xml:space="preserve"> Intrigued</w:t>
      </w:r>
      <w:r w:rsidR="00BD036F">
        <w:t xml:space="preserve"> by</w:t>
      </w:r>
      <w:r w:rsidR="00AD211B">
        <w:t xml:space="preserve"> th</w:t>
      </w:r>
      <w:r w:rsidR="006867EA">
        <w:t>ose results</w:t>
      </w:r>
      <w:r w:rsidR="00641CE9">
        <w:t xml:space="preserve">, </w:t>
      </w:r>
      <w:r w:rsidR="008B1ACD">
        <w:t>I did some work</w:t>
      </w:r>
      <w:r w:rsidR="00DB03BC">
        <w:t xml:space="preserve"> </w:t>
      </w:r>
      <w:r w:rsidR="005A785B">
        <w:t>f</w:t>
      </w:r>
      <w:r w:rsidR="00D74A86">
        <w:t xml:space="preserve">ocused on </w:t>
      </w:r>
      <w:r w:rsidR="00A47C33">
        <w:t xml:space="preserve">the </w:t>
      </w:r>
      <w:r w:rsidR="00744066">
        <w:t>variation</w:t>
      </w:r>
      <w:r w:rsidR="00F30DF9">
        <w:t xml:space="preserve"> in wor</w:t>
      </w:r>
      <w:r w:rsidR="003877E0">
        <w:t xml:space="preserve">d use </w:t>
      </w:r>
      <w:r w:rsidR="009D35D0">
        <w:t xml:space="preserve">in </w:t>
      </w:r>
      <w:r w:rsidR="0070418C">
        <w:t xml:space="preserve">reading </w:t>
      </w:r>
      <w:r w:rsidR="00085B87">
        <w:t xml:space="preserve">aloud </w:t>
      </w:r>
      <w:r w:rsidR="0070418C">
        <w:t xml:space="preserve">of </w:t>
      </w:r>
      <w:r w:rsidR="00B014C8">
        <w:t xml:space="preserve">mathematical symbols </w:t>
      </w:r>
      <w:r w:rsidR="003620FC">
        <w:t xml:space="preserve">to </w:t>
      </w:r>
      <w:r w:rsidR="00D61E9A">
        <w:t>find hint</w:t>
      </w:r>
      <w:r w:rsidR="001E12AB">
        <w:t>s</w:t>
      </w:r>
      <w:r w:rsidR="00D61E9A">
        <w:t xml:space="preserve"> on what </w:t>
      </w:r>
      <w:r w:rsidR="00AB2331">
        <w:t>could</w:t>
      </w:r>
      <w:r w:rsidR="0070418C">
        <w:t xml:space="preserve"> be disturbing</w:t>
      </w:r>
      <w:r w:rsidR="00D16470">
        <w:t xml:space="preserve"> the readers</w:t>
      </w:r>
      <w:r w:rsidR="0070418C">
        <w:t xml:space="preserve"> </w:t>
      </w:r>
      <w:r w:rsidR="00E9348E">
        <w:t>(</w:t>
      </w:r>
      <w:r w:rsidR="00EC4E70" w:rsidRPr="00EC4E70">
        <w:rPr>
          <w:shd w:val="clear" w:color="auto" w:fill="FFFFFF"/>
        </w:rPr>
        <w:t>Hultdin, 2013</w:t>
      </w:r>
      <w:r w:rsidR="00E9348E">
        <w:t>)</w:t>
      </w:r>
      <w:r w:rsidR="00824C44">
        <w:t>.</w:t>
      </w:r>
      <w:r w:rsidR="00477E78">
        <w:t xml:space="preserve"> </w:t>
      </w:r>
      <w:r w:rsidR="002F3AD6">
        <w:t xml:space="preserve">While </w:t>
      </w:r>
      <w:r w:rsidR="00D421E0">
        <w:t>listening</w:t>
      </w:r>
      <w:r w:rsidR="00E9348E">
        <w:t xml:space="preserve"> to </w:t>
      </w:r>
      <w:r w:rsidR="001E12AB">
        <w:t xml:space="preserve">some </w:t>
      </w:r>
      <w:r w:rsidR="008F60A0">
        <w:t xml:space="preserve">recordings of students </w:t>
      </w:r>
      <w:r w:rsidR="00B014C8">
        <w:t xml:space="preserve">that were </w:t>
      </w:r>
      <w:r w:rsidR="008F60A0">
        <w:t xml:space="preserve">reading </w:t>
      </w:r>
      <w:r w:rsidR="009C0970">
        <w:t>mathematical expressions</w:t>
      </w:r>
      <w:r w:rsidR="00477E78">
        <w:t>,</w:t>
      </w:r>
      <w:r w:rsidR="00D421E0">
        <w:t xml:space="preserve"> </w:t>
      </w:r>
      <w:r w:rsidR="002F3AD6">
        <w:t xml:space="preserve">I </w:t>
      </w:r>
      <w:r w:rsidR="00C61DE0">
        <w:t xml:space="preserve">surprisingly </w:t>
      </w:r>
      <w:r w:rsidR="00B80AEE">
        <w:t>found the</w:t>
      </w:r>
      <w:r w:rsidR="008917FB">
        <w:t>ir</w:t>
      </w:r>
      <w:r w:rsidR="00B80AEE">
        <w:t xml:space="preserve"> </w:t>
      </w:r>
      <w:r w:rsidR="000919EA">
        <w:t xml:space="preserve">struggle </w:t>
      </w:r>
      <w:r w:rsidR="009C0970">
        <w:t xml:space="preserve">to be </w:t>
      </w:r>
      <w:r w:rsidR="00B80AEE">
        <w:t>very</w:t>
      </w:r>
      <w:r w:rsidR="002F3AD6">
        <w:t xml:space="preserve"> familiar</w:t>
      </w:r>
      <w:r w:rsidR="00FD179C">
        <w:t xml:space="preserve">; </w:t>
      </w:r>
      <w:r w:rsidR="00C54A08">
        <w:t xml:space="preserve">were they not behaving </w:t>
      </w:r>
      <w:r w:rsidR="00085B87">
        <w:t xml:space="preserve">in a </w:t>
      </w:r>
      <w:r w:rsidR="00FD179C">
        <w:t xml:space="preserve">similar </w:t>
      </w:r>
      <w:r w:rsidR="00085B87">
        <w:t xml:space="preserve">way </w:t>
      </w:r>
      <w:r w:rsidR="00FD179C">
        <w:t xml:space="preserve">to </w:t>
      </w:r>
      <w:r w:rsidR="00DF58CE">
        <w:t xml:space="preserve">persons </w:t>
      </w:r>
      <w:r w:rsidR="00DD6EA6">
        <w:t>trying</w:t>
      </w:r>
      <w:r w:rsidR="00B46A22">
        <w:t xml:space="preserve"> </w:t>
      </w:r>
      <w:r w:rsidR="00B6598A">
        <w:t>to express something in a second language?</w:t>
      </w:r>
      <w:r w:rsidR="0016099B">
        <w:t xml:space="preserve"> </w:t>
      </w:r>
      <w:r w:rsidR="00F53C85" w:rsidRPr="000F53BA">
        <w:t xml:space="preserve">Considering the special characteristics of the symbol system, it is not a farfetched assumption to think that students will sometimes experience a lack </w:t>
      </w:r>
      <w:r w:rsidR="00F53C85">
        <w:t>of</w:t>
      </w:r>
      <w:r w:rsidR="00F53C85" w:rsidRPr="000F53BA">
        <w:t xml:space="preserve"> vocabulary</w:t>
      </w:r>
      <w:r w:rsidR="005A785B">
        <w:t>,</w:t>
      </w:r>
      <w:r w:rsidR="00F53C85" w:rsidRPr="000F53BA">
        <w:t xml:space="preserve"> o</w:t>
      </w:r>
      <w:r w:rsidR="005A785B">
        <w:t xml:space="preserve">r challenges </w:t>
      </w:r>
      <w:r w:rsidR="00F53C85" w:rsidRPr="000F53BA">
        <w:t>with the interpretation</w:t>
      </w:r>
      <w:r w:rsidR="005A785B">
        <w:t>,</w:t>
      </w:r>
      <w:r w:rsidR="005515BA" w:rsidRPr="005515BA">
        <w:t xml:space="preserve"> </w:t>
      </w:r>
      <w:r w:rsidR="005515BA" w:rsidRPr="000F53BA">
        <w:t>when transforming a somewhat unfamiliar written mathematical expression into speech</w:t>
      </w:r>
      <w:r w:rsidR="005515BA">
        <w:t>.</w:t>
      </w:r>
      <w:r w:rsidR="00796FD3">
        <w:t xml:space="preserve"> This</w:t>
      </w:r>
      <w:r w:rsidR="00CC7BF4">
        <w:t xml:space="preserve"> could cause a stall,</w:t>
      </w:r>
      <w:r w:rsidR="005A785B">
        <w:t xml:space="preserve"> which </w:t>
      </w:r>
      <w:r w:rsidR="007F64EE">
        <w:t>has to be overcome</w:t>
      </w:r>
      <w:r w:rsidR="00D16470">
        <w:t>, and to overcome it, some strategy is needed.</w:t>
      </w:r>
    </w:p>
    <w:p w14:paraId="50259C97" w14:textId="37826FD1" w:rsidR="000D3CA5" w:rsidRDefault="00141E04" w:rsidP="000D3CA5">
      <w:pPr>
        <w:pStyle w:val="Rubrik2"/>
      </w:pPr>
      <w:r>
        <w:t xml:space="preserve">Second language </w:t>
      </w:r>
      <w:r w:rsidR="007F4F51">
        <w:t xml:space="preserve">communication </w:t>
      </w:r>
      <w:r>
        <w:t>strategies</w:t>
      </w:r>
      <w:r w:rsidR="000D3CA5" w:rsidRPr="007E4856">
        <w:t xml:space="preserve"> </w:t>
      </w:r>
    </w:p>
    <w:p w14:paraId="4DF53AB3" w14:textId="19085AB0" w:rsidR="000D3CA5" w:rsidRDefault="000D3CA5" w:rsidP="000D3CA5">
      <w:pPr>
        <w:pStyle w:val="Brdtext"/>
      </w:pPr>
      <w:r>
        <w:t xml:space="preserve">To </w:t>
      </w:r>
      <w:r w:rsidRPr="000F53BA">
        <w:t xml:space="preserve">experience </w:t>
      </w:r>
      <w:r>
        <w:t xml:space="preserve">a </w:t>
      </w:r>
      <w:r w:rsidRPr="000F53BA">
        <w:t xml:space="preserve">lack of vocabulary or grammar difficulties that threaten to interrupt or impair communication </w:t>
      </w:r>
      <w:r>
        <w:t>is</w:t>
      </w:r>
      <w:r w:rsidRPr="000F53BA">
        <w:t xml:space="preserve"> common </w:t>
      </w:r>
      <w:r>
        <w:t>f</w:t>
      </w:r>
      <w:r w:rsidRPr="000F53BA">
        <w:t>or second</w:t>
      </w:r>
      <w:r>
        <w:t xml:space="preserve"> </w:t>
      </w:r>
      <w:r w:rsidRPr="000F53BA">
        <w:t xml:space="preserve">language (L2) </w:t>
      </w:r>
      <w:r w:rsidR="00C61DE0">
        <w:t>speakers</w:t>
      </w:r>
      <w:r w:rsidRPr="000F53BA">
        <w:t xml:space="preserve">. In </w:t>
      </w:r>
      <w:r>
        <w:t xml:space="preserve">such </w:t>
      </w:r>
      <w:r w:rsidRPr="000F53BA">
        <w:t>situations, a plethora of second</w:t>
      </w:r>
      <w:r>
        <w:t xml:space="preserve"> </w:t>
      </w:r>
      <w:r w:rsidRPr="000F53BA">
        <w:t>language communication (SLC) strategies have been found to come into service. Different taxonomies describe different strategy types under different names</w:t>
      </w:r>
      <w:r w:rsidR="00614CFC">
        <w:t xml:space="preserve"> </w:t>
      </w:r>
      <w:r w:rsidRPr="000F53BA">
        <w:t>but, in the end, there seem to be more similarities than differences between these descriptions (Avval, 2012). In 1997, Dörnyei and Scott summari</w:t>
      </w:r>
      <w:r>
        <w:t>z</w:t>
      </w:r>
      <w:r w:rsidRPr="000F53BA">
        <w:t>ed all the communica</w:t>
      </w:r>
      <w:r w:rsidR="00141E04">
        <w:t>-</w:t>
      </w:r>
      <w:r w:rsidRPr="000F53BA">
        <w:t xml:space="preserve">tion strategies proposed </w:t>
      </w:r>
      <w:r w:rsidR="00390681">
        <w:t>to date</w:t>
      </w:r>
      <w:r w:rsidR="00E81AA8">
        <w:t xml:space="preserve"> </w:t>
      </w:r>
      <w:r w:rsidRPr="000F53BA">
        <w:t>and</w:t>
      </w:r>
      <w:r w:rsidR="00E81AA8">
        <w:t xml:space="preserve"> </w:t>
      </w:r>
      <w:r w:rsidRPr="000F53BA">
        <w:t>divided them into three main groups: direct strategies, interactional strategies, and indirect strategies. Direct strategies concern,</w:t>
      </w:r>
      <w:r>
        <w:t xml:space="preserve"> for example</w:t>
      </w:r>
      <w:r w:rsidRPr="000F53BA">
        <w:t>, change in vocabulary but also self-repair and mumbling. Interactional strategies include asking for help, clarification, and repetition. The indirect strategies are performance-related or related to time</w:t>
      </w:r>
      <w:r>
        <w:t xml:space="preserve"> </w:t>
      </w:r>
      <w:r w:rsidRPr="000F53BA">
        <w:t xml:space="preserve">pressure and include, for example, </w:t>
      </w:r>
      <w:r>
        <w:t>marking</w:t>
      </w:r>
      <w:r w:rsidRPr="000F53BA">
        <w:t xml:space="preserve"> uncertainty about the message (performance</w:t>
      </w:r>
      <w:r>
        <w:t>-</w:t>
      </w:r>
      <w:r w:rsidRPr="000F53BA">
        <w:t>related),</w:t>
      </w:r>
      <w:r>
        <w:t xml:space="preserve"> or using</w:t>
      </w:r>
      <w:r w:rsidRPr="000F53BA">
        <w:t xml:space="preserve"> filling words to keep the communication channel open (time</w:t>
      </w:r>
      <w:r>
        <w:t xml:space="preserve"> </w:t>
      </w:r>
      <w:r w:rsidRPr="000F53BA">
        <w:t>pressure</w:t>
      </w:r>
      <w:r>
        <w:t>-</w:t>
      </w:r>
      <w:r w:rsidRPr="000F53BA">
        <w:t xml:space="preserve">related). </w:t>
      </w:r>
    </w:p>
    <w:p w14:paraId="412C00C0" w14:textId="342A26F1" w:rsidR="000D3CA5" w:rsidRDefault="000D3CA5" w:rsidP="00D468CC">
      <w:r>
        <w:lastRenderedPageBreak/>
        <w:t xml:space="preserve">Not only in situations of oral communication but also when written language is translated from a first language to L2, </w:t>
      </w:r>
      <w:r w:rsidRPr="00776494">
        <w:t xml:space="preserve">SLC strategies </w:t>
      </w:r>
      <w:r w:rsidR="00390681">
        <w:t xml:space="preserve">come into play </w:t>
      </w:r>
      <w:r w:rsidRPr="00776494">
        <w:t>(Rabab'ah, 2008)</w:t>
      </w:r>
      <w:r>
        <w:t>. T</w:t>
      </w:r>
      <w:r w:rsidR="005A785B">
        <w:t>ransforming</w:t>
      </w:r>
      <w:r w:rsidR="00C710A5">
        <w:t xml:space="preserve"> symbolic expressions into </w:t>
      </w:r>
      <w:r w:rsidR="00C710A5" w:rsidRPr="00776494">
        <w:t>speech</w:t>
      </w:r>
      <w:r>
        <w:t xml:space="preserve"> </w:t>
      </w:r>
      <w:r w:rsidR="005A785B">
        <w:t>bears</w:t>
      </w:r>
      <w:r w:rsidR="00C710A5" w:rsidRPr="00776494">
        <w:t xml:space="preserve"> some resemblance to</w:t>
      </w:r>
      <w:r w:rsidR="00C710A5">
        <w:t xml:space="preserve"> the situation when</w:t>
      </w:r>
      <w:r w:rsidR="00C710A5" w:rsidRPr="00776494">
        <w:t xml:space="preserve"> </w:t>
      </w:r>
      <w:r>
        <w:t xml:space="preserve">one written language </w:t>
      </w:r>
      <w:r w:rsidR="005A785B">
        <w:t xml:space="preserve">is translated </w:t>
      </w:r>
      <w:r>
        <w:t>to another</w:t>
      </w:r>
      <w:r w:rsidR="00B846A4">
        <w:t>, at least on the surface</w:t>
      </w:r>
      <w:r>
        <w:t xml:space="preserve">. First, the starting point is a written text. Second, the written symbols, and sometimes even the </w:t>
      </w:r>
      <w:r w:rsidR="00DF1379">
        <w:t xml:space="preserve">meaning </w:t>
      </w:r>
      <w:r>
        <w:t xml:space="preserve">of them, </w:t>
      </w:r>
      <w:r w:rsidR="000F31F1">
        <w:t xml:space="preserve">can be </w:t>
      </w:r>
      <w:r>
        <w:t xml:space="preserve">more familiar than their “translation”. Third, there is not always a one-to-one transformation; a symbolic expression can often be transformed into several adequate oral expressions.   </w:t>
      </w:r>
    </w:p>
    <w:p w14:paraId="7DA37EC8" w14:textId="3727553E" w:rsidR="007E4856" w:rsidRDefault="004D6E7F" w:rsidP="00337EA6">
      <w:r>
        <w:t>In th</w:t>
      </w:r>
      <w:r w:rsidR="0031289C">
        <w:t>e present</w:t>
      </w:r>
      <w:r>
        <w:t xml:space="preserve"> study, the purpose is to gain knowledge about what happens in a situation where students </w:t>
      </w:r>
      <w:r w:rsidR="00A72E1C">
        <w:t xml:space="preserve">read out </w:t>
      </w:r>
      <w:r>
        <w:t xml:space="preserve">symbolic expressions </w:t>
      </w:r>
      <w:r w:rsidR="00BA793C">
        <w:t xml:space="preserve">with which they are </w:t>
      </w:r>
      <w:r>
        <w:t>not completely familiar.</w:t>
      </w:r>
      <w:r w:rsidR="00D476DA">
        <w:t xml:space="preserve"> </w:t>
      </w:r>
      <w:r>
        <w:t xml:space="preserve">The focus is on the transformation of </w:t>
      </w:r>
      <w:r w:rsidR="00D476DA">
        <w:t xml:space="preserve">written </w:t>
      </w:r>
      <w:r>
        <w:t xml:space="preserve">symbols into speech, and the question </w:t>
      </w:r>
      <w:r w:rsidR="00225AE6">
        <w:t>addressed is</w:t>
      </w:r>
      <w:r>
        <w:t>:</w:t>
      </w:r>
      <w:r w:rsidR="00B846A4">
        <w:t xml:space="preserve"> </w:t>
      </w:r>
      <w:r>
        <w:t>What strategies can be identified when students read less familiar mathematical expressions</w:t>
      </w:r>
      <w:r w:rsidR="006C374B">
        <w:t xml:space="preserve"> aloud</w:t>
      </w:r>
      <w:r>
        <w:t>?</w:t>
      </w:r>
      <w:r w:rsidR="007806EE">
        <w:t xml:space="preserve"> </w:t>
      </w:r>
      <w:r w:rsidR="00337EA6">
        <w:t>T</w:t>
      </w:r>
      <w:r w:rsidR="00D476DA">
        <w:t xml:space="preserve">he aim is </w:t>
      </w:r>
      <w:r w:rsidR="00A72E1C">
        <w:t>to illustrate some of the complexity in the transformation process</w:t>
      </w:r>
      <w:r w:rsidR="0031289C">
        <w:t>,</w:t>
      </w:r>
      <w:r w:rsidR="00A72E1C">
        <w:t xml:space="preserve"> </w:t>
      </w:r>
      <w:r w:rsidR="00D476DA">
        <w:t xml:space="preserve">not to provide an exhaustive enumeration of all strategies possible </w:t>
      </w:r>
      <w:r w:rsidR="004D7635">
        <w:t xml:space="preserve">to find when students struggle with the </w:t>
      </w:r>
      <w:r w:rsidR="00D476DA">
        <w:t xml:space="preserve">reading </w:t>
      </w:r>
      <w:r w:rsidR="004D7635">
        <w:t>of symbols</w:t>
      </w:r>
      <w:r w:rsidR="00D476DA">
        <w:t>.</w:t>
      </w:r>
      <w:r w:rsidR="004D7635">
        <w:t xml:space="preserve"> </w:t>
      </w:r>
      <w:r w:rsidR="00EB3669">
        <w:t xml:space="preserve">The </w:t>
      </w:r>
      <w:r w:rsidR="0031289C">
        <w:t>results</w:t>
      </w:r>
      <w:r>
        <w:t xml:space="preserve"> could </w:t>
      </w:r>
      <w:r w:rsidR="00C61DE0">
        <w:t xml:space="preserve">propose </w:t>
      </w:r>
      <w:r w:rsidRPr="00776494">
        <w:t>ideas</w:t>
      </w:r>
      <w:r w:rsidR="00C61DE0">
        <w:t xml:space="preserve"> for strategies to overcome the struggle.</w:t>
      </w:r>
      <w:r w:rsidRPr="00776494">
        <w:t xml:space="preserve"> </w:t>
      </w:r>
    </w:p>
    <w:p w14:paraId="2DBF00B3" w14:textId="77777777" w:rsidR="007E4856" w:rsidRDefault="007E4856" w:rsidP="007E4856">
      <w:pPr>
        <w:pStyle w:val="Rubrik2"/>
      </w:pPr>
      <w:r>
        <w:t>Methods</w:t>
      </w:r>
      <w:r w:rsidRPr="007E4856">
        <w:t xml:space="preserve"> </w:t>
      </w:r>
    </w:p>
    <w:p w14:paraId="707FAD26" w14:textId="7D15B107" w:rsidR="007E4856" w:rsidRDefault="007E4856" w:rsidP="007E4856">
      <w:pPr>
        <w:pStyle w:val="Brdtext"/>
      </w:pPr>
      <w:r>
        <w:t xml:space="preserve">Although reading </w:t>
      </w:r>
      <w:r w:rsidR="00115596">
        <w:t xml:space="preserve">aloud </w:t>
      </w:r>
      <w:r>
        <w:t>does not cover the whole spectrum of classroom situations in which students</w:t>
      </w:r>
      <w:r w:rsidR="005A785B">
        <w:t xml:space="preserve"> </w:t>
      </w:r>
      <w:r>
        <w:t>transform mathematical expressions into speech, it</w:t>
      </w:r>
      <w:r w:rsidR="005910C8">
        <w:t xml:space="preserve"> allows </w:t>
      </w:r>
      <w:r w:rsidR="00E3162A">
        <w:t xml:space="preserve">for the investigation of </w:t>
      </w:r>
      <w:r w:rsidR="005A785B">
        <w:t>many diverse e</w:t>
      </w:r>
      <w:r>
        <w:t>xpressions</w:t>
      </w:r>
      <w:r w:rsidR="005A785B">
        <w:t xml:space="preserve"> </w:t>
      </w:r>
      <w:r>
        <w:t>in a short time.</w:t>
      </w:r>
      <w:r w:rsidR="005A785B">
        <w:t xml:space="preserve"> Since t</w:t>
      </w:r>
      <w:r>
        <w:t xml:space="preserve">he focus of the study was on the transformation and not on communication in general, the data collection could be limited to sound recordings. </w:t>
      </w:r>
      <w:r w:rsidRPr="000F53BA">
        <w:t xml:space="preserve">All data was </w:t>
      </w:r>
      <w:r w:rsidR="0099534A">
        <w:t xml:space="preserve">originally </w:t>
      </w:r>
      <w:r w:rsidRPr="000F53BA">
        <w:t xml:space="preserve">collected as part of a </w:t>
      </w:r>
      <w:r>
        <w:t xml:space="preserve">more extensive </w:t>
      </w:r>
      <w:r w:rsidRPr="000F53BA">
        <w:t>project thesis</w:t>
      </w:r>
      <w:r>
        <w:t xml:space="preserve"> </w:t>
      </w:r>
      <w:r w:rsidRPr="000F53BA">
        <w:t>(Hultdin, 2013)</w:t>
      </w:r>
      <w:r w:rsidR="00890E39">
        <w:rPr>
          <w:vertAlign w:val="superscript"/>
        </w:rPr>
        <w:t>1</w:t>
      </w:r>
      <w:r w:rsidR="0099534A">
        <w:t>. A</w:t>
      </w:r>
      <w:r>
        <w:t>ll participants gave</w:t>
      </w:r>
      <w:r w:rsidR="00C45690">
        <w:t xml:space="preserve"> </w:t>
      </w:r>
      <w:r>
        <w:t xml:space="preserve">consent </w:t>
      </w:r>
      <w:r w:rsidR="00C45690">
        <w:t>for</w:t>
      </w:r>
      <w:r w:rsidR="00BC78A1">
        <w:t xml:space="preserve"> the</w:t>
      </w:r>
      <w:r>
        <w:t xml:space="preserve"> use </w:t>
      </w:r>
      <w:r w:rsidR="00C45690">
        <w:t xml:space="preserve">of </w:t>
      </w:r>
      <w:r>
        <w:t>the recorded material in research</w:t>
      </w:r>
      <w:r w:rsidRPr="000F53BA">
        <w:t xml:space="preserve">. </w:t>
      </w:r>
    </w:p>
    <w:p w14:paraId="5F8E4F11" w14:textId="57C07A44" w:rsidR="00A24412" w:rsidRPr="00675D39" w:rsidRDefault="00A24412" w:rsidP="007F4F51">
      <w:pPr>
        <w:rPr>
          <w:lang w:val="en-US"/>
        </w:rPr>
      </w:pPr>
      <w:r w:rsidRPr="00675D39">
        <w:rPr>
          <w:lang w:val="en-US"/>
        </w:rPr>
        <w:t>The participants were 18 students (Male = 14, Female = 4, age</w:t>
      </w:r>
      <w:r w:rsidR="007F4F51">
        <w:rPr>
          <w:lang w:val="en-US"/>
        </w:rPr>
        <w:t>:</w:t>
      </w:r>
      <w:r w:rsidRPr="00675D39">
        <w:rPr>
          <w:lang w:val="en-US"/>
        </w:rPr>
        <w:t xml:space="preserve"> 19–25 years), all fluent Swedish speakers, taking a preparatory university course in mathematics. The </w:t>
      </w:r>
      <w:r w:rsidR="007F4F51">
        <w:rPr>
          <w:lang w:val="en-US"/>
        </w:rPr>
        <w:t xml:space="preserve">texts that were </w:t>
      </w:r>
      <w:r w:rsidRPr="00675D39">
        <w:rPr>
          <w:lang w:val="en-US"/>
        </w:rPr>
        <w:t>read</w:t>
      </w:r>
      <w:r w:rsidR="007F4F51">
        <w:rPr>
          <w:lang w:val="en-US"/>
        </w:rPr>
        <w:t xml:space="preserve"> were short Swedish texts</w:t>
      </w:r>
      <w:r w:rsidRPr="00675D39">
        <w:rPr>
          <w:lang w:val="en-US"/>
        </w:rPr>
        <w:t>, 3–8 lines</w:t>
      </w:r>
      <w:r w:rsidR="007F4F51">
        <w:rPr>
          <w:lang w:val="en-US"/>
        </w:rPr>
        <w:t>. Each participant was recorded in a separate session</w:t>
      </w:r>
      <w:r w:rsidRPr="00675D39">
        <w:rPr>
          <w:lang w:val="en-US"/>
        </w:rPr>
        <w:t>. During the session</w:t>
      </w:r>
      <w:r w:rsidR="007F4F51">
        <w:rPr>
          <w:lang w:val="en-US"/>
        </w:rPr>
        <w:t>s</w:t>
      </w:r>
      <w:r w:rsidRPr="00675D39">
        <w:rPr>
          <w:lang w:val="en-US"/>
        </w:rPr>
        <w:t>, which w</w:t>
      </w:r>
      <w:r w:rsidR="007F4F51">
        <w:rPr>
          <w:lang w:val="en-US"/>
        </w:rPr>
        <w:t>ere taking place</w:t>
      </w:r>
      <w:r w:rsidRPr="00675D39">
        <w:rPr>
          <w:lang w:val="en-US"/>
        </w:rPr>
        <w:t xml:space="preserve"> in an office near the students’ ordinary classroom, only the participant and the instructor were present. The data was collected one week before the final course exam. In a break between lessons, potential study participants were informed about the study focus, time and place for participation, confidentiality, and the general procedure of the reading session. The texts read were modifications of ordinary textbook paragraphs or task texts and included mathematics taught in the current course. Of 12 texts read, the six causing the students the most problems</w:t>
      </w:r>
      <w:r w:rsidR="007F4F51">
        <w:rPr>
          <w:lang w:val="en-US"/>
        </w:rPr>
        <w:t xml:space="preserve"> (a-c below)</w:t>
      </w:r>
      <w:r w:rsidRPr="00675D39">
        <w:rPr>
          <w:lang w:val="en-US"/>
        </w:rPr>
        <w:t xml:space="preserve"> were selected for analysis. Three integral expressions, two differential equations, a primitive function, and double angle identities were </w:t>
      </w:r>
      <w:r w:rsidR="00E147B7">
        <w:rPr>
          <w:lang w:val="en-US"/>
        </w:rPr>
        <w:t>included in</w:t>
      </w:r>
      <w:r w:rsidRPr="00675D39">
        <w:rPr>
          <w:lang w:val="en-US"/>
        </w:rPr>
        <w:t xml:space="preserve"> the selection. </w:t>
      </w:r>
    </w:p>
    <w:p w14:paraId="717C2B4B" w14:textId="6AA5A1B3" w:rsidR="00A24412" w:rsidRPr="00675D39" w:rsidRDefault="00A24412" w:rsidP="00A24412">
      <w:pPr>
        <w:rPr>
          <w:lang w:val="en-US"/>
        </w:rPr>
      </w:pPr>
      <w:r w:rsidRPr="00675D39">
        <w:rPr>
          <w:lang w:val="en-US"/>
        </w:rPr>
        <w:t>At the time, the students were divided into three teaching groups, taught by three course teachers. The analysis included a comparison of participants’</w:t>
      </w:r>
      <w:r w:rsidR="00713546">
        <w:rPr>
          <w:lang w:val="en-US"/>
        </w:rPr>
        <w:t xml:space="preserve"> reading</w:t>
      </w:r>
      <w:r w:rsidR="00BA16A3">
        <w:rPr>
          <w:lang w:val="en-US"/>
        </w:rPr>
        <w:t>s</w:t>
      </w:r>
      <w:r w:rsidRPr="00675D39">
        <w:rPr>
          <w:lang w:val="en-US"/>
        </w:rPr>
        <w:t xml:space="preserve"> to </w:t>
      </w:r>
      <w:r w:rsidRPr="00675D39">
        <w:rPr>
          <w:i/>
          <w:iCs/>
          <w:lang w:val="en-US"/>
        </w:rPr>
        <w:t>conventional</w:t>
      </w:r>
      <w:r w:rsidRPr="00675D39">
        <w:rPr>
          <w:lang w:val="en-US"/>
        </w:rPr>
        <w:t xml:space="preserve"> </w:t>
      </w:r>
      <w:r w:rsidR="00BA16A3">
        <w:rPr>
          <w:lang w:val="en-US"/>
        </w:rPr>
        <w:t>reading</w:t>
      </w:r>
      <w:r w:rsidRPr="00675D39">
        <w:rPr>
          <w:lang w:val="en-US"/>
        </w:rPr>
        <w:t xml:space="preserve">. For this purpose, a standard was created. By asking the course teachers to write down how they would read a few selected mathematical expressions </w:t>
      </w:r>
      <w:r w:rsidRPr="00675D39">
        <w:rPr>
          <w:lang w:val="en-US"/>
        </w:rPr>
        <w:lastRenderedPageBreak/>
        <w:t>and specifically asking them to come up with as many alternatives as possible that they would judge to be correct, various “standard readings” were collected.</w:t>
      </w:r>
    </w:p>
    <w:p w14:paraId="1EDFDC0F" w14:textId="7341A94D" w:rsidR="007E4856" w:rsidRPr="00A24412" w:rsidRDefault="00A24412" w:rsidP="00A24412">
      <w:r w:rsidRPr="00675D39">
        <w:rPr>
          <w:lang w:val="en-US"/>
        </w:rPr>
        <w:t>It was assumed that students would use various communication strategies when struggling with their reading</w:t>
      </w:r>
      <w:r w:rsidR="00BC1806">
        <w:rPr>
          <w:lang w:val="en-US"/>
        </w:rPr>
        <w:t xml:space="preserve"> of mathematical symbols</w:t>
      </w:r>
      <w:r w:rsidRPr="00675D39">
        <w:rPr>
          <w:lang w:val="en-US"/>
        </w:rPr>
        <w:t>. Therefore, strategy use was analyzed when one of the following occurred in the sound recordings: a) longer pauses (compared to reading other text parts), b) use of non-standard vocabulary, or c) a non-standard reading order</w:t>
      </w:r>
      <w:r w:rsidR="003F4D91">
        <w:rPr>
          <w:lang w:val="en-US"/>
        </w:rPr>
        <w:t xml:space="preserve"> (compared to the “standard readings”)</w:t>
      </w:r>
      <w:r w:rsidRPr="00675D39">
        <w:rPr>
          <w:lang w:val="en-US"/>
        </w:rPr>
        <w:t>.</w:t>
      </w:r>
      <w:r w:rsidR="005A785B">
        <w:rPr>
          <w:lang w:val="en-US"/>
        </w:rPr>
        <w:t xml:space="preserve"> </w:t>
      </w:r>
      <w:r w:rsidRPr="00675D39">
        <w:rPr>
          <w:lang w:val="en-US"/>
        </w:rPr>
        <w:t xml:space="preserve">  </w:t>
      </w:r>
      <w:r w:rsidR="001D6120">
        <w:rPr>
          <w:lang w:val="en-US"/>
        </w:rPr>
        <w:t xml:space="preserve"> </w:t>
      </w:r>
    </w:p>
    <w:p w14:paraId="125AB3CB" w14:textId="77777777" w:rsidR="007E4856" w:rsidRPr="00F027FD" w:rsidRDefault="007E4856" w:rsidP="007E4856">
      <w:pPr>
        <w:pStyle w:val="Rubrik3"/>
      </w:pPr>
      <w:r>
        <w:t xml:space="preserve">Analysis based on </w:t>
      </w:r>
      <w:r w:rsidRPr="00F027FD">
        <w:t>Dörnyei and Scott’s taxonomy</w:t>
      </w:r>
    </w:p>
    <w:p w14:paraId="1BFFA524" w14:textId="2A7A7304" w:rsidR="0085043D" w:rsidRDefault="00CE59C7" w:rsidP="007E4856">
      <w:pPr>
        <w:pStyle w:val="Brdtext"/>
      </w:pPr>
      <w:r>
        <w:t>Because of t</w:t>
      </w:r>
      <w:r w:rsidR="00451A35">
        <w:t xml:space="preserve">he </w:t>
      </w:r>
      <w:r w:rsidR="004C6A19">
        <w:t>assumed</w:t>
      </w:r>
      <w:r w:rsidR="00396BAB">
        <w:t xml:space="preserve"> </w:t>
      </w:r>
      <w:r w:rsidR="00451A35">
        <w:t>similarities</w:t>
      </w:r>
      <w:r w:rsidR="00CC45E8">
        <w:t xml:space="preserve"> </w:t>
      </w:r>
      <w:r w:rsidR="00451A35">
        <w:t xml:space="preserve">between the </w:t>
      </w:r>
      <w:r w:rsidR="00746F4E">
        <w:t>reading situation and</w:t>
      </w:r>
      <w:r w:rsidR="00D77107">
        <w:t xml:space="preserve"> L2 communication</w:t>
      </w:r>
      <w:r w:rsidR="00223BAB">
        <w:t>,</w:t>
      </w:r>
      <w:r w:rsidR="006343FC">
        <w:t xml:space="preserve"> </w:t>
      </w:r>
      <w:r w:rsidR="00385F6F">
        <w:t>the data was classified with the help of</w:t>
      </w:r>
      <w:r w:rsidR="00223BAB">
        <w:t xml:space="preserve"> </w:t>
      </w:r>
      <w:r w:rsidR="00520CD7" w:rsidRPr="00F027FD">
        <w:t>Dörnyei and Scott’s taxonomy</w:t>
      </w:r>
      <w:r w:rsidR="000D2721">
        <w:t xml:space="preserve"> of SLC strategies</w:t>
      </w:r>
      <w:r w:rsidR="00520CD7">
        <w:t xml:space="preserve"> (1997). </w:t>
      </w:r>
      <w:r w:rsidR="00241257">
        <w:t>It comprise</w:t>
      </w:r>
      <w:r w:rsidR="00891EA5">
        <w:t>s</w:t>
      </w:r>
      <w:r w:rsidR="00241257">
        <w:t xml:space="preserve"> a </w:t>
      </w:r>
      <w:r w:rsidR="00241257" w:rsidRPr="00C54F3F">
        <w:t>summar</w:t>
      </w:r>
      <w:r w:rsidR="00241257">
        <w:t xml:space="preserve">y of </w:t>
      </w:r>
      <w:r w:rsidR="00241257" w:rsidRPr="00C54F3F">
        <w:t xml:space="preserve">relevant </w:t>
      </w:r>
      <w:r w:rsidR="00241257">
        <w:t>SLC strategies</w:t>
      </w:r>
      <w:r w:rsidR="00CE075E">
        <w:t>,</w:t>
      </w:r>
      <w:r w:rsidR="00241257">
        <w:t xml:space="preserve"> and ha</w:t>
      </w:r>
      <w:r w:rsidR="00891EA5">
        <w:t>s</w:t>
      </w:r>
      <w:r w:rsidR="00241257">
        <w:t xml:space="preserve"> a</w:t>
      </w:r>
      <w:r w:rsidR="006420C8">
        <w:t xml:space="preserve"> focus on produced </w:t>
      </w:r>
      <w:r w:rsidR="00EC2875">
        <w:t>verbal interaction</w:t>
      </w:r>
      <w:r w:rsidR="00241257">
        <w:t xml:space="preserve">, which made it suitable for </w:t>
      </w:r>
      <w:r w:rsidR="00CE075E">
        <w:t>this</w:t>
      </w:r>
      <w:r w:rsidR="00241257">
        <w:t xml:space="preserve"> first </w:t>
      </w:r>
      <w:r w:rsidR="00CE075E">
        <w:t>exploration</w:t>
      </w:r>
      <w:r w:rsidR="004D53DA">
        <w:t xml:space="preserve"> of </w:t>
      </w:r>
      <w:r w:rsidR="00AE2062">
        <w:t xml:space="preserve">strategy </w:t>
      </w:r>
      <w:r w:rsidR="004C6A19">
        <w:t xml:space="preserve">use </w:t>
      </w:r>
      <w:r w:rsidR="00891EA5">
        <w:t>for</w:t>
      </w:r>
      <w:r w:rsidR="004C6A19">
        <w:t xml:space="preserve"> readers of mathematical texts</w:t>
      </w:r>
      <w:r w:rsidR="00EC2875">
        <w:t>.</w:t>
      </w:r>
      <w:r w:rsidR="00973582">
        <w:t xml:space="preserve"> The choice</w:t>
      </w:r>
      <w:r w:rsidR="005767A0">
        <w:t xml:space="preserve"> </w:t>
      </w:r>
      <w:r w:rsidR="00C61DE0">
        <w:t>foregrounds similarities</w:t>
      </w:r>
      <w:r w:rsidR="00582C55">
        <w:t xml:space="preserve"> </w:t>
      </w:r>
      <w:r w:rsidR="00CD25C5">
        <w:t>that can be found between the</w:t>
      </w:r>
      <w:r w:rsidR="004C6A19">
        <w:t xml:space="preserve"> reading situation and a situation of L2 communication. However, also non-SLC strategies were noted</w:t>
      </w:r>
      <w:r w:rsidR="007F4F51">
        <w:t xml:space="preserve"> during the analysis</w:t>
      </w:r>
      <w:r w:rsidR="004C6A19">
        <w:t>.</w:t>
      </w:r>
    </w:p>
    <w:p w14:paraId="73EF92B2" w14:textId="2960B76D" w:rsidR="007E4856" w:rsidRDefault="007E4856" w:rsidP="000C14C1">
      <w:r>
        <w:t xml:space="preserve">Since the taxonomy </w:t>
      </w:r>
      <w:r w:rsidRPr="00F027FD">
        <w:t>concern</w:t>
      </w:r>
      <w:r w:rsidR="00CE075E">
        <w:t>ed</w:t>
      </w:r>
      <w:r>
        <w:t xml:space="preserve"> oral L2</w:t>
      </w:r>
      <w:r w:rsidR="005910C8">
        <w:t xml:space="preserve"> </w:t>
      </w:r>
      <w:r>
        <w:t xml:space="preserve">communication </w:t>
      </w:r>
      <w:r w:rsidRPr="00F027FD">
        <w:t xml:space="preserve">involving a </w:t>
      </w:r>
      <w:r>
        <w:t xml:space="preserve">(more active) </w:t>
      </w:r>
      <w:r w:rsidRPr="00F027FD">
        <w:t>second person</w:t>
      </w:r>
      <w:r>
        <w:t xml:space="preserve">, </w:t>
      </w:r>
      <w:r w:rsidR="00614CFC">
        <w:t xml:space="preserve">all the </w:t>
      </w:r>
      <w:r w:rsidR="00614CFC" w:rsidRPr="000F53BA">
        <w:t>interactional strategies</w:t>
      </w:r>
      <w:r w:rsidR="00614CFC">
        <w:t xml:space="preserve"> </w:t>
      </w:r>
      <w:r w:rsidR="00E8622E">
        <w:t>such as “other repair”,</w:t>
      </w:r>
      <w:r w:rsidR="00E35341">
        <w:t xml:space="preserve"> “other repetition”</w:t>
      </w:r>
      <w:r w:rsidR="00614CFC">
        <w:t xml:space="preserve"> and</w:t>
      </w:r>
      <w:r w:rsidR="004C3AA8">
        <w:t xml:space="preserve"> “feigning understanding”</w:t>
      </w:r>
      <w:r w:rsidR="006E1EB9">
        <w:t xml:space="preserve"> had to be excluded. </w:t>
      </w:r>
      <w:r w:rsidRPr="00F027FD">
        <w:t>The type of data collected</w:t>
      </w:r>
      <w:r>
        <w:t xml:space="preserve"> </w:t>
      </w:r>
      <w:r w:rsidRPr="00F027FD">
        <w:t>also lim</w:t>
      </w:r>
      <w:r w:rsidR="00BC78A1">
        <w:t>ite</w:t>
      </w:r>
      <w:r w:rsidRPr="00F027FD">
        <w:t xml:space="preserve">d the </w:t>
      </w:r>
      <w:r w:rsidR="009E2DC7">
        <w:t xml:space="preserve">number of </w:t>
      </w:r>
      <w:r w:rsidRPr="00F027FD">
        <w:t xml:space="preserve">strategies possible to </w:t>
      </w:r>
      <w:r w:rsidR="00EC5BD3">
        <w:t xml:space="preserve">identify </w:t>
      </w:r>
      <w:r>
        <w:t>in the material</w:t>
      </w:r>
      <w:r w:rsidRPr="00F027FD">
        <w:t>.</w:t>
      </w:r>
      <w:r w:rsidR="00B26FC6">
        <w:t xml:space="preserve"> Because all participants were Swedish speaking, </w:t>
      </w:r>
      <w:r w:rsidR="00B35FF3">
        <w:t>s</w:t>
      </w:r>
      <w:r w:rsidRPr="00F027FD">
        <w:t>trategies</w:t>
      </w:r>
      <w:r w:rsidR="002F3495">
        <w:t xml:space="preserve"> </w:t>
      </w:r>
      <w:r w:rsidR="00FE1FE1">
        <w:t xml:space="preserve">used </w:t>
      </w:r>
      <w:r w:rsidR="002F3495">
        <w:t>to overcome</w:t>
      </w:r>
      <w:r w:rsidRPr="00F027FD">
        <w:t xml:space="preserve"> problems </w:t>
      </w:r>
      <w:r w:rsidR="00C61DE0">
        <w:t xml:space="preserve">voicing </w:t>
      </w:r>
      <w:r w:rsidRPr="00F027FD">
        <w:t xml:space="preserve">specific </w:t>
      </w:r>
      <w:r>
        <w:t xml:space="preserve">L2 </w:t>
      </w:r>
      <w:r w:rsidRPr="00F027FD">
        <w:t>sounds</w:t>
      </w:r>
      <w:r w:rsidR="00B26FC6">
        <w:t xml:space="preserve"> </w:t>
      </w:r>
      <w:r w:rsidRPr="00F027FD">
        <w:t>were excluded</w:t>
      </w:r>
      <w:r w:rsidR="00700A57">
        <w:t>.</w:t>
      </w:r>
      <w:r w:rsidR="00B26FC6">
        <w:t xml:space="preserve"> </w:t>
      </w:r>
      <w:bookmarkStart w:id="0" w:name="_Hlk156464733"/>
      <w:r w:rsidR="00C61DE0">
        <w:t xml:space="preserve">The strategy where “more words were used to achieve a particular communicative goal than what is considered normal in similar L1 situations” (termed “over explicitness” in </w:t>
      </w:r>
      <w:r w:rsidR="00C61DE0" w:rsidRPr="00F027FD">
        <w:t>Dörnyei and Scott</w:t>
      </w:r>
      <w:r w:rsidR="00C61DE0">
        <w:t xml:space="preserve">, </w:t>
      </w:r>
      <w:r w:rsidR="00C61DE0" w:rsidRPr="00F027FD">
        <w:t>1997</w:t>
      </w:r>
      <w:r w:rsidR="00C61DE0">
        <w:t xml:space="preserve">), turned out to be either literal translations or paraphrasing when symbols were read aloud. </w:t>
      </w:r>
      <w:bookmarkEnd w:id="0"/>
      <w:r w:rsidR="00CE075E">
        <w:t xml:space="preserve">Thus, it was not included as </w:t>
      </w:r>
      <w:r w:rsidR="007A7F7A">
        <w:t xml:space="preserve">a separate category. </w:t>
      </w:r>
      <w:r w:rsidR="0054545A">
        <w:t xml:space="preserve">The final </w:t>
      </w:r>
      <w:r w:rsidR="00C90A9E">
        <w:t xml:space="preserve">18 </w:t>
      </w:r>
      <w:r w:rsidR="0054545A">
        <w:t xml:space="preserve">categories are </w:t>
      </w:r>
      <w:r w:rsidR="00C90A9E">
        <w:t>described</w:t>
      </w:r>
      <w:r w:rsidR="0054545A">
        <w:t xml:space="preserve"> below. </w:t>
      </w:r>
    </w:p>
    <w:p w14:paraId="2261DB7E" w14:textId="0ECBD5E8" w:rsidR="007E4856" w:rsidRDefault="007E4856" w:rsidP="007E4856">
      <w:pPr>
        <w:ind w:firstLine="0"/>
      </w:pPr>
    </w:p>
    <w:p w14:paraId="0B018BCD" w14:textId="58EA2718" w:rsidR="007E4856" w:rsidRPr="007E4856" w:rsidRDefault="007E4856" w:rsidP="00F33840">
      <w:pPr>
        <w:pStyle w:val="Brdtext"/>
      </w:pPr>
      <w:r>
        <w:t>Direct, resource-deficit</w:t>
      </w:r>
      <w:r w:rsidR="00BC78A1">
        <w:t>-</w:t>
      </w:r>
      <w:r>
        <w:t>related:</w:t>
      </w:r>
    </w:p>
    <w:p w14:paraId="2C290DDD" w14:textId="77777777" w:rsidR="007E4856" w:rsidRPr="008778CC" w:rsidRDefault="007E4856" w:rsidP="007E4856">
      <w:pPr>
        <w:pStyle w:val="Citat1"/>
      </w:pPr>
      <w:r w:rsidRPr="00766F48">
        <w:rPr>
          <w:b/>
          <w:bCs/>
        </w:rPr>
        <w:t>Message abandonment.</w:t>
      </w:r>
      <w:r w:rsidRPr="008778CC">
        <w:t xml:space="preserve"> </w:t>
      </w:r>
      <w:r>
        <w:t>G</w:t>
      </w:r>
      <w:r w:rsidRPr="008778CC">
        <w:t>iv</w:t>
      </w:r>
      <w:r>
        <w:t>ing</w:t>
      </w:r>
      <w:r w:rsidRPr="008778CC">
        <w:t xml:space="preserve"> up</w:t>
      </w:r>
      <w:r>
        <w:t xml:space="preserve"> and </w:t>
      </w:r>
      <w:r w:rsidRPr="008778CC">
        <w:t>skip</w:t>
      </w:r>
      <w:r>
        <w:t>ping</w:t>
      </w:r>
      <w:r w:rsidRPr="008778CC">
        <w:t xml:space="preserve"> the expression/text.</w:t>
      </w:r>
    </w:p>
    <w:p w14:paraId="3E059361" w14:textId="48017899" w:rsidR="007E4856" w:rsidRPr="008778CC" w:rsidRDefault="007E4856" w:rsidP="007E4856">
      <w:pPr>
        <w:pStyle w:val="Citat1"/>
      </w:pPr>
      <w:r w:rsidRPr="00766F48">
        <w:rPr>
          <w:b/>
          <w:bCs/>
        </w:rPr>
        <w:t>Message reduction.</w:t>
      </w:r>
      <w:r w:rsidRPr="008778CC">
        <w:t xml:space="preserve"> </w:t>
      </w:r>
      <w:r>
        <w:t>Not reading s</w:t>
      </w:r>
      <w:r w:rsidRPr="008778CC">
        <w:t>ingle words or longer text chunks in the middle of a text</w:t>
      </w:r>
      <w:r w:rsidR="00444337">
        <w:t>.</w:t>
      </w:r>
      <w:r w:rsidR="00FB7527">
        <w:t xml:space="preserve"> </w:t>
      </w:r>
    </w:p>
    <w:p w14:paraId="76F3BDA3" w14:textId="41113150" w:rsidR="007E4856" w:rsidRDefault="007E4856" w:rsidP="007E4856">
      <w:pPr>
        <w:pStyle w:val="Citat1"/>
      </w:pPr>
      <w:r w:rsidRPr="00766F48">
        <w:rPr>
          <w:b/>
          <w:bCs/>
        </w:rPr>
        <w:t>Message replacement.</w:t>
      </w:r>
      <w:r w:rsidRPr="008778CC">
        <w:t xml:space="preserve"> When saying anything </w:t>
      </w:r>
      <w:r>
        <w:t xml:space="preserve">(instead of </w:t>
      </w:r>
      <w:r w:rsidRPr="008778CC">
        <w:t>nothing</w:t>
      </w:r>
      <w:r>
        <w:t>)</w:t>
      </w:r>
      <w:r w:rsidR="00BC78A1">
        <w:t>,</w:t>
      </w:r>
      <w:r>
        <w:t xml:space="preserve"> but not at all with the intended meaning</w:t>
      </w:r>
      <w:r w:rsidRPr="008778CC">
        <w:t>.</w:t>
      </w:r>
      <w:r w:rsidR="004A5AE6">
        <w:t xml:space="preserve"> An example would be </w:t>
      </w:r>
      <w:r w:rsidR="00533FC5">
        <w:t>to say “</w:t>
      </w:r>
      <w:r w:rsidR="00CF701F">
        <w:rPr>
          <w:i/>
          <w:iCs/>
        </w:rPr>
        <w:t>and-la</w:t>
      </w:r>
      <w:r w:rsidR="00E555B4">
        <w:rPr>
          <w:i/>
          <w:iCs/>
        </w:rPr>
        <w:t>h</w:t>
      </w:r>
      <w:r w:rsidR="00CF701F">
        <w:rPr>
          <w:i/>
          <w:iCs/>
        </w:rPr>
        <w:t>-la</w:t>
      </w:r>
      <w:r w:rsidR="00E555B4">
        <w:rPr>
          <w:i/>
          <w:iCs/>
        </w:rPr>
        <w:t>h</w:t>
      </w:r>
      <w:r w:rsidR="00CF701F">
        <w:rPr>
          <w:i/>
          <w:iCs/>
        </w:rPr>
        <w:t>-la</w:t>
      </w:r>
      <w:r w:rsidR="00E555B4">
        <w:rPr>
          <w:i/>
          <w:iCs/>
        </w:rPr>
        <w:t>h</w:t>
      </w:r>
      <w:r w:rsidR="00533FC5">
        <w:t>” instead of the</w:t>
      </w:r>
      <w:r w:rsidR="00515C52">
        <w:t xml:space="preserve"> symbols.</w:t>
      </w:r>
    </w:p>
    <w:p w14:paraId="4DD624EC" w14:textId="6C7136AF" w:rsidR="002B6B65" w:rsidRDefault="002B6B65" w:rsidP="007E4856">
      <w:pPr>
        <w:pStyle w:val="Citat1"/>
      </w:pPr>
      <w:r w:rsidRPr="000F53BA">
        <w:t xml:space="preserve">Non-standard </w:t>
      </w:r>
      <w:r>
        <w:t>readings</w:t>
      </w:r>
      <w:r w:rsidRPr="000F53BA">
        <w:t xml:space="preserve"> were classified as </w:t>
      </w:r>
      <w:r w:rsidR="007F4F51">
        <w:t xml:space="preserve">one of the three above </w:t>
      </w:r>
      <w:r w:rsidRPr="000F53BA">
        <w:t>only when</w:t>
      </w:r>
      <w:r w:rsidR="0050580D">
        <w:t xml:space="preserve"> no other strategy</w:t>
      </w:r>
      <w:r w:rsidR="00BC3A13">
        <w:t>, for example</w:t>
      </w:r>
      <w:r w:rsidR="007F4F51">
        <w:t>,</w:t>
      </w:r>
      <w:r w:rsidR="00BC3A13">
        <w:t xml:space="preserve"> “omission”, could be assigned</w:t>
      </w:r>
      <w:r w:rsidRPr="000F53BA">
        <w:t>.</w:t>
      </w:r>
    </w:p>
    <w:p w14:paraId="6314EBF9" w14:textId="4F0D0054" w:rsidR="007E4856" w:rsidRDefault="007E4856" w:rsidP="007E4856">
      <w:pPr>
        <w:pStyle w:val="Citat1"/>
      </w:pPr>
      <w:r w:rsidRPr="00766F48">
        <w:rPr>
          <w:b/>
          <w:bCs/>
        </w:rPr>
        <w:t>Restructuring.</w:t>
      </w:r>
      <w:r w:rsidRPr="008778CC">
        <w:t xml:space="preserve"> Abandoning the first communication plan. Continuing with the same message but read in another way.</w:t>
      </w:r>
      <w:r w:rsidR="006E4C6C">
        <w:t xml:space="preserve"> </w:t>
      </w:r>
      <w:r w:rsidR="000B6A1A">
        <w:t xml:space="preserve">Example from reading </w:t>
      </w:r>
      <w:r w:rsidR="001D3BFC" w:rsidRPr="001D4EC6">
        <w:rPr>
          <w:i/>
          <w:iCs/>
        </w:rPr>
        <w:t>y</w:t>
      </w:r>
      <w:r w:rsidR="001D4EC6" w:rsidRPr="001D4EC6">
        <w:rPr>
          <w:i/>
          <w:iCs/>
        </w:rPr>
        <w:t>¨</w:t>
      </w:r>
      <w:r w:rsidR="006E4C6C">
        <w:t>:</w:t>
      </w:r>
      <w:r w:rsidR="006E4C6C" w:rsidRPr="00017382">
        <w:rPr>
          <w:i/>
          <w:iCs/>
        </w:rPr>
        <w:t xml:space="preserve"> </w:t>
      </w:r>
      <w:r w:rsidR="005F7C7E" w:rsidRPr="00017382">
        <w:rPr>
          <w:i/>
          <w:iCs/>
        </w:rPr>
        <w:t>[…]</w:t>
      </w:r>
      <w:r w:rsidR="00D634F2">
        <w:rPr>
          <w:i/>
          <w:iCs/>
        </w:rPr>
        <w:t xml:space="preserve"> y-prime, </w:t>
      </w:r>
      <w:r w:rsidR="002E3BEC">
        <w:rPr>
          <w:i/>
          <w:iCs/>
        </w:rPr>
        <w:t>y</w:t>
      </w:r>
      <w:r w:rsidR="00014A62" w:rsidRPr="00017382">
        <w:rPr>
          <w:i/>
          <w:iCs/>
        </w:rPr>
        <w:t xml:space="preserve">… let’s see, </w:t>
      </w:r>
      <w:r w:rsidR="00017382" w:rsidRPr="00017382">
        <w:rPr>
          <w:i/>
          <w:iCs/>
        </w:rPr>
        <w:t>y… the derivative twice.</w:t>
      </w:r>
    </w:p>
    <w:p w14:paraId="33E18DA5" w14:textId="33B1A639" w:rsidR="007E4856" w:rsidRDefault="007E4856" w:rsidP="007E4856">
      <w:pPr>
        <w:pStyle w:val="Citat1"/>
      </w:pPr>
      <w:r w:rsidRPr="00766F48">
        <w:rPr>
          <w:b/>
          <w:bCs/>
        </w:rPr>
        <w:lastRenderedPageBreak/>
        <w:t>Approximation.</w:t>
      </w:r>
      <w:r w:rsidRPr="008778CC">
        <w:t xml:space="preserve"> Using a superordinate or relative term as </w:t>
      </w:r>
      <w:r w:rsidR="00BC78A1">
        <w:t xml:space="preserve">an </w:t>
      </w:r>
      <w:r w:rsidRPr="008778CC">
        <w:t>alternative to a missing one.</w:t>
      </w:r>
      <w:r w:rsidR="00515C52">
        <w:t xml:space="preserve"> For example</w:t>
      </w:r>
      <w:r w:rsidR="00A207E7">
        <w:t>,</w:t>
      </w:r>
      <w:r w:rsidR="00B00D52">
        <w:t xml:space="preserve"> saying</w:t>
      </w:r>
      <w:r w:rsidR="00D16391">
        <w:t xml:space="preserve"> “</w:t>
      </w:r>
      <w:r w:rsidR="00D16391" w:rsidRPr="00A207E7">
        <w:rPr>
          <w:i/>
          <w:iCs/>
        </w:rPr>
        <w:t>area</w:t>
      </w:r>
      <w:r w:rsidR="00D16391">
        <w:t>” instead of “</w:t>
      </w:r>
      <w:r w:rsidR="00D16391" w:rsidRPr="00A207E7">
        <w:rPr>
          <w:i/>
          <w:iCs/>
        </w:rPr>
        <w:t>integral</w:t>
      </w:r>
      <w:r w:rsidR="00EC4DFD">
        <w:t>”</w:t>
      </w:r>
      <w:r w:rsidR="00A207E7">
        <w:t>.</w:t>
      </w:r>
      <w:r w:rsidR="00515C52">
        <w:t xml:space="preserve"> </w:t>
      </w:r>
    </w:p>
    <w:p w14:paraId="595F6C11" w14:textId="0547A093" w:rsidR="007E4856" w:rsidRDefault="007E4856" w:rsidP="007E4856">
      <w:pPr>
        <w:pStyle w:val="Citat1"/>
      </w:pPr>
      <w:r w:rsidRPr="00766F48">
        <w:rPr>
          <w:b/>
          <w:bCs/>
        </w:rPr>
        <w:t>Literal translation.</w:t>
      </w:r>
      <w:r w:rsidRPr="008778CC">
        <w:t xml:space="preserve"> Using a known pronunciation of </w:t>
      </w:r>
      <w:r w:rsidR="00BC78A1">
        <w:t xml:space="preserve">a </w:t>
      </w:r>
      <w:r w:rsidRPr="008778CC">
        <w:t>symbol</w:t>
      </w:r>
      <w:r>
        <w:t>(</w:t>
      </w:r>
      <w:r w:rsidRPr="008778CC">
        <w:t>s</w:t>
      </w:r>
      <w:r>
        <w:t>)</w:t>
      </w:r>
      <w:r w:rsidRPr="008778CC">
        <w:t xml:space="preserve"> in </w:t>
      </w:r>
      <w:r>
        <w:t xml:space="preserve">a </w:t>
      </w:r>
      <w:r w:rsidRPr="008778CC">
        <w:t>context</w:t>
      </w:r>
      <w:r>
        <w:t xml:space="preserve"> w</w:t>
      </w:r>
      <w:r w:rsidR="00BC78A1">
        <w:t>h</w:t>
      </w:r>
      <w:r>
        <w:t>ere it is normally not used</w:t>
      </w:r>
      <w:r w:rsidRPr="008778CC">
        <w:t>.</w:t>
      </w:r>
      <w:r w:rsidR="000B6A1A">
        <w:t xml:space="preserve"> </w:t>
      </w:r>
      <w:r w:rsidR="00A8173D">
        <w:t>For example</w:t>
      </w:r>
      <w:r w:rsidR="000B61D1">
        <w:t>,</w:t>
      </w:r>
      <w:r w:rsidR="00B00D52">
        <w:t xml:space="preserve"> </w:t>
      </w:r>
      <w:r w:rsidR="009A5E3D">
        <w:t xml:space="preserve">reading out </w:t>
      </w:r>
      <w:r w:rsidR="00FA306B">
        <w:t xml:space="preserve">all </w:t>
      </w:r>
      <w:r w:rsidR="009A5E3D">
        <w:t xml:space="preserve">parentheses. </w:t>
      </w:r>
    </w:p>
    <w:p w14:paraId="466E720A" w14:textId="1BE9D4B5" w:rsidR="007E4856" w:rsidRDefault="007E4856" w:rsidP="007E4856">
      <w:pPr>
        <w:pStyle w:val="Citat1"/>
      </w:pPr>
      <w:r w:rsidRPr="00766F48">
        <w:rPr>
          <w:b/>
          <w:bCs/>
        </w:rPr>
        <w:t>Paraphrasing</w:t>
      </w:r>
      <w:r w:rsidRPr="008778CC">
        <w:t xml:space="preserve">. </w:t>
      </w:r>
      <w:r>
        <w:t>Reading in a</w:t>
      </w:r>
      <w:r w:rsidRPr="008778CC">
        <w:t xml:space="preserve"> more </w:t>
      </w:r>
      <w:r>
        <w:t xml:space="preserve">explanatory way </w:t>
      </w:r>
      <w:r w:rsidRPr="008778CC">
        <w:t>after stalling</w:t>
      </w:r>
      <w:r w:rsidR="00BC78A1">
        <w:t xml:space="preserve"> or </w:t>
      </w:r>
      <w:r w:rsidRPr="008778CC">
        <w:t>hesitation.</w:t>
      </w:r>
      <w:r w:rsidR="000B024C">
        <w:t xml:space="preserve"> For example</w:t>
      </w:r>
      <w:r w:rsidR="00A92658">
        <w:t>, saying “</w:t>
      </w:r>
      <w:r w:rsidR="00A92658" w:rsidRPr="00EC6E45">
        <w:rPr>
          <w:i/>
          <w:iCs/>
        </w:rPr>
        <w:t xml:space="preserve">the primitive function of </w:t>
      </w:r>
      <w:r w:rsidR="00EC6E45" w:rsidRPr="00EC6E45">
        <w:rPr>
          <w:i/>
          <w:iCs/>
        </w:rPr>
        <w:t>f-of-x</w:t>
      </w:r>
      <w:r w:rsidR="00EC6E45">
        <w:t>”</w:t>
      </w:r>
      <w:r w:rsidR="007A242B">
        <w:t xml:space="preserve"> when reading </w:t>
      </w:r>
      <w:r w:rsidR="007A242B" w:rsidRPr="007A242B">
        <w:rPr>
          <w:i/>
          <w:iCs/>
        </w:rPr>
        <w:t>F(x)</w:t>
      </w:r>
      <w:r w:rsidR="007A242B">
        <w:t>.</w:t>
      </w:r>
      <w:r w:rsidR="005A785B">
        <w:t xml:space="preserve"> </w:t>
      </w:r>
      <w:r w:rsidR="005A785B" w:rsidRPr="00675D39">
        <w:rPr>
          <w:szCs w:val="24"/>
          <w:shd w:val="clear" w:color="auto" w:fill="FFFFFF"/>
          <w:lang w:val="en-US"/>
        </w:rPr>
        <w:t>This strategy can include both standard and non-standard vocabulary.</w:t>
      </w:r>
    </w:p>
    <w:p w14:paraId="0175205D" w14:textId="3B9632E5" w:rsidR="007E4856" w:rsidRDefault="007E4856" w:rsidP="007E4856">
      <w:pPr>
        <w:pStyle w:val="Citat1"/>
      </w:pPr>
      <w:r w:rsidRPr="00230DFF">
        <w:rPr>
          <w:b/>
          <w:bCs/>
        </w:rPr>
        <w:t>Word coinage</w:t>
      </w:r>
      <w:r w:rsidRPr="00835670">
        <w:t>. Unconventional reading of a mathematical expression based on previous experiences of mathematical syntax and vocabulary.</w:t>
      </w:r>
      <w:r w:rsidR="00135A0F">
        <w:t xml:space="preserve"> </w:t>
      </w:r>
      <w:r w:rsidR="007F4F51" w:rsidRPr="00675D39">
        <w:rPr>
          <w:lang w:val="en-US"/>
        </w:rPr>
        <w:t xml:space="preserve">Example: The division sign in </w:t>
      </w:r>
      <m:oMath>
        <m:f>
          <m:fPr>
            <m:ctrlPr>
              <w:rPr>
                <w:rFonts w:ascii="Cambria Math" w:hAnsi="Cambria Math"/>
                <w:i/>
                <w:lang w:val="en-US"/>
              </w:rPr>
            </m:ctrlPr>
          </m:fPr>
          <m:num>
            <m:r>
              <w:rPr>
                <w:rFonts w:ascii="Cambria Math" w:hAnsi="Cambria Math"/>
                <w:lang w:val="en-US"/>
              </w:rPr>
              <m:t>dx</m:t>
            </m:r>
          </m:num>
          <m:den>
            <m:r>
              <w:rPr>
                <w:rFonts w:ascii="Cambria Math" w:hAnsi="Cambria Math"/>
                <w:lang w:val="en-US"/>
              </w:rPr>
              <m:t>dy</m:t>
            </m:r>
          </m:den>
        </m:f>
      </m:oMath>
      <w:r w:rsidR="007F4F51" w:rsidRPr="00675D39">
        <w:rPr>
          <w:lang w:val="en-US"/>
        </w:rPr>
        <w:t xml:space="preserve"> in an integral expression is read </w:t>
      </w:r>
      <w:r w:rsidR="007F4F51" w:rsidRPr="00675D39">
        <w:rPr>
          <w:i/>
          <w:iCs/>
          <w:lang w:val="en-US"/>
        </w:rPr>
        <w:t>“divided by”.</w:t>
      </w:r>
    </w:p>
    <w:p w14:paraId="746449E5" w14:textId="17CDB4C7" w:rsidR="007E4856" w:rsidRDefault="007E4856" w:rsidP="007E4856">
      <w:pPr>
        <w:pStyle w:val="Citat1"/>
      </w:pPr>
      <w:r w:rsidRPr="00230DFF">
        <w:rPr>
          <w:b/>
          <w:bCs/>
        </w:rPr>
        <w:t>Use of similar</w:t>
      </w:r>
      <w:r w:rsidR="00BC78A1" w:rsidRPr="00230DFF">
        <w:rPr>
          <w:b/>
          <w:bCs/>
        </w:rPr>
        <w:t>-</w:t>
      </w:r>
      <w:r w:rsidRPr="00230DFF">
        <w:rPr>
          <w:b/>
          <w:bCs/>
        </w:rPr>
        <w:t>sounding word</w:t>
      </w:r>
      <w:r w:rsidR="005910C8" w:rsidRPr="00230DFF">
        <w:rPr>
          <w:b/>
          <w:bCs/>
        </w:rPr>
        <w:t>s</w:t>
      </w:r>
      <w:r w:rsidRPr="008778CC">
        <w:t xml:space="preserve">. </w:t>
      </w:r>
      <w:r>
        <w:t xml:space="preserve">Substituting </w:t>
      </w:r>
      <w:r w:rsidRPr="008778CC">
        <w:t>a</w:t>
      </w:r>
      <w:r>
        <w:t xml:space="preserve">n unknown </w:t>
      </w:r>
      <w:r w:rsidRPr="008778CC">
        <w:t xml:space="preserve">word (either existing or non-existing) </w:t>
      </w:r>
      <w:r>
        <w:t xml:space="preserve">with one that </w:t>
      </w:r>
      <w:r w:rsidRPr="008778CC">
        <w:t>sounds</w:t>
      </w:r>
      <w:r>
        <w:t xml:space="preserve">, </w:t>
      </w:r>
      <w:r w:rsidRPr="008778CC">
        <w:t>more or less</w:t>
      </w:r>
      <w:r>
        <w:t>,</w:t>
      </w:r>
      <w:r w:rsidRPr="008778CC">
        <w:t xml:space="preserve"> like </w:t>
      </w:r>
      <w:r>
        <w:t>it.</w:t>
      </w:r>
    </w:p>
    <w:p w14:paraId="7D1E4262" w14:textId="172B23B8" w:rsidR="007E4856" w:rsidRPr="008778CC" w:rsidRDefault="007E4856" w:rsidP="007E4856">
      <w:pPr>
        <w:pStyle w:val="Citat1"/>
      </w:pPr>
      <w:r w:rsidRPr="00230DFF">
        <w:rPr>
          <w:b/>
          <w:bCs/>
        </w:rPr>
        <w:t>Use of all-purpose words</w:t>
      </w:r>
      <w:r w:rsidRPr="008778CC">
        <w:t>. Us</w:t>
      </w:r>
      <w:r>
        <w:t>ing</w:t>
      </w:r>
      <w:r w:rsidRPr="008778CC">
        <w:t xml:space="preserve"> all-purpose words</w:t>
      </w:r>
      <w:r w:rsidR="00A76ED1">
        <w:t>, such as “</w:t>
      </w:r>
      <w:r w:rsidR="00A76ED1" w:rsidRPr="0016448D">
        <w:rPr>
          <w:i/>
          <w:iCs/>
        </w:rPr>
        <w:t>this thing</w:t>
      </w:r>
      <w:r w:rsidR="00A76ED1">
        <w:t>” or “</w:t>
      </w:r>
      <w:r w:rsidR="00A76ED1" w:rsidRPr="0016448D">
        <w:rPr>
          <w:i/>
          <w:iCs/>
        </w:rPr>
        <w:t>whatever</w:t>
      </w:r>
      <w:r w:rsidR="00BC78A1" w:rsidRPr="0016448D">
        <w:rPr>
          <w:i/>
          <w:iCs/>
        </w:rPr>
        <w:t xml:space="preserve"> </w:t>
      </w:r>
      <w:r w:rsidR="00A76ED1" w:rsidRPr="0016448D">
        <w:rPr>
          <w:i/>
          <w:iCs/>
        </w:rPr>
        <w:t>it’s</w:t>
      </w:r>
      <w:r w:rsidR="00BC78A1" w:rsidRPr="0016448D">
        <w:rPr>
          <w:i/>
          <w:iCs/>
        </w:rPr>
        <w:t xml:space="preserve"> </w:t>
      </w:r>
      <w:r w:rsidR="00A76ED1" w:rsidRPr="0016448D">
        <w:rPr>
          <w:i/>
          <w:iCs/>
        </w:rPr>
        <w:t>called</w:t>
      </w:r>
      <w:r w:rsidR="00A76ED1">
        <w:t>”</w:t>
      </w:r>
      <w:r w:rsidRPr="008778CC">
        <w:t xml:space="preserve"> instead of specific ones.</w:t>
      </w:r>
    </w:p>
    <w:p w14:paraId="4022D307" w14:textId="77777777" w:rsidR="007E4856" w:rsidRDefault="007E4856" w:rsidP="007E4856">
      <w:pPr>
        <w:pStyle w:val="Citat1"/>
      </w:pPr>
      <w:r w:rsidRPr="00230DFF">
        <w:rPr>
          <w:b/>
          <w:bCs/>
        </w:rPr>
        <w:t>Mumbling</w:t>
      </w:r>
      <w:r w:rsidRPr="008778CC">
        <w:t>. Swallowing or muttering a word</w:t>
      </w:r>
      <w:r w:rsidRPr="007E4856">
        <w:t xml:space="preserve"> </w:t>
      </w:r>
      <w:r w:rsidRPr="008778CC">
        <w:t>inaudibly</w:t>
      </w:r>
      <w:r>
        <w:t>.</w:t>
      </w:r>
    </w:p>
    <w:p w14:paraId="4690921B" w14:textId="1638801A" w:rsidR="007E4856" w:rsidRPr="008778CC" w:rsidRDefault="007E4856" w:rsidP="007E4856">
      <w:pPr>
        <w:pStyle w:val="Citat1"/>
      </w:pPr>
      <w:r w:rsidRPr="00230DFF">
        <w:rPr>
          <w:b/>
          <w:bCs/>
        </w:rPr>
        <w:t>Omission</w:t>
      </w:r>
      <w:r w:rsidRPr="008778CC">
        <w:t>. Skipping a symbol and continuing as if it had been read.</w:t>
      </w:r>
    </w:p>
    <w:p w14:paraId="014D1B3B" w14:textId="0BDB6497" w:rsidR="007E4856" w:rsidRPr="008778CC" w:rsidRDefault="007E4856" w:rsidP="007E4856">
      <w:pPr>
        <w:pStyle w:val="Citat1"/>
      </w:pPr>
      <w:r w:rsidRPr="00230DFF">
        <w:rPr>
          <w:b/>
          <w:bCs/>
        </w:rPr>
        <w:t>Retrieval</w:t>
      </w:r>
      <w:r w:rsidRPr="008778CC">
        <w:t xml:space="preserve">. </w:t>
      </w:r>
      <w:r>
        <w:t xml:space="preserve">When </w:t>
      </w:r>
      <w:r w:rsidRPr="008778CC">
        <w:t>retriev</w:t>
      </w:r>
      <w:r>
        <w:t>ing</w:t>
      </w:r>
      <w:r w:rsidRPr="008778CC">
        <w:t xml:space="preserve"> a lexical item</w:t>
      </w:r>
      <w:r>
        <w:t>,</w:t>
      </w:r>
      <w:r w:rsidRPr="008778CC">
        <w:t xml:space="preserve"> say</w:t>
      </w:r>
      <w:r w:rsidR="003D0F4A">
        <w:t>ing</w:t>
      </w:r>
      <w:r w:rsidRPr="008778CC">
        <w:t xml:space="preserve"> a series of incomplete or wrong forms before reaching the optimal one.</w:t>
      </w:r>
    </w:p>
    <w:p w14:paraId="7F2D0F7A" w14:textId="2AF2CE5F" w:rsidR="007E4856" w:rsidRDefault="007E4856" w:rsidP="00F33840">
      <w:pPr>
        <w:pStyle w:val="Brdtext"/>
      </w:pPr>
      <w:r>
        <w:t>Direct, performance-problem</w:t>
      </w:r>
      <w:r w:rsidR="00BC78A1">
        <w:t>-</w:t>
      </w:r>
      <w:r>
        <w:t>related:</w:t>
      </w:r>
    </w:p>
    <w:p w14:paraId="5F9ADFD5" w14:textId="24C46567" w:rsidR="007E4856" w:rsidRDefault="007E4856" w:rsidP="007E4856">
      <w:pPr>
        <w:pStyle w:val="Citat1"/>
      </w:pPr>
      <w:r w:rsidRPr="00230DFF">
        <w:rPr>
          <w:b/>
          <w:bCs/>
        </w:rPr>
        <w:t>Self-rephrasing</w:t>
      </w:r>
      <w:r w:rsidRPr="008778CC">
        <w:t>. Repeating a term</w:t>
      </w:r>
      <w:r>
        <w:t xml:space="preserve"> and, at the same time, </w:t>
      </w:r>
      <w:r w:rsidRPr="008778CC">
        <w:t>changing it (without changing the message)</w:t>
      </w:r>
      <w:r>
        <w:t>.</w:t>
      </w:r>
      <w:r w:rsidR="00316A4D">
        <w:t xml:space="preserve"> Example: </w:t>
      </w:r>
      <w:r w:rsidR="00DB7EB1" w:rsidRPr="00DB7EB1">
        <w:rPr>
          <w:i/>
          <w:iCs/>
        </w:rPr>
        <w:t>“t</w:t>
      </w:r>
      <w:r w:rsidR="00B54CDF" w:rsidRPr="00DB7EB1">
        <w:rPr>
          <w:i/>
          <w:iCs/>
        </w:rPr>
        <w:t xml:space="preserve">he </w:t>
      </w:r>
      <w:r w:rsidR="00DB7EB1" w:rsidRPr="00DB7EB1">
        <w:rPr>
          <w:i/>
          <w:iCs/>
        </w:rPr>
        <w:t xml:space="preserve">second derivative … the second derivative of </w:t>
      </w:r>
      <w:r w:rsidR="00DC2970">
        <w:rPr>
          <w:i/>
          <w:iCs/>
        </w:rPr>
        <w:t>f</w:t>
      </w:r>
      <w:r w:rsidR="00026433">
        <w:rPr>
          <w:i/>
          <w:iCs/>
        </w:rPr>
        <w:t>-of-x</w:t>
      </w:r>
      <w:r w:rsidR="00DB7EB1" w:rsidRPr="00DB7EB1">
        <w:rPr>
          <w:i/>
          <w:iCs/>
        </w:rPr>
        <w:t>”</w:t>
      </w:r>
    </w:p>
    <w:p w14:paraId="60687E63" w14:textId="23C59055" w:rsidR="007E4856" w:rsidRDefault="007E4856" w:rsidP="007E4856">
      <w:pPr>
        <w:pStyle w:val="Citat1"/>
      </w:pPr>
      <w:r w:rsidRPr="00230DFF">
        <w:rPr>
          <w:b/>
          <w:bCs/>
        </w:rPr>
        <w:t>Self-repair</w:t>
      </w:r>
      <w:r w:rsidRPr="008778CC">
        <w:t>. Self-correcti</w:t>
      </w:r>
      <w:r>
        <w:t>ng</w:t>
      </w:r>
      <w:r w:rsidRPr="008778CC">
        <w:t>, either directly or after repetition of the incorrect word/ph</w:t>
      </w:r>
      <w:r>
        <w:t>r</w:t>
      </w:r>
      <w:r w:rsidRPr="008778CC">
        <w:t>ase.</w:t>
      </w:r>
    </w:p>
    <w:p w14:paraId="40862C0D" w14:textId="4E76B9F9" w:rsidR="007E4856" w:rsidRDefault="007E4856" w:rsidP="007E4856">
      <w:pPr>
        <w:pStyle w:val="Citat1"/>
      </w:pPr>
      <w:r w:rsidRPr="00230DFF">
        <w:rPr>
          <w:b/>
          <w:bCs/>
        </w:rPr>
        <w:t>Self-repetition</w:t>
      </w:r>
      <w:r w:rsidRPr="008778CC">
        <w:t>.</w:t>
      </w:r>
      <w:r>
        <w:t xml:space="preserve"> </w:t>
      </w:r>
      <w:r w:rsidRPr="008778CC">
        <w:t>Repeating a</w:t>
      </w:r>
      <w:r>
        <w:t xml:space="preserve"> word or phrase immediately after </w:t>
      </w:r>
      <w:r w:rsidR="00BC78A1">
        <w:t>it</w:t>
      </w:r>
      <w:r>
        <w:t xml:space="preserve"> </w:t>
      </w:r>
      <w:r w:rsidR="00BC78A1">
        <w:t>is</w:t>
      </w:r>
      <w:r>
        <w:t xml:space="preserve"> said.  </w:t>
      </w:r>
    </w:p>
    <w:p w14:paraId="7443B0A8" w14:textId="41B7C7CB" w:rsidR="007E4856" w:rsidRDefault="007E4856" w:rsidP="00BC78A1">
      <w:pPr>
        <w:pStyle w:val="Brdtext"/>
      </w:pPr>
      <w:r>
        <w:t>Indirect, time-pressure related:</w:t>
      </w:r>
    </w:p>
    <w:p w14:paraId="7411B6C1" w14:textId="668EE5CD" w:rsidR="007E4856" w:rsidRDefault="007E4856" w:rsidP="007E4856">
      <w:pPr>
        <w:pStyle w:val="Citat1"/>
      </w:pPr>
      <w:r w:rsidRPr="00230DFF">
        <w:rPr>
          <w:b/>
          <w:bCs/>
        </w:rPr>
        <w:t>Use of fillers</w:t>
      </w:r>
      <w:r w:rsidRPr="008778CC">
        <w:t xml:space="preserve">. </w:t>
      </w:r>
      <w:r>
        <w:t>Using a</w:t>
      </w:r>
      <w:r w:rsidRPr="008778CC">
        <w:t>ll-purpose words</w:t>
      </w:r>
      <w:r>
        <w:t>,</w:t>
      </w:r>
      <w:r w:rsidRPr="008778CC">
        <w:t xml:space="preserve"> or sounds</w:t>
      </w:r>
      <w:r>
        <w:t>,</w:t>
      </w:r>
      <w:r w:rsidRPr="008778CC">
        <w:t xml:space="preserve"> to fill pauses.</w:t>
      </w:r>
    </w:p>
    <w:p w14:paraId="76F77B80" w14:textId="213AA08F" w:rsidR="007E4856" w:rsidRDefault="007E4856" w:rsidP="00F33840">
      <w:pPr>
        <w:pStyle w:val="Brdtext"/>
      </w:pPr>
      <w:r>
        <w:t>Indirect, performance-problem</w:t>
      </w:r>
      <w:r w:rsidR="00BC78A1">
        <w:t>-</w:t>
      </w:r>
      <w:r>
        <w:t>related:</w:t>
      </w:r>
    </w:p>
    <w:p w14:paraId="6324E3A9" w14:textId="3271AD38" w:rsidR="007E4856" w:rsidRDefault="007E4856" w:rsidP="007E4856">
      <w:pPr>
        <w:pStyle w:val="Citat1"/>
      </w:pPr>
      <w:r w:rsidRPr="00230DFF">
        <w:rPr>
          <w:b/>
          <w:bCs/>
        </w:rPr>
        <w:t>Verbal strategy marker.</w:t>
      </w:r>
      <w:r w:rsidRPr="008778CC">
        <w:t xml:space="preserve"> Using verbal marking phrases</w:t>
      </w:r>
      <w:r w:rsidR="00252AD7">
        <w:t>,</w:t>
      </w:r>
      <w:r w:rsidR="00244EA7">
        <w:t xml:space="preserve"> such as </w:t>
      </w:r>
      <w:r w:rsidR="00244EA7" w:rsidRPr="00252AD7">
        <w:rPr>
          <w:i/>
          <w:iCs/>
        </w:rPr>
        <w:t>“</w:t>
      </w:r>
      <w:r w:rsidR="008D54C0" w:rsidRPr="00252AD7">
        <w:rPr>
          <w:i/>
          <w:iCs/>
        </w:rPr>
        <w:t>I don’t know what to say</w:t>
      </w:r>
      <w:r w:rsidR="00252AD7" w:rsidRPr="00252AD7">
        <w:rPr>
          <w:i/>
          <w:iCs/>
        </w:rPr>
        <w:t>.”</w:t>
      </w:r>
      <w:r w:rsidR="00252AD7">
        <w:t xml:space="preserve">, </w:t>
      </w:r>
      <w:r w:rsidRPr="008778CC">
        <w:t>before or after a strategy to signal that the word</w:t>
      </w:r>
      <w:r w:rsidR="00BC78A1">
        <w:t xml:space="preserve"> or </w:t>
      </w:r>
      <w:r w:rsidRPr="008778CC">
        <w:t xml:space="preserve">phrase </w:t>
      </w:r>
      <w:r>
        <w:t>might</w:t>
      </w:r>
      <w:r w:rsidRPr="008778CC">
        <w:t xml:space="preserve"> not carry the intended meaning.</w:t>
      </w:r>
    </w:p>
    <w:p w14:paraId="7914A435" w14:textId="63BD01D1" w:rsidR="00C84D38" w:rsidRDefault="00EA7BA0" w:rsidP="002955D0">
      <w:pPr>
        <w:ind w:firstLine="0"/>
      </w:pPr>
      <w:r>
        <w:t xml:space="preserve">For </w:t>
      </w:r>
      <w:r w:rsidR="003B754E">
        <w:t xml:space="preserve">quite </w:t>
      </w:r>
      <w:r>
        <w:t>a few of the readings</w:t>
      </w:r>
      <w:r w:rsidR="002955D0">
        <w:t>,</w:t>
      </w:r>
      <w:r>
        <w:t xml:space="preserve"> follow-up interviews would have been necessary</w:t>
      </w:r>
      <w:r w:rsidR="00731760">
        <w:t xml:space="preserve"> to report the </w:t>
      </w:r>
      <w:r w:rsidR="00FC66AB">
        <w:t xml:space="preserve">exact </w:t>
      </w:r>
      <w:r w:rsidR="009E7D06">
        <w:t>strategy</w:t>
      </w:r>
      <w:r w:rsidR="00037496">
        <w:t xml:space="preserve"> in use</w:t>
      </w:r>
      <w:r w:rsidR="009E7D06">
        <w:t>.</w:t>
      </w:r>
      <w:r w:rsidR="00922AF5">
        <w:t xml:space="preserve"> For example, </w:t>
      </w:r>
      <w:r w:rsidR="00C31A86">
        <w:t xml:space="preserve">if a participant </w:t>
      </w:r>
      <w:r w:rsidR="00037496">
        <w:t>says</w:t>
      </w:r>
      <w:r w:rsidR="00C31A86">
        <w:t xml:space="preserve"> the word </w:t>
      </w:r>
      <w:r w:rsidR="0032570D">
        <w:t>“function” instead of “integral” it i</w:t>
      </w:r>
      <w:r w:rsidR="00644016">
        <w:t>s not possible to know if the</w:t>
      </w:r>
      <w:r w:rsidR="00A17861">
        <w:t xml:space="preserve"> person </w:t>
      </w:r>
      <w:r w:rsidR="00644016">
        <w:t xml:space="preserve">sees the concepts as </w:t>
      </w:r>
      <w:r w:rsidR="00F83848">
        <w:t>similar and</w:t>
      </w:r>
      <w:r w:rsidR="00940432">
        <w:t>, thu</w:t>
      </w:r>
      <w:r w:rsidR="00C421AF">
        <w:t xml:space="preserve">s, </w:t>
      </w:r>
      <w:r w:rsidR="00F83848">
        <w:t xml:space="preserve">uses an approximation, or if they </w:t>
      </w:r>
      <w:r w:rsidR="009E5E5A">
        <w:t>consciously replace the original message</w:t>
      </w:r>
      <w:r w:rsidR="000453A2">
        <w:t xml:space="preserve"> just </w:t>
      </w:r>
      <w:r w:rsidR="00B537FC">
        <w:t>to say</w:t>
      </w:r>
      <w:r w:rsidR="00C421AF">
        <w:t xml:space="preserve"> </w:t>
      </w:r>
      <w:r w:rsidR="001045CB">
        <w:t>something</w:t>
      </w:r>
      <w:r w:rsidR="00B537FC">
        <w:t>.</w:t>
      </w:r>
      <w:r w:rsidR="00433143">
        <w:t xml:space="preserve"> </w:t>
      </w:r>
      <w:r w:rsidR="00BD501E">
        <w:t>Yet</w:t>
      </w:r>
      <w:r w:rsidR="00433143">
        <w:t>,</w:t>
      </w:r>
      <w:r w:rsidR="002655D0">
        <w:t xml:space="preserve"> many readings </w:t>
      </w:r>
      <w:r w:rsidR="009E4D9B">
        <w:t xml:space="preserve">were </w:t>
      </w:r>
      <w:r w:rsidR="001045CB">
        <w:t>to the point</w:t>
      </w:r>
      <w:r w:rsidR="007F4F51">
        <w:t xml:space="preserve"> and could easily be </w:t>
      </w:r>
      <w:r w:rsidR="009E4D9B">
        <w:t>classified</w:t>
      </w:r>
      <w:r w:rsidR="00BD501E">
        <w:t xml:space="preserve"> </w:t>
      </w:r>
      <w:r w:rsidR="0009228A">
        <w:lastRenderedPageBreak/>
        <w:t xml:space="preserve">based on </w:t>
      </w:r>
      <w:r w:rsidR="00BD501E">
        <w:t>the descriptions</w:t>
      </w:r>
      <w:r w:rsidR="009E4D9B">
        <w:t xml:space="preserve">. </w:t>
      </w:r>
      <w:r w:rsidR="00B537FC">
        <w:t>Because of th</w:t>
      </w:r>
      <w:r w:rsidR="009E4D9B">
        <w:t>e</w:t>
      </w:r>
      <w:r w:rsidR="00DC562F">
        <w:t xml:space="preserve"> </w:t>
      </w:r>
      <w:r w:rsidR="009E4D9B">
        <w:t xml:space="preserve">limitations to the </w:t>
      </w:r>
      <w:r w:rsidR="006F7044">
        <w:t>method</w:t>
      </w:r>
      <w:r w:rsidR="00DC562F">
        <w:t xml:space="preserve">, </w:t>
      </w:r>
      <w:r w:rsidR="00395700">
        <w:t xml:space="preserve">only the </w:t>
      </w:r>
      <w:r w:rsidR="00DB18AB">
        <w:t>occurrence</w:t>
      </w:r>
      <w:r w:rsidR="008E619F">
        <w:t xml:space="preserve">—if a strategy </w:t>
      </w:r>
      <w:r w:rsidR="00C421AF">
        <w:t>was</w:t>
      </w:r>
      <w:r w:rsidR="008E619F">
        <w:t xml:space="preserve"> present in data or not—</w:t>
      </w:r>
      <w:r w:rsidR="00A10DBD">
        <w:t>was</w:t>
      </w:r>
      <w:r w:rsidR="008E619F">
        <w:t xml:space="preserve"> </w:t>
      </w:r>
      <w:r w:rsidR="00DB18AB">
        <w:t xml:space="preserve">reported </w:t>
      </w:r>
      <w:r w:rsidR="00D823BD">
        <w:t>for each strategy</w:t>
      </w:r>
      <w:r w:rsidR="0057291F">
        <w:t>,</w:t>
      </w:r>
      <w:r w:rsidR="00D823BD">
        <w:t xml:space="preserve"> </w:t>
      </w:r>
      <w:r w:rsidR="00DB18AB">
        <w:t xml:space="preserve">and not </w:t>
      </w:r>
      <w:r w:rsidR="00D823BD">
        <w:t>its</w:t>
      </w:r>
      <w:r w:rsidR="00DB18AB">
        <w:t xml:space="preserve"> </w:t>
      </w:r>
      <w:r w:rsidR="00DC562F">
        <w:t>frequenc</w:t>
      </w:r>
      <w:r w:rsidR="00D823BD">
        <w:t>y</w:t>
      </w:r>
      <w:r w:rsidR="00DC562F">
        <w:t>.</w:t>
      </w:r>
      <w:r w:rsidR="00F614E8">
        <w:t xml:space="preserve"> </w:t>
      </w:r>
      <w:r w:rsidR="00EA0056">
        <w:t xml:space="preserve"> </w:t>
      </w:r>
      <w:r w:rsidR="00B4277B">
        <w:t xml:space="preserve"> </w:t>
      </w:r>
      <w:r w:rsidR="003D0F4A">
        <w:t xml:space="preserve"> </w:t>
      </w:r>
      <w:r w:rsidR="00D84230">
        <w:t xml:space="preserve"> </w:t>
      </w:r>
      <w:r w:rsidR="00C84D38">
        <w:t xml:space="preserve"> </w:t>
      </w:r>
    </w:p>
    <w:p w14:paraId="2E98D0FE" w14:textId="1BCCFD36" w:rsidR="007E4856" w:rsidRDefault="007E4856" w:rsidP="00C84D38">
      <w:pPr>
        <w:pStyle w:val="Rubrik2"/>
        <w:tabs>
          <w:tab w:val="left" w:pos="6870"/>
        </w:tabs>
      </w:pPr>
      <w:r>
        <w:t>Results</w:t>
      </w:r>
      <w:r w:rsidR="00C84D38">
        <w:tab/>
      </w:r>
    </w:p>
    <w:p w14:paraId="1B39081D" w14:textId="2C0A3A1A" w:rsidR="007E4856" w:rsidRDefault="007E4856" w:rsidP="007F4F51">
      <w:pPr>
        <w:pStyle w:val="Brdtext"/>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969"/>
        <w:gridCol w:w="2693"/>
        <w:gridCol w:w="1142"/>
      </w:tblGrid>
      <w:tr w:rsidR="007F4F51" w14:paraId="0BBCBB14" w14:textId="77777777" w:rsidTr="00A2359F">
        <w:trPr>
          <w:jc w:val="center"/>
        </w:trPr>
        <w:tc>
          <w:tcPr>
            <w:tcW w:w="5237" w:type="dxa"/>
            <w:gridSpan w:val="2"/>
            <w:tcBorders>
              <w:top w:val="single" w:sz="6" w:space="0" w:color="auto"/>
              <w:left w:val="single" w:sz="6" w:space="0" w:color="auto"/>
              <w:bottom w:val="single" w:sz="6" w:space="0" w:color="auto"/>
              <w:right w:val="single" w:sz="6" w:space="0" w:color="auto"/>
            </w:tcBorders>
          </w:tcPr>
          <w:p w14:paraId="57A8F5FD" w14:textId="77777777" w:rsidR="007F4F51" w:rsidRDefault="007F4F51" w:rsidP="00A2359F">
            <w:pPr>
              <w:ind w:firstLine="0"/>
              <w:jc w:val="center"/>
            </w:pPr>
            <w:r w:rsidRPr="001A5813">
              <w:rPr>
                <w:rFonts w:eastAsia="PMingLiU"/>
                <w:b/>
                <w:bCs/>
              </w:rPr>
              <w:t>Strategy type</w:t>
            </w:r>
          </w:p>
        </w:tc>
        <w:tc>
          <w:tcPr>
            <w:tcW w:w="2693" w:type="dxa"/>
            <w:tcBorders>
              <w:top w:val="single" w:sz="6" w:space="0" w:color="auto"/>
              <w:left w:val="single" w:sz="6" w:space="0" w:color="auto"/>
              <w:bottom w:val="single" w:sz="6" w:space="0" w:color="auto"/>
              <w:right w:val="single" w:sz="6" w:space="0" w:color="auto"/>
            </w:tcBorders>
          </w:tcPr>
          <w:p w14:paraId="07F1CD85" w14:textId="77777777" w:rsidR="007F4F51" w:rsidRDefault="007F4F51" w:rsidP="00A2359F">
            <w:pPr>
              <w:ind w:firstLine="0"/>
              <w:jc w:val="center"/>
            </w:pPr>
            <w:r w:rsidRPr="001A5813">
              <w:rPr>
                <w:rFonts w:eastAsia="PMingLiU"/>
                <w:b/>
                <w:bCs/>
              </w:rPr>
              <w:t>Devia</w:t>
            </w:r>
            <w:r>
              <w:rPr>
                <w:rFonts w:eastAsia="PMingLiU"/>
                <w:b/>
                <w:bCs/>
              </w:rPr>
              <w:t xml:space="preserve">tion </w:t>
            </w:r>
            <w:r w:rsidRPr="001A5813">
              <w:rPr>
                <w:rFonts w:eastAsia="PMingLiU"/>
                <w:b/>
                <w:bCs/>
              </w:rPr>
              <w:t>from standard</w:t>
            </w:r>
          </w:p>
        </w:tc>
        <w:tc>
          <w:tcPr>
            <w:tcW w:w="1142" w:type="dxa"/>
            <w:tcBorders>
              <w:top w:val="single" w:sz="6" w:space="0" w:color="auto"/>
              <w:left w:val="single" w:sz="6" w:space="0" w:color="auto"/>
              <w:bottom w:val="single" w:sz="6" w:space="0" w:color="auto"/>
              <w:right w:val="single" w:sz="6" w:space="0" w:color="auto"/>
            </w:tcBorders>
          </w:tcPr>
          <w:p w14:paraId="62661C4A" w14:textId="77777777" w:rsidR="007F4F51" w:rsidRDefault="007F4F51" w:rsidP="00A2359F">
            <w:pPr>
              <w:ind w:firstLine="0"/>
              <w:jc w:val="center"/>
              <w:rPr>
                <w:rFonts w:eastAsia="PMingLiU"/>
                <w:b/>
                <w:bCs/>
              </w:rPr>
            </w:pPr>
            <w:r w:rsidRPr="001A5813">
              <w:rPr>
                <w:rFonts w:eastAsia="PMingLiU"/>
                <w:b/>
                <w:bCs/>
              </w:rPr>
              <w:t>Found</w:t>
            </w:r>
          </w:p>
          <w:p w14:paraId="02582CD6" w14:textId="77777777" w:rsidR="007F4F51" w:rsidRDefault="007F4F51" w:rsidP="00A2359F">
            <w:pPr>
              <w:ind w:firstLine="0"/>
              <w:jc w:val="center"/>
            </w:pPr>
            <w:r w:rsidRPr="007E4856">
              <w:rPr>
                <w:rFonts w:eastAsia="PMingLiU"/>
              </w:rPr>
              <w:t>(Y/N)</w:t>
            </w:r>
          </w:p>
        </w:tc>
      </w:tr>
      <w:tr w:rsidR="007F4F51" w14:paraId="3B4DB468" w14:textId="77777777" w:rsidTr="00A2359F">
        <w:trPr>
          <w:jc w:val="center"/>
        </w:trPr>
        <w:tc>
          <w:tcPr>
            <w:tcW w:w="5237" w:type="dxa"/>
            <w:gridSpan w:val="2"/>
            <w:tcBorders>
              <w:top w:val="single" w:sz="6" w:space="0" w:color="auto"/>
              <w:left w:val="single" w:sz="6" w:space="0" w:color="auto"/>
              <w:bottom w:val="single" w:sz="6" w:space="0" w:color="auto"/>
              <w:right w:val="single" w:sz="6" w:space="0" w:color="auto"/>
            </w:tcBorders>
          </w:tcPr>
          <w:p w14:paraId="62619D9F" w14:textId="77777777" w:rsidR="007F4F51" w:rsidRPr="0044077B" w:rsidRDefault="007F4F51" w:rsidP="00A2359F">
            <w:pPr>
              <w:ind w:firstLine="0"/>
              <w:rPr>
                <w:b/>
                <w:bCs/>
              </w:rPr>
            </w:pPr>
            <w:r w:rsidRPr="0044077B">
              <w:rPr>
                <w:rFonts w:eastAsia="PMingLiU"/>
                <w:b/>
                <w:bCs/>
              </w:rPr>
              <w:t>Direct strategies</w:t>
            </w:r>
          </w:p>
        </w:tc>
        <w:tc>
          <w:tcPr>
            <w:tcW w:w="2693" w:type="dxa"/>
            <w:tcBorders>
              <w:top w:val="single" w:sz="6" w:space="0" w:color="auto"/>
              <w:left w:val="single" w:sz="6" w:space="0" w:color="auto"/>
              <w:bottom w:val="single" w:sz="6" w:space="0" w:color="auto"/>
              <w:right w:val="single" w:sz="6" w:space="0" w:color="auto"/>
            </w:tcBorders>
          </w:tcPr>
          <w:p w14:paraId="55E8C5CD" w14:textId="77777777" w:rsidR="007F4F51" w:rsidRDefault="007F4F51" w:rsidP="00A2359F"/>
        </w:tc>
        <w:tc>
          <w:tcPr>
            <w:tcW w:w="1142" w:type="dxa"/>
            <w:tcBorders>
              <w:top w:val="single" w:sz="6" w:space="0" w:color="auto"/>
              <w:left w:val="single" w:sz="6" w:space="0" w:color="auto"/>
              <w:bottom w:val="single" w:sz="6" w:space="0" w:color="auto"/>
              <w:right w:val="single" w:sz="6" w:space="0" w:color="auto"/>
            </w:tcBorders>
          </w:tcPr>
          <w:p w14:paraId="5DF92D5A" w14:textId="77777777" w:rsidR="007F4F51" w:rsidRDefault="007F4F51" w:rsidP="00A2359F"/>
        </w:tc>
      </w:tr>
      <w:tr w:rsidR="007F4F51" w14:paraId="4B450FC1" w14:textId="77777777" w:rsidTr="00A2359F">
        <w:trPr>
          <w:jc w:val="center"/>
        </w:trPr>
        <w:tc>
          <w:tcPr>
            <w:tcW w:w="2268" w:type="dxa"/>
            <w:vMerge w:val="restart"/>
            <w:tcBorders>
              <w:top w:val="single" w:sz="6" w:space="0" w:color="auto"/>
              <w:left w:val="single" w:sz="6" w:space="0" w:color="auto"/>
              <w:right w:val="single" w:sz="6" w:space="0" w:color="auto"/>
            </w:tcBorders>
          </w:tcPr>
          <w:p w14:paraId="2F0EC409" w14:textId="77777777" w:rsidR="007F4F51" w:rsidRDefault="007F4F51" w:rsidP="00A2359F">
            <w:pPr>
              <w:ind w:firstLine="0"/>
            </w:pPr>
            <w:r w:rsidRPr="001A5813">
              <w:rPr>
                <w:rFonts w:eastAsia="PMingLiU"/>
                <w:i/>
                <w:iCs/>
              </w:rPr>
              <w:t>Resource-deficit related</w:t>
            </w:r>
          </w:p>
        </w:tc>
        <w:tc>
          <w:tcPr>
            <w:tcW w:w="2969" w:type="dxa"/>
            <w:tcBorders>
              <w:top w:val="single" w:sz="6" w:space="0" w:color="auto"/>
              <w:left w:val="single" w:sz="6" w:space="0" w:color="auto"/>
              <w:bottom w:val="single" w:sz="6" w:space="0" w:color="auto"/>
              <w:right w:val="single" w:sz="6" w:space="0" w:color="auto"/>
            </w:tcBorders>
          </w:tcPr>
          <w:p w14:paraId="64836755" w14:textId="77777777" w:rsidR="007F4F51" w:rsidRDefault="007F4F51" w:rsidP="00A2359F">
            <w:pPr>
              <w:ind w:firstLine="0"/>
              <w:jc w:val="left"/>
            </w:pPr>
            <w:r w:rsidRPr="001A5813">
              <w:rPr>
                <w:rFonts w:eastAsia="PMingLiU"/>
              </w:rPr>
              <w:t>Message abandonment</w:t>
            </w:r>
          </w:p>
        </w:tc>
        <w:tc>
          <w:tcPr>
            <w:tcW w:w="2693" w:type="dxa"/>
            <w:tcBorders>
              <w:top w:val="single" w:sz="6" w:space="0" w:color="auto"/>
              <w:left w:val="single" w:sz="6" w:space="0" w:color="auto"/>
              <w:bottom w:val="single" w:sz="6" w:space="0" w:color="auto"/>
              <w:right w:val="single" w:sz="6" w:space="0" w:color="auto"/>
            </w:tcBorders>
          </w:tcPr>
          <w:p w14:paraId="20200E75" w14:textId="77777777" w:rsidR="007F4F51" w:rsidRDefault="007F4F51" w:rsidP="00A2359F">
            <w:pPr>
              <w:ind w:firstLine="0"/>
              <w:jc w:val="left"/>
            </w:pPr>
            <w:r>
              <w:rPr>
                <w:rFonts w:eastAsia="PMingLiU"/>
              </w:rPr>
              <w:t>m</w:t>
            </w:r>
            <w:r w:rsidRPr="001A5813">
              <w:rPr>
                <w:rFonts w:eastAsia="PMingLiU"/>
              </w:rPr>
              <w:t>essage</w:t>
            </w:r>
            <w:r>
              <w:rPr>
                <w:rFonts w:eastAsia="PMingLiU"/>
              </w:rPr>
              <w:t>/content</w:t>
            </w:r>
          </w:p>
        </w:tc>
        <w:tc>
          <w:tcPr>
            <w:tcW w:w="1142" w:type="dxa"/>
            <w:tcBorders>
              <w:top w:val="single" w:sz="6" w:space="0" w:color="auto"/>
              <w:left w:val="single" w:sz="6" w:space="0" w:color="auto"/>
              <w:bottom w:val="single" w:sz="6" w:space="0" w:color="auto"/>
              <w:right w:val="single" w:sz="6" w:space="0" w:color="auto"/>
            </w:tcBorders>
          </w:tcPr>
          <w:p w14:paraId="08D76B89" w14:textId="77777777" w:rsidR="007F4F51" w:rsidRDefault="007F4F51" w:rsidP="00A2359F">
            <w:r w:rsidRPr="001A5813">
              <w:rPr>
                <w:rFonts w:eastAsia="PMingLiU"/>
              </w:rPr>
              <w:t>Y</w:t>
            </w:r>
          </w:p>
        </w:tc>
      </w:tr>
      <w:tr w:rsidR="007F4F51" w14:paraId="0980EE6E" w14:textId="77777777" w:rsidTr="00A2359F">
        <w:trPr>
          <w:jc w:val="center"/>
        </w:trPr>
        <w:tc>
          <w:tcPr>
            <w:tcW w:w="2268" w:type="dxa"/>
            <w:vMerge/>
            <w:tcBorders>
              <w:left w:val="single" w:sz="6" w:space="0" w:color="auto"/>
              <w:right w:val="single" w:sz="6" w:space="0" w:color="auto"/>
            </w:tcBorders>
          </w:tcPr>
          <w:p w14:paraId="337A46AA" w14:textId="77777777" w:rsidR="007F4F51" w:rsidRDefault="007F4F51" w:rsidP="00A2359F"/>
        </w:tc>
        <w:tc>
          <w:tcPr>
            <w:tcW w:w="2969" w:type="dxa"/>
            <w:tcBorders>
              <w:top w:val="single" w:sz="6" w:space="0" w:color="auto"/>
              <w:left w:val="single" w:sz="6" w:space="0" w:color="auto"/>
              <w:bottom w:val="single" w:sz="6" w:space="0" w:color="auto"/>
              <w:right w:val="single" w:sz="6" w:space="0" w:color="auto"/>
            </w:tcBorders>
          </w:tcPr>
          <w:p w14:paraId="74F5C2A5" w14:textId="77777777" w:rsidR="007F4F51" w:rsidRDefault="007F4F51" w:rsidP="00A2359F">
            <w:pPr>
              <w:ind w:firstLine="0"/>
              <w:jc w:val="left"/>
            </w:pPr>
            <w:r w:rsidRPr="001A5813">
              <w:rPr>
                <w:rFonts w:eastAsia="PMingLiU"/>
              </w:rPr>
              <w:t>Message reduction</w:t>
            </w:r>
          </w:p>
        </w:tc>
        <w:tc>
          <w:tcPr>
            <w:tcW w:w="2693" w:type="dxa"/>
            <w:tcBorders>
              <w:top w:val="single" w:sz="6" w:space="0" w:color="auto"/>
              <w:left w:val="single" w:sz="6" w:space="0" w:color="auto"/>
              <w:bottom w:val="single" w:sz="6" w:space="0" w:color="auto"/>
              <w:right w:val="single" w:sz="6" w:space="0" w:color="auto"/>
            </w:tcBorders>
          </w:tcPr>
          <w:p w14:paraId="13391A72" w14:textId="77777777" w:rsidR="007F4F51" w:rsidRDefault="007F4F51" w:rsidP="00A2359F">
            <w:pPr>
              <w:ind w:firstLine="0"/>
              <w:jc w:val="left"/>
            </w:pPr>
            <w:r>
              <w:rPr>
                <w:rFonts w:eastAsia="PMingLiU"/>
              </w:rPr>
              <w:t>m</w:t>
            </w:r>
            <w:r w:rsidRPr="001A5813">
              <w:rPr>
                <w:rFonts w:eastAsia="PMingLiU"/>
              </w:rPr>
              <w:t>essage</w:t>
            </w:r>
            <w:r>
              <w:rPr>
                <w:rFonts w:eastAsia="PMingLiU"/>
              </w:rPr>
              <w:t>/content</w:t>
            </w:r>
          </w:p>
        </w:tc>
        <w:tc>
          <w:tcPr>
            <w:tcW w:w="1142" w:type="dxa"/>
            <w:tcBorders>
              <w:top w:val="single" w:sz="6" w:space="0" w:color="auto"/>
              <w:left w:val="single" w:sz="6" w:space="0" w:color="auto"/>
              <w:bottom w:val="single" w:sz="6" w:space="0" w:color="auto"/>
              <w:right w:val="single" w:sz="6" w:space="0" w:color="auto"/>
            </w:tcBorders>
          </w:tcPr>
          <w:p w14:paraId="10B84D7A" w14:textId="77777777" w:rsidR="007F4F51" w:rsidRDefault="007F4F51" w:rsidP="00A2359F">
            <w:r w:rsidRPr="001A5813">
              <w:rPr>
                <w:rFonts w:eastAsia="PMingLiU"/>
              </w:rPr>
              <w:t>N</w:t>
            </w:r>
          </w:p>
        </w:tc>
      </w:tr>
      <w:tr w:rsidR="007F4F51" w14:paraId="02382ED2" w14:textId="77777777" w:rsidTr="00A2359F">
        <w:trPr>
          <w:jc w:val="center"/>
        </w:trPr>
        <w:tc>
          <w:tcPr>
            <w:tcW w:w="2268" w:type="dxa"/>
            <w:vMerge/>
            <w:tcBorders>
              <w:left w:val="single" w:sz="6" w:space="0" w:color="auto"/>
              <w:right w:val="single" w:sz="6" w:space="0" w:color="auto"/>
            </w:tcBorders>
          </w:tcPr>
          <w:p w14:paraId="3247B2C6" w14:textId="77777777" w:rsidR="007F4F51" w:rsidRDefault="007F4F51" w:rsidP="00A2359F"/>
        </w:tc>
        <w:tc>
          <w:tcPr>
            <w:tcW w:w="2969" w:type="dxa"/>
            <w:tcBorders>
              <w:top w:val="single" w:sz="6" w:space="0" w:color="auto"/>
              <w:left w:val="single" w:sz="6" w:space="0" w:color="auto"/>
              <w:bottom w:val="single" w:sz="6" w:space="0" w:color="auto"/>
              <w:right w:val="single" w:sz="6" w:space="0" w:color="auto"/>
            </w:tcBorders>
          </w:tcPr>
          <w:p w14:paraId="03A23458" w14:textId="77777777" w:rsidR="007F4F51" w:rsidRDefault="007F4F51" w:rsidP="00A2359F">
            <w:pPr>
              <w:ind w:firstLine="0"/>
              <w:jc w:val="left"/>
            </w:pPr>
            <w:r w:rsidRPr="001A5813">
              <w:rPr>
                <w:rFonts w:eastAsia="PMingLiU"/>
              </w:rPr>
              <w:t>Message replacement</w:t>
            </w:r>
          </w:p>
        </w:tc>
        <w:tc>
          <w:tcPr>
            <w:tcW w:w="2693" w:type="dxa"/>
            <w:tcBorders>
              <w:top w:val="single" w:sz="6" w:space="0" w:color="auto"/>
              <w:left w:val="single" w:sz="6" w:space="0" w:color="auto"/>
              <w:bottom w:val="single" w:sz="6" w:space="0" w:color="auto"/>
              <w:right w:val="single" w:sz="6" w:space="0" w:color="auto"/>
            </w:tcBorders>
          </w:tcPr>
          <w:p w14:paraId="00BEC25B" w14:textId="77777777" w:rsidR="007F4F51" w:rsidRDefault="007F4F51" w:rsidP="00A2359F">
            <w:pPr>
              <w:ind w:firstLine="0"/>
              <w:jc w:val="left"/>
            </w:pPr>
            <w:r>
              <w:rPr>
                <w:rFonts w:eastAsia="PMingLiU"/>
              </w:rPr>
              <w:t>m</w:t>
            </w:r>
            <w:r w:rsidRPr="001A5813">
              <w:rPr>
                <w:rFonts w:eastAsia="PMingLiU"/>
              </w:rPr>
              <w:t>essage</w:t>
            </w:r>
            <w:r>
              <w:rPr>
                <w:rFonts w:eastAsia="PMingLiU"/>
              </w:rPr>
              <w:t>/content</w:t>
            </w:r>
          </w:p>
        </w:tc>
        <w:tc>
          <w:tcPr>
            <w:tcW w:w="1142" w:type="dxa"/>
            <w:tcBorders>
              <w:top w:val="single" w:sz="6" w:space="0" w:color="auto"/>
              <w:left w:val="single" w:sz="6" w:space="0" w:color="auto"/>
              <w:bottom w:val="single" w:sz="6" w:space="0" w:color="auto"/>
              <w:right w:val="single" w:sz="6" w:space="0" w:color="auto"/>
            </w:tcBorders>
          </w:tcPr>
          <w:p w14:paraId="3132BAE2" w14:textId="77777777" w:rsidR="007F4F51" w:rsidRDefault="007F4F51" w:rsidP="00A2359F">
            <w:r w:rsidRPr="001A5813">
              <w:rPr>
                <w:rFonts w:eastAsia="PMingLiU"/>
              </w:rPr>
              <w:t>Y</w:t>
            </w:r>
          </w:p>
        </w:tc>
      </w:tr>
      <w:tr w:rsidR="007F4F51" w14:paraId="54B7B39D" w14:textId="77777777" w:rsidTr="00A2359F">
        <w:trPr>
          <w:jc w:val="center"/>
        </w:trPr>
        <w:tc>
          <w:tcPr>
            <w:tcW w:w="2268" w:type="dxa"/>
            <w:vMerge/>
            <w:tcBorders>
              <w:left w:val="single" w:sz="6" w:space="0" w:color="auto"/>
              <w:right w:val="single" w:sz="6" w:space="0" w:color="auto"/>
            </w:tcBorders>
          </w:tcPr>
          <w:p w14:paraId="4068EE8A" w14:textId="77777777" w:rsidR="007F4F51" w:rsidRDefault="007F4F51" w:rsidP="00A2359F"/>
        </w:tc>
        <w:tc>
          <w:tcPr>
            <w:tcW w:w="2969" w:type="dxa"/>
            <w:tcBorders>
              <w:top w:val="single" w:sz="6" w:space="0" w:color="auto"/>
              <w:left w:val="single" w:sz="6" w:space="0" w:color="auto"/>
              <w:bottom w:val="single" w:sz="6" w:space="0" w:color="auto"/>
              <w:right w:val="single" w:sz="6" w:space="0" w:color="auto"/>
            </w:tcBorders>
          </w:tcPr>
          <w:p w14:paraId="149407D5" w14:textId="77777777" w:rsidR="007F4F51" w:rsidRDefault="007F4F51" w:rsidP="00A2359F">
            <w:pPr>
              <w:ind w:firstLine="0"/>
              <w:jc w:val="left"/>
            </w:pPr>
            <w:r w:rsidRPr="001A5813">
              <w:rPr>
                <w:rFonts w:eastAsia="PMingLiU"/>
              </w:rPr>
              <w:t>Restructuring</w:t>
            </w:r>
          </w:p>
        </w:tc>
        <w:tc>
          <w:tcPr>
            <w:tcW w:w="2693" w:type="dxa"/>
            <w:tcBorders>
              <w:top w:val="single" w:sz="6" w:space="0" w:color="auto"/>
              <w:left w:val="single" w:sz="6" w:space="0" w:color="auto"/>
              <w:bottom w:val="single" w:sz="6" w:space="0" w:color="auto"/>
              <w:right w:val="single" w:sz="6" w:space="0" w:color="auto"/>
            </w:tcBorders>
          </w:tcPr>
          <w:p w14:paraId="0DFD2117" w14:textId="77777777" w:rsidR="007F4F51" w:rsidRDefault="007F4F51" w:rsidP="00A2359F">
            <w:pPr>
              <w:ind w:firstLine="0"/>
              <w:jc w:val="left"/>
            </w:pPr>
            <w:r>
              <w:rPr>
                <w:rFonts w:eastAsia="PMingLiU"/>
              </w:rPr>
              <w:t>v</w:t>
            </w:r>
            <w:r w:rsidRPr="001A5813">
              <w:rPr>
                <w:rFonts w:eastAsia="PMingLiU"/>
              </w:rPr>
              <w:t xml:space="preserve">ocabulary </w:t>
            </w:r>
            <w:r>
              <w:rPr>
                <w:rFonts w:eastAsia="PMingLiU"/>
              </w:rPr>
              <w:t>use</w:t>
            </w:r>
          </w:p>
        </w:tc>
        <w:tc>
          <w:tcPr>
            <w:tcW w:w="1142" w:type="dxa"/>
            <w:tcBorders>
              <w:top w:val="single" w:sz="6" w:space="0" w:color="auto"/>
              <w:left w:val="single" w:sz="6" w:space="0" w:color="auto"/>
              <w:bottom w:val="single" w:sz="6" w:space="0" w:color="auto"/>
              <w:right w:val="single" w:sz="6" w:space="0" w:color="auto"/>
            </w:tcBorders>
          </w:tcPr>
          <w:p w14:paraId="42EB375D" w14:textId="77777777" w:rsidR="007F4F51" w:rsidRDefault="007F4F51" w:rsidP="00A2359F">
            <w:r w:rsidRPr="001A5813">
              <w:rPr>
                <w:rFonts w:eastAsia="PMingLiU"/>
              </w:rPr>
              <w:t>Y</w:t>
            </w:r>
          </w:p>
        </w:tc>
      </w:tr>
      <w:tr w:rsidR="007F4F51" w14:paraId="51F5295E" w14:textId="77777777" w:rsidTr="00A2359F">
        <w:trPr>
          <w:jc w:val="center"/>
        </w:trPr>
        <w:tc>
          <w:tcPr>
            <w:tcW w:w="2268" w:type="dxa"/>
            <w:vMerge/>
            <w:tcBorders>
              <w:left w:val="single" w:sz="6" w:space="0" w:color="auto"/>
              <w:right w:val="single" w:sz="6" w:space="0" w:color="auto"/>
            </w:tcBorders>
          </w:tcPr>
          <w:p w14:paraId="26727D28" w14:textId="77777777" w:rsidR="007F4F51" w:rsidRDefault="007F4F51" w:rsidP="00A2359F"/>
        </w:tc>
        <w:tc>
          <w:tcPr>
            <w:tcW w:w="2969" w:type="dxa"/>
            <w:tcBorders>
              <w:top w:val="single" w:sz="6" w:space="0" w:color="auto"/>
              <w:left w:val="single" w:sz="6" w:space="0" w:color="auto"/>
              <w:bottom w:val="single" w:sz="6" w:space="0" w:color="auto"/>
              <w:right w:val="single" w:sz="6" w:space="0" w:color="auto"/>
            </w:tcBorders>
          </w:tcPr>
          <w:p w14:paraId="11382952" w14:textId="77777777" w:rsidR="007F4F51" w:rsidRDefault="007F4F51" w:rsidP="00A2359F">
            <w:pPr>
              <w:ind w:firstLine="0"/>
              <w:jc w:val="left"/>
            </w:pPr>
            <w:r w:rsidRPr="001A5813">
              <w:rPr>
                <w:rFonts w:eastAsia="PMingLiU"/>
              </w:rPr>
              <w:t>Approximation</w:t>
            </w:r>
          </w:p>
        </w:tc>
        <w:tc>
          <w:tcPr>
            <w:tcW w:w="2693" w:type="dxa"/>
            <w:tcBorders>
              <w:top w:val="single" w:sz="6" w:space="0" w:color="auto"/>
              <w:left w:val="single" w:sz="6" w:space="0" w:color="auto"/>
              <w:bottom w:val="single" w:sz="6" w:space="0" w:color="auto"/>
              <w:right w:val="single" w:sz="6" w:space="0" w:color="auto"/>
            </w:tcBorders>
          </w:tcPr>
          <w:p w14:paraId="3295F4B3" w14:textId="77777777" w:rsidR="007F4F51" w:rsidRDefault="007F4F51" w:rsidP="00A2359F">
            <w:pPr>
              <w:ind w:firstLine="0"/>
              <w:jc w:val="left"/>
            </w:pPr>
            <w:r>
              <w:rPr>
                <w:rFonts w:eastAsia="PMingLiU"/>
              </w:rPr>
              <w:t>v</w:t>
            </w:r>
            <w:r w:rsidRPr="001A5813">
              <w:rPr>
                <w:rFonts w:eastAsia="PMingLiU"/>
              </w:rPr>
              <w:t xml:space="preserve">ocabulary </w:t>
            </w:r>
            <w:r>
              <w:rPr>
                <w:rFonts w:eastAsia="PMingLiU"/>
              </w:rPr>
              <w:t>use</w:t>
            </w:r>
          </w:p>
        </w:tc>
        <w:tc>
          <w:tcPr>
            <w:tcW w:w="1142" w:type="dxa"/>
            <w:tcBorders>
              <w:top w:val="single" w:sz="6" w:space="0" w:color="auto"/>
              <w:left w:val="single" w:sz="6" w:space="0" w:color="auto"/>
              <w:bottom w:val="single" w:sz="6" w:space="0" w:color="auto"/>
              <w:right w:val="single" w:sz="6" w:space="0" w:color="auto"/>
            </w:tcBorders>
          </w:tcPr>
          <w:p w14:paraId="3DD93C90" w14:textId="77777777" w:rsidR="007F4F51" w:rsidRDefault="007F4F51" w:rsidP="00A2359F">
            <w:r w:rsidRPr="001A5813">
              <w:rPr>
                <w:rFonts w:eastAsia="PMingLiU"/>
              </w:rPr>
              <w:t>Y</w:t>
            </w:r>
          </w:p>
        </w:tc>
      </w:tr>
      <w:tr w:rsidR="007F4F51" w14:paraId="681EE411" w14:textId="77777777" w:rsidTr="00A2359F">
        <w:trPr>
          <w:jc w:val="center"/>
        </w:trPr>
        <w:tc>
          <w:tcPr>
            <w:tcW w:w="2268" w:type="dxa"/>
            <w:vMerge/>
            <w:tcBorders>
              <w:left w:val="single" w:sz="6" w:space="0" w:color="auto"/>
              <w:right w:val="single" w:sz="6" w:space="0" w:color="auto"/>
            </w:tcBorders>
          </w:tcPr>
          <w:p w14:paraId="4540D8CF" w14:textId="77777777" w:rsidR="007F4F51" w:rsidRDefault="007F4F51" w:rsidP="00A2359F"/>
        </w:tc>
        <w:tc>
          <w:tcPr>
            <w:tcW w:w="2969" w:type="dxa"/>
            <w:tcBorders>
              <w:top w:val="single" w:sz="6" w:space="0" w:color="auto"/>
              <w:left w:val="single" w:sz="6" w:space="0" w:color="auto"/>
              <w:bottom w:val="single" w:sz="6" w:space="0" w:color="auto"/>
              <w:right w:val="single" w:sz="6" w:space="0" w:color="auto"/>
            </w:tcBorders>
          </w:tcPr>
          <w:p w14:paraId="63CA58FC" w14:textId="77777777" w:rsidR="007F4F51" w:rsidRDefault="007F4F51" w:rsidP="00A2359F">
            <w:pPr>
              <w:ind w:firstLine="0"/>
              <w:jc w:val="left"/>
            </w:pPr>
            <w:r w:rsidRPr="001A5813">
              <w:rPr>
                <w:rFonts w:eastAsia="PMingLiU"/>
              </w:rPr>
              <w:t>Literal translation</w:t>
            </w:r>
          </w:p>
        </w:tc>
        <w:tc>
          <w:tcPr>
            <w:tcW w:w="2693" w:type="dxa"/>
            <w:tcBorders>
              <w:top w:val="single" w:sz="6" w:space="0" w:color="auto"/>
              <w:left w:val="single" w:sz="6" w:space="0" w:color="auto"/>
              <w:bottom w:val="single" w:sz="6" w:space="0" w:color="auto"/>
              <w:right w:val="single" w:sz="6" w:space="0" w:color="auto"/>
            </w:tcBorders>
          </w:tcPr>
          <w:p w14:paraId="64C4A8F1" w14:textId="77777777" w:rsidR="007F4F51" w:rsidRDefault="007F4F51" w:rsidP="00A2359F">
            <w:pPr>
              <w:ind w:firstLine="0"/>
              <w:jc w:val="left"/>
            </w:pPr>
            <w:r>
              <w:rPr>
                <w:rFonts w:eastAsia="PMingLiU"/>
              </w:rPr>
              <w:t>v</w:t>
            </w:r>
            <w:r w:rsidRPr="001A5813">
              <w:rPr>
                <w:rFonts w:eastAsia="PMingLiU"/>
              </w:rPr>
              <w:t>ocabulary</w:t>
            </w:r>
            <w:r>
              <w:rPr>
                <w:rFonts w:eastAsia="PMingLiU"/>
              </w:rPr>
              <w:t xml:space="preserve"> use</w:t>
            </w:r>
          </w:p>
        </w:tc>
        <w:tc>
          <w:tcPr>
            <w:tcW w:w="1142" w:type="dxa"/>
            <w:tcBorders>
              <w:top w:val="single" w:sz="6" w:space="0" w:color="auto"/>
              <w:left w:val="single" w:sz="6" w:space="0" w:color="auto"/>
              <w:bottom w:val="single" w:sz="6" w:space="0" w:color="auto"/>
              <w:right w:val="single" w:sz="6" w:space="0" w:color="auto"/>
            </w:tcBorders>
          </w:tcPr>
          <w:p w14:paraId="679206E1" w14:textId="77777777" w:rsidR="007F4F51" w:rsidRDefault="007F4F51" w:rsidP="00A2359F">
            <w:r w:rsidRPr="001A5813">
              <w:rPr>
                <w:rFonts w:eastAsia="PMingLiU"/>
              </w:rPr>
              <w:t>Y</w:t>
            </w:r>
          </w:p>
        </w:tc>
      </w:tr>
      <w:tr w:rsidR="007F4F51" w14:paraId="5BA54875" w14:textId="77777777" w:rsidTr="00A2359F">
        <w:trPr>
          <w:jc w:val="center"/>
        </w:trPr>
        <w:tc>
          <w:tcPr>
            <w:tcW w:w="2268" w:type="dxa"/>
            <w:vMerge/>
            <w:tcBorders>
              <w:left w:val="single" w:sz="6" w:space="0" w:color="auto"/>
              <w:right w:val="single" w:sz="6" w:space="0" w:color="auto"/>
            </w:tcBorders>
          </w:tcPr>
          <w:p w14:paraId="04204376" w14:textId="77777777" w:rsidR="007F4F51" w:rsidRDefault="007F4F51" w:rsidP="00A2359F"/>
        </w:tc>
        <w:tc>
          <w:tcPr>
            <w:tcW w:w="2969" w:type="dxa"/>
            <w:tcBorders>
              <w:top w:val="single" w:sz="6" w:space="0" w:color="auto"/>
              <w:left w:val="single" w:sz="6" w:space="0" w:color="auto"/>
              <w:bottom w:val="single" w:sz="6" w:space="0" w:color="auto"/>
              <w:right w:val="single" w:sz="6" w:space="0" w:color="auto"/>
            </w:tcBorders>
          </w:tcPr>
          <w:p w14:paraId="64C8ACD4" w14:textId="77777777" w:rsidR="007F4F51" w:rsidRDefault="007F4F51" w:rsidP="00A2359F">
            <w:pPr>
              <w:ind w:firstLine="0"/>
              <w:jc w:val="left"/>
            </w:pPr>
            <w:r w:rsidRPr="001A5813">
              <w:rPr>
                <w:rFonts w:eastAsia="PMingLiU"/>
              </w:rPr>
              <w:t>Paraphrasing</w:t>
            </w:r>
          </w:p>
        </w:tc>
        <w:tc>
          <w:tcPr>
            <w:tcW w:w="2693" w:type="dxa"/>
            <w:tcBorders>
              <w:top w:val="single" w:sz="6" w:space="0" w:color="auto"/>
              <w:left w:val="single" w:sz="6" w:space="0" w:color="auto"/>
              <w:bottom w:val="single" w:sz="6" w:space="0" w:color="auto"/>
              <w:right w:val="single" w:sz="6" w:space="0" w:color="auto"/>
            </w:tcBorders>
          </w:tcPr>
          <w:p w14:paraId="019B2C3E" w14:textId="77777777" w:rsidR="007F4F51" w:rsidRDefault="007F4F51" w:rsidP="00A2359F">
            <w:pPr>
              <w:ind w:firstLine="0"/>
              <w:jc w:val="left"/>
            </w:pPr>
            <w:r>
              <w:rPr>
                <w:rFonts w:eastAsia="PMingLiU"/>
              </w:rPr>
              <w:t>v</w:t>
            </w:r>
            <w:r w:rsidRPr="001A5813">
              <w:rPr>
                <w:rFonts w:eastAsia="PMingLiU"/>
              </w:rPr>
              <w:t>ocabulary</w:t>
            </w:r>
            <w:r>
              <w:rPr>
                <w:rFonts w:eastAsia="PMingLiU"/>
              </w:rPr>
              <w:t xml:space="preserve"> use</w:t>
            </w:r>
          </w:p>
        </w:tc>
        <w:tc>
          <w:tcPr>
            <w:tcW w:w="1142" w:type="dxa"/>
            <w:tcBorders>
              <w:top w:val="single" w:sz="6" w:space="0" w:color="auto"/>
              <w:left w:val="single" w:sz="6" w:space="0" w:color="auto"/>
              <w:bottom w:val="single" w:sz="6" w:space="0" w:color="auto"/>
              <w:right w:val="single" w:sz="6" w:space="0" w:color="auto"/>
            </w:tcBorders>
          </w:tcPr>
          <w:p w14:paraId="38FCF73A" w14:textId="77777777" w:rsidR="007F4F51" w:rsidRDefault="007F4F51" w:rsidP="00A2359F">
            <w:r w:rsidRPr="001A5813">
              <w:rPr>
                <w:rFonts w:eastAsia="PMingLiU"/>
              </w:rPr>
              <w:t>Y</w:t>
            </w:r>
          </w:p>
        </w:tc>
      </w:tr>
      <w:tr w:rsidR="007F4F51" w14:paraId="55C863FC" w14:textId="77777777" w:rsidTr="00A2359F">
        <w:trPr>
          <w:jc w:val="center"/>
        </w:trPr>
        <w:tc>
          <w:tcPr>
            <w:tcW w:w="2268" w:type="dxa"/>
            <w:vMerge/>
            <w:tcBorders>
              <w:left w:val="single" w:sz="6" w:space="0" w:color="auto"/>
              <w:right w:val="single" w:sz="6" w:space="0" w:color="auto"/>
            </w:tcBorders>
          </w:tcPr>
          <w:p w14:paraId="6ED99461" w14:textId="77777777" w:rsidR="007F4F51" w:rsidRDefault="007F4F51" w:rsidP="00A2359F"/>
        </w:tc>
        <w:tc>
          <w:tcPr>
            <w:tcW w:w="2969" w:type="dxa"/>
            <w:tcBorders>
              <w:top w:val="single" w:sz="6" w:space="0" w:color="auto"/>
              <w:left w:val="single" w:sz="6" w:space="0" w:color="auto"/>
              <w:bottom w:val="single" w:sz="6" w:space="0" w:color="auto"/>
              <w:right w:val="single" w:sz="6" w:space="0" w:color="auto"/>
            </w:tcBorders>
          </w:tcPr>
          <w:p w14:paraId="2C1E5250" w14:textId="77777777" w:rsidR="007F4F51" w:rsidRDefault="007F4F51" w:rsidP="00A2359F">
            <w:pPr>
              <w:ind w:firstLine="0"/>
              <w:jc w:val="left"/>
            </w:pPr>
            <w:r w:rsidRPr="001A5813">
              <w:rPr>
                <w:rFonts w:eastAsia="PMingLiU"/>
              </w:rPr>
              <w:t>Word coinage</w:t>
            </w:r>
          </w:p>
        </w:tc>
        <w:tc>
          <w:tcPr>
            <w:tcW w:w="2693" w:type="dxa"/>
            <w:tcBorders>
              <w:top w:val="single" w:sz="6" w:space="0" w:color="auto"/>
              <w:left w:val="single" w:sz="6" w:space="0" w:color="auto"/>
              <w:bottom w:val="single" w:sz="6" w:space="0" w:color="auto"/>
              <w:right w:val="single" w:sz="6" w:space="0" w:color="auto"/>
            </w:tcBorders>
          </w:tcPr>
          <w:p w14:paraId="22489152" w14:textId="77777777" w:rsidR="007F4F51" w:rsidRDefault="007F4F51" w:rsidP="00A2359F">
            <w:pPr>
              <w:ind w:firstLine="0"/>
              <w:jc w:val="left"/>
            </w:pPr>
            <w:r>
              <w:rPr>
                <w:rFonts w:eastAsia="PMingLiU"/>
              </w:rPr>
              <w:t>v</w:t>
            </w:r>
            <w:r w:rsidRPr="001A5813">
              <w:rPr>
                <w:rFonts w:eastAsia="PMingLiU"/>
              </w:rPr>
              <w:t xml:space="preserve">ocabulary </w:t>
            </w:r>
            <w:r>
              <w:rPr>
                <w:rFonts w:eastAsia="PMingLiU"/>
              </w:rPr>
              <w:t>use</w:t>
            </w:r>
          </w:p>
        </w:tc>
        <w:tc>
          <w:tcPr>
            <w:tcW w:w="1142" w:type="dxa"/>
            <w:tcBorders>
              <w:top w:val="single" w:sz="6" w:space="0" w:color="auto"/>
              <w:left w:val="single" w:sz="6" w:space="0" w:color="auto"/>
              <w:bottom w:val="single" w:sz="6" w:space="0" w:color="auto"/>
              <w:right w:val="single" w:sz="6" w:space="0" w:color="auto"/>
            </w:tcBorders>
          </w:tcPr>
          <w:p w14:paraId="54FBAA7D" w14:textId="77777777" w:rsidR="007F4F51" w:rsidRDefault="007F4F51" w:rsidP="00A2359F">
            <w:r w:rsidRPr="001A5813">
              <w:rPr>
                <w:rFonts w:eastAsia="PMingLiU"/>
              </w:rPr>
              <w:t>Y</w:t>
            </w:r>
          </w:p>
        </w:tc>
      </w:tr>
      <w:tr w:rsidR="007F4F51" w14:paraId="0950295A" w14:textId="77777777" w:rsidTr="00A2359F">
        <w:trPr>
          <w:jc w:val="center"/>
        </w:trPr>
        <w:tc>
          <w:tcPr>
            <w:tcW w:w="2268" w:type="dxa"/>
            <w:vMerge/>
            <w:tcBorders>
              <w:left w:val="single" w:sz="6" w:space="0" w:color="auto"/>
              <w:right w:val="single" w:sz="6" w:space="0" w:color="auto"/>
            </w:tcBorders>
          </w:tcPr>
          <w:p w14:paraId="03B0ADF1" w14:textId="77777777" w:rsidR="007F4F51" w:rsidRDefault="007F4F51" w:rsidP="00A2359F"/>
        </w:tc>
        <w:tc>
          <w:tcPr>
            <w:tcW w:w="2969" w:type="dxa"/>
            <w:tcBorders>
              <w:top w:val="single" w:sz="6" w:space="0" w:color="auto"/>
              <w:left w:val="single" w:sz="6" w:space="0" w:color="auto"/>
              <w:bottom w:val="single" w:sz="6" w:space="0" w:color="auto"/>
              <w:right w:val="single" w:sz="6" w:space="0" w:color="auto"/>
            </w:tcBorders>
          </w:tcPr>
          <w:p w14:paraId="2C0D9F8A" w14:textId="77777777" w:rsidR="007F4F51" w:rsidRDefault="007F4F51" w:rsidP="00A2359F">
            <w:pPr>
              <w:ind w:firstLine="0"/>
              <w:jc w:val="left"/>
            </w:pPr>
            <w:r w:rsidRPr="001A5813">
              <w:rPr>
                <w:rFonts w:eastAsia="PMingLiU"/>
              </w:rPr>
              <w:t>Use of similar sounding word</w:t>
            </w:r>
          </w:p>
        </w:tc>
        <w:tc>
          <w:tcPr>
            <w:tcW w:w="2693" w:type="dxa"/>
            <w:tcBorders>
              <w:top w:val="single" w:sz="6" w:space="0" w:color="auto"/>
              <w:left w:val="single" w:sz="6" w:space="0" w:color="auto"/>
              <w:bottom w:val="single" w:sz="6" w:space="0" w:color="auto"/>
              <w:right w:val="single" w:sz="6" w:space="0" w:color="auto"/>
            </w:tcBorders>
          </w:tcPr>
          <w:p w14:paraId="21AE3253" w14:textId="77777777" w:rsidR="007F4F51" w:rsidRDefault="007F4F51" w:rsidP="00A2359F">
            <w:pPr>
              <w:ind w:firstLine="0"/>
              <w:jc w:val="left"/>
            </w:pPr>
            <w:r>
              <w:rPr>
                <w:rFonts w:eastAsia="PMingLiU"/>
              </w:rPr>
              <w:t>v</w:t>
            </w:r>
            <w:r w:rsidRPr="001A5813">
              <w:rPr>
                <w:rFonts w:eastAsia="PMingLiU"/>
              </w:rPr>
              <w:t>ocabulary</w:t>
            </w:r>
            <w:r>
              <w:rPr>
                <w:rFonts w:eastAsia="PMingLiU"/>
              </w:rPr>
              <w:t xml:space="preserve"> use</w:t>
            </w:r>
          </w:p>
        </w:tc>
        <w:tc>
          <w:tcPr>
            <w:tcW w:w="1142" w:type="dxa"/>
            <w:tcBorders>
              <w:top w:val="single" w:sz="6" w:space="0" w:color="auto"/>
              <w:left w:val="single" w:sz="6" w:space="0" w:color="auto"/>
              <w:bottom w:val="single" w:sz="6" w:space="0" w:color="auto"/>
              <w:right w:val="single" w:sz="6" w:space="0" w:color="auto"/>
            </w:tcBorders>
          </w:tcPr>
          <w:p w14:paraId="32CD4EAE" w14:textId="77777777" w:rsidR="007F4F51" w:rsidRDefault="007F4F51" w:rsidP="00A2359F">
            <w:r w:rsidRPr="001A5813">
              <w:rPr>
                <w:rFonts w:eastAsia="PMingLiU"/>
              </w:rPr>
              <w:t>N</w:t>
            </w:r>
          </w:p>
        </w:tc>
      </w:tr>
      <w:tr w:rsidR="007F4F51" w14:paraId="025E196E" w14:textId="77777777" w:rsidTr="00A2359F">
        <w:trPr>
          <w:jc w:val="center"/>
        </w:trPr>
        <w:tc>
          <w:tcPr>
            <w:tcW w:w="2268" w:type="dxa"/>
            <w:vMerge/>
            <w:tcBorders>
              <w:left w:val="single" w:sz="6" w:space="0" w:color="auto"/>
              <w:right w:val="single" w:sz="6" w:space="0" w:color="auto"/>
            </w:tcBorders>
          </w:tcPr>
          <w:p w14:paraId="634F27C0" w14:textId="77777777" w:rsidR="007F4F51" w:rsidRDefault="007F4F51" w:rsidP="00A2359F"/>
        </w:tc>
        <w:tc>
          <w:tcPr>
            <w:tcW w:w="2969" w:type="dxa"/>
            <w:tcBorders>
              <w:top w:val="single" w:sz="6" w:space="0" w:color="auto"/>
              <w:left w:val="single" w:sz="6" w:space="0" w:color="auto"/>
              <w:bottom w:val="single" w:sz="6" w:space="0" w:color="auto"/>
              <w:right w:val="single" w:sz="6" w:space="0" w:color="auto"/>
            </w:tcBorders>
          </w:tcPr>
          <w:p w14:paraId="6EB4EA95" w14:textId="77777777" w:rsidR="007F4F51" w:rsidRDefault="007F4F51" w:rsidP="00A2359F">
            <w:pPr>
              <w:ind w:firstLine="0"/>
              <w:jc w:val="left"/>
            </w:pPr>
            <w:r w:rsidRPr="001A5813">
              <w:rPr>
                <w:rFonts w:eastAsia="PMingLiU"/>
              </w:rPr>
              <w:t>Use of all-purpose word</w:t>
            </w:r>
          </w:p>
        </w:tc>
        <w:tc>
          <w:tcPr>
            <w:tcW w:w="2693" w:type="dxa"/>
            <w:tcBorders>
              <w:top w:val="single" w:sz="6" w:space="0" w:color="auto"/>
              <w:left w:val="single" w:sz="6" w:space="0" w:color="auto"/>
              <w:bottom w:val="single" w:sz="6" w:space="0" w:color="auto"/>
              <w:right w:val="single" w:sz="6" w:space="0" w:color="auto"/>
            </w:tcBorders>
          </w:tcPr>
          <w:p w14:paraId="2D983D4E" w14:textId="77777777" w:rsidR="007F4F51" w:rsidRDefault="007F4F51" w:rsidP="00A2359F">
            <w:pPr>
              <w:ind w:firstLine="0"/>
              <w:jc w:val="left"/>
              <w:rPr>
                <w:rFonts w:eastAsia="PMingLiU"/>
              </w:rPr>
            </w:pPr>
            <w:r>
              <w:rPr>
                <w:rFonts w:eastAsia="PMingLiU"/>
              </w:rPr>
              <w:t>v</w:t>
            </w:r>
            <w:r w:rsidRPr="001A5813">
              <w:rPr>
                <w:rFonts w:eastAsia="PMingLiU"/>
              </w:rPr>
              <w:t>ocabulary</w:t>
            </w:r>
            <w:r>
              <w:rPr>
                <w:rFonts w:eastAsia="PMingLiU"/>
              </w:rPr>
              <w:t xml:space="preserve"> use</w:t>
            </w:r>
          </w:p>
          <w:p w14:paraId="4474B7D2" w14:textId="77777777" w:rsidR="007F4F51" w:rsidRDefault="007F4F51" w:rsidP="00A2359F">
            <w:pPr>
              <w:ind w:firstLine="0"/>
              <w:jc w:val="left"/>
            </w:pPr>
          </w:p>
        </w:tc>
        <w:tc>
          <w:tcPr>
            <w:tcW w:w="1142" w:type="dxa"/>
            <w:tcBorders>
              <w:top w:val="single" w:sz="6" w:space="0" w:color="auto"/>
              <w:left w:val="single" w:sz="6" w:space="0" w:color="auto"/>
              <w:bottom w:val="single" w:sz="6" w:space="0" w:color="auto"/>
              <w:right w:val="single" w:sz="6" w:space="0" w:color="auto"/>
            </w:tcBorders>
          </w:tcPr>
          <w:p w14:paraId="4CBCCF00" w14:textId="77777777" w:rsidR="007F4F51" w:rsidRDefault="007F4F51" w:rsidP="00A2359F">
            <w:r w:rsidRPr="001A5813">
              <w:rPr>
                <w:rFonts w:eastAsia="PMingLiU"/>
              </w:rPr>
              <w:t>N</w:t>
            </w:r>
          </w:p>
        </w:tc>
      </w:tr>
      <w:tr w:rsidR="007F4F51" w14:paraId="328AA0C4" w14:textId="77777777" w:rsidTr="00A2359F">
        <w:trPr>
          <w:jc w:val="center"/>
        </w:trPr>
        <w:tc>
          <w:tcPr>
            <w:tcW w:w="2268" w:type="dxa"/>
            <w:vMerge/>
            <w:tcBorders>
              <w:left w:val="single" w:sz="6" w:space="0" w:color="auto"/>
              <w:right w:val="single" w:sz="6" w:space="0" w:color="auto"/>
            </w:tcBorders>
          </w:tcPr>
          <w:p w14:paraId="6F02500C" w14:textId="77777777" w:rsidR="007F4F51" w:rsidRDefault="007F4F51" w:rsidP="00A2359F"/>
        </w:tc>
        <w:tc>
          <w:tcPr>
            <w:tcW w:w="2969" w:type="dxa"/>
            <w:tcBorders>
              <w:top w:val="single" w:sz="6" w:space="0" w:color="auto"/>
              <w:left w:val="single" w:sz="6" w:space="0" w:color="auto"/>
              <w:bottom w:val="single" w:sz="6" w:space="0" w:color="auto"/>
              <w:right w:val="single" w:sz="6" w:space="0" w:color="auto"/>
            </w:tcBorders>
          </w:tcPr>
          <w:p w14:paraId="46C5DA51" w14:textId="77777777" w:rsidR="007F4F51" w:rsidRDefault="007F4F51" w:rsidP="00A2359F">
            <w:pPr>
              <w:ind w:firstLine="0"/>
              <w:jc w:val="left"/>
            </w:pPr>
            <w:r w:rsidRPr="001A5813">
              <w:rPr>
                <w:rFonts w:eastAsia="PMingLiU"/>
              </w:rPr>
              <w:t>Mumbling</w:t>
            </w:r>
          </w:p>
        </w:tc>
        <w:tc>
          <w:tcPr>
            <w:tcW w:w="2693" w:type="dxa"/>
            <w:tcBorders>
              <w:top w:val="single" w:sz="6" w:space="0" w:color="auto"/>
              <w:left w:val="single" w:sz="6" w:space="0" w:color="auto"/>
              <w:bottom w:val="single" w:sz="6" w:space="0" w:color="auto"/>
              <w:right w:val="single" w:sz="6" w:space="0" w:color="auto"/>
            </w:tcBorders>
          </w:tcPr>
          <w:p w14:paraId="2F552CDE" w14:textId="77777777" w:rsidR="007F4F51" w:rsidRDefault="007F4F51" w:rsidP="00A2359F">
            <w:pPr>
              <w:ind w:firstLine="0"/>
              <w:jc w:val="left"/>
            </w:pPr>
            <w:r>
              <w:rPr>
                <w:rFonts w:eastAsia="PMingLiU"/>
              </w:rPr>
              <w:t>v</w:t>
            </w:r>
            <w:r w:rsidRPr="001A5813">
              <w:rPr>
                <w:rFonts w:eastAsia="PMingLiU"/>
              </w:rPr>
              <w:t>ocabulary</w:t>
            </w:r>
            <w:r>
              <w:rPr>
                <w:rFonts w:eastAsia="PMingLiU"/>
              </w:rPr>
              <w:t xml:space="preserve"> use</w:t>
            </w:r>
          </w:p>
        </w:tc>
        <w:tc>
          <w:tcPr>
            <w:tcW w:w="1142" w:type="dxa"/>
            <w:tcBorders>
              <w:top w:val="single" w:sz="6" w:space="0" w:color="auto"/>
              <w:left w:val="single" w:sz="6" w:space="0" w:color="auto"/>
              <w:bottom w:val="single" w:sz="6" w:space="0" w:color="auto"/>
              <w:right w:val="single" w:sz="6" w:space="0" w:color="auto"/>
            </w:tcBorders>
          </w:tcPr>
          <w:p w14:paraId="71A71983" w14:textId="77777777" w:rsidR="007F4F51" w:rsidRDefault="007F4F51" w:rsidP="00A2359F">
            <w:r w:rsidRPr="001A5813">
              <w:rPr>
                <w:rFonts w:eastAsia="PMingLiU"/>
              </w:rPr>
              <w:t>Y</w:t>
            </w:r>
          </w:p>
        </w:tc>
      </w:tr>
      <w:tr w:rsidR="007F4F51" w14:paraId="302E43D1" w14:textId="77777777" w:rsidTr="00A2359F">
        <w:trPr>
          <w:jc w:val="center"/>
        </w:trPr>
        <w:tc>
          <w:tcPr>
            <w:tcW w:w="2268" w:type="dxa"/>
            <w:vMerge/>
            <w:tcBorders>
              <w:left w:val="single" w:sz="6" w:space="0" w:color="auto"/>
              <w:right w:val="single" w:sz="6" w:space="0" w:color="auto"/>
            </w:tcBorders>
          </w:tcPr>
          <w:p w14:paraId="0B464185" w14:textId="77777777" w:rsidR="007F4F51" w:rsidRDefault="007F4F51" w:rsidP="00A2359F"/>
        </w:tc>
        <w:tc>
          <w:tcPr>
            <w:tcW w:w="2969" w:type="dxa"/>
            <w:tcBorders>
              <w:top w:val="single" w:sz="6" w:space="0" w:color="auto"/>
              <w:left w:val="single" w:sz="6" w:space="0" w:color="auto"/>
              <w:bottom w:val="single" w:sz="6" w:space="0" w:color="auto"/>
              <w:right w:val="single" w:sz="6" w:space="0" w:color="auto"/>
            </w:tcBorders>
          </w:tcPr>
          <w:p w14:paraId="214C3547" w14:textId="77777777" w:rsidR="007F4F51" w:rsidRDefault="007F4F51" w:rsidP="00A2359F">
            <w:pPr>
              <w:ind w:firstLine="0"/>
              <w:jc w:val="left"/>
            </w:pPr>
            <w:r w:rsidRPr="001A5813">
              <w:rPr>
                <w:rFonts w:eastAsia="PMingLiU"/>
              </w:rPr>
              <w:t>Omission</w:t>
            </w:r>
          </w:p>
        </w:tc>
        <w:tc>
          <w:tcPr>
            <w:tcW w:w="2693" w:type="dxa"/>
            <w:tcBorders>
              <w:top w:val="single" w:sz="6" w:space="0" w:color="auto"/>
              <w:left w:val="single" w:sz="6" w:space="0" w:color="auto"/>
              <w:bottom w:val="single" w:sz="6" w:space="0" w:color="auto"/>
              <w:right w:val="single" w:sz="6" w:space="0" w:color="auto"/>
            </w:tcBorders>
          </w:tcPr>
          <w:p w14:paraId="03A4B3D9" w14:textId="77777777" w:rsidR="007F4F51" w:rsidRDefault="007F4F51" w:rsidP="00A2359F">
            <w:pPr>
              <w:ind w:firstLine="0"/>
              <w:jc w:val="left"/>
            </w:pPr>
            <w:r>
              <w:rPr>
                <w:rFonts w:eastAsia="PMingLiU"/>
              </w:rPr>
              <w:t>v</w:t>
            </w:r>
            <w:r w:rsidRPr="001A5813">
              <w:rPr>
                <w:rFonts w:eastAsia="PMingLiU"/>
              </w:rPr>
              <w:t>ocabulary</w:t>
            </w:r>
            <w:r>
              <w:rPr>
                <w:rFonts w:eastAsia="PMingLiU"/>
              </w:rPr>
              <w:t xml:space="preserve"> use</w:t>
            </w:r>
          </w:p>
        </w:tc>
        <w:tc>
          <w:tcPr>
            <w:tcW w:w="1142" w:type="dxa"/>
            <w:tcBorders>
              <w:top w:val="single" w:sz="6" w:space="0" w:color="auto"/>
              <w:left w:val="single" w:sz="6" w:space="0" w:color="auto"/>
              <w:bottom w:val="single" w:sz="6" w:space="0" w:color="auto"/>
              <w:right w:val="single" w:sz="6" w:space="0" w:color="auto"/>
            </w:tcBorders>
          </w:tcPr>
          <w:p w14:paraId="60943125" w14:textId="77777777" w:rsidR="007F4F51" w:rsidRDefault="007F4F51" w:rsidP="00A2359F">
            <w:r w:rsidRPr="001A5813">
              <w:rPr>
                <w:rFonts w:eastAsia="PMingLiU"/>
              </w:rPr>
              <w:t>Y</w:t>
            </w:r>
          </w:p>
        </w:tc>
      </w:tr>
      <w:tr w:rsidR="007F4F51" w14:paraId="75BFD387" w14:textId="77777777" w:rsidTr="00A2359F">
        <w:trPr>
          <w:jc w:val="center"/>
        </w:trPr>
        <w:tc>
          <w:tcPr>
            <w:tcW w:w="2268" w:type="dxa"/>
            <w:vMerge/>
            <w:tcBorders>
              <w:left w:val="single" w:sz="6" w:space="0" w:color="auto"/>
              <w:bottom w:val="single" w:sz="6" w:space="0" w:color="auto"/>
              <w:right w:val="single" w:sz="6" w:space="0" w:color="auto"/>
            </w:tcBorders>
          </w:tcPr>
          <w:p w14:paraId="79EC6790" w14:textId="77777777" w:rsidR="007F4F51" w:rsidRDefault="007F4F51" w:rsidP="00A2359F"/>
        </w:tc>
        <w:tc>
          <w:tcPr>
            <w:tcW w:w="2969" w:type="dxa"/>
            <w:tcBorders>
              <w:top w:val="single" w:sz="6" w:space="0" w:color="auto"/>
              <w:left w:val="single" w:sz="6" w:space="0" w:color="auto"/>
              <w:bottom w:val="single" w:sz="6" w:space="0" w:color="auto"/>
              <w:right w:val="single" w:sz="6" w:space="0" w:color="auto"/>
            </w:tcBorders>
          </w:tcPr>
          <w:p w14:paraId="7D4DF9D1" w14:textId="77777777" w:rsidR="007F4F51" w:rsidRDefault="007F4F51" w:rsidP="00A2359F">
            <w:pPr>
              <w:ind w:firstLine="0"/>
              <w:jc w:val="left"/>
            </w:pPr>
            <w:r w:rsidRPr="001A5813">
              <w:rPr>
                <w:rFonts w:eastAsia="PMingLiU"/>
              </w:rPr>
              <w:t>Retrieval</w:t>
            </w:r>
          </w:p>
        </w:tc>
        <w:tc>
          <w:tcPr>
            <w:tcW w:w="2693" w:type="dxa"/>
            <w:tcBorders>
              <w:top w:val="single" w:sz="6" w:space="0" w:color="auto"/>
              <w:left w:val="single" w:sz="6" w:space="0" w:color="auto"/>
              <w:bottom w:val="single" w:sz="6" w:space="0" w:color="auto"/>
              <w:right w:val="single" w:sz="6" w:space="0" w:color="auto"/>
            </w:tcBorders>
          </w:tcPr>
          <w:p w14:paraId="3375C688" w14:textId="77777777" w:rsidR="007F4F51" w:rsidRDefault="007F4F51" w:rsidP="00A2359F">
            <w:pPr>
              <w:ind w:firstLine="0"/>
              <w:jc w:val="left"/>
            </w:pPr>
            <w:r>
              <w:rPr>
                <w:rFonts w:eastAsia="PMingLiU"/>
              </w:rPr>
              <w:t>s</w:t>
            </w:r>
            <w:r w:rsidRPr="001A5813">
              <w:rPr>
                <w:rFonts w:eastAsia="PMingLiU"/>
              </w:rPr>
              <w:t xml:space="preserve">elf-correction/ </w:t>
            </w:r>
            <w:r w:rsidRPr="001A5813">
              <w:rPr>
                <w:rFonts w:eastAsia="PMingLiU"/>
              </w:rPr>
              <w:br/>
            </w:r>
            <w:r>
              <w:rPr>
                <w:rFonts w:eastAsia="PMingLiU"/>
              </w:rPr>
              <w:t>v</w:t>
            </w:r>
            <w:r w:rsidRPr="001A5813">
              <w:rPr>
                <w:rFonts w:eastAsia="PMingLiU"/>
              </w:rPr>
              <w:t>ocabulary search</w:t>
            </w:r>
          </w:p>
        </w:tc>
        <w:tc>
          <w:tcPr>
            <w:tcW w:w="1142" w:type="dxa"/>
            <w:tcBorders>
              <w:top w:val="single" w:sz="6" w:space="0" w:color="auto"/>
              <w:left w:val="single" w:sz="6" w:space="0" w:color="auto"/>
              <w:bottom w:val="single" w:sz="6" w:space="0" w:color="auto"/>
              <w:right w:val="single" w:sz="6" w:space="0" w:color="auto"/>
            </w:tcBorders>
          </w:tcPr>
          <w:p w14:paraId="484E0FC5" w14:textId="77777777" w:rsidR="007F4F51" w:rsidRDefault="007F4F51" w:rsidP="00A2359F">
            <w:r w:rsidRPr="001A5813">
              <w:rPr>
                <w:rFonts w:eastAsia="PMingLiU"/>
              </w:rPr>
              <w:t>Y</w:t>
            </w:r>
          </w:p>
        </w:tc>
      </w:tr>
      <w:tr w:rsidR="007F4F51" w14:paraId="6A705B28" w14:textId="77777777" w:rsidTr="00A2359F">
        <w:trPr>
          <w:jc w:val="center"/>
        </w:trPr>
        <w:tc>
          <w:tcPr>
            <w:tcW w:w="2268" w:type="dxa"/>
            <w:vMerge w:val="restart"/>
            <w:tcBorders>
              <w:top w:val="single" w:sz="6" w:space="0" w:color="auto"/>
              <w:left w:val="single" w:sz="6" w:space="0" w:color="auto"/>
              <w:right w:val="single" w:sz="6" w:space="0" w:color="auto"/>
            </w:tcBorders>
          </w:tcPr>
          <w:p w14:paraId="5B22CF83" w14:textId="77777777" w:rsidR="007F4F51" w:rsidRDefault="007F4F51" w:rsidP="00A2359F">
            <w:pPr>
              <w:ind w:firstLine="0"/>
            </w:pPr>
            <w:r>
              <w:rPr>
                <w:rFonts w:eastAsia="PMingLiU"/>
                <w:i/>
                <w:iCs/>
              </w:rPr>
              <w:t>P</w:t>
            </w:r>
            <w:r w:rsidRPr="001A5813">
              <w:rPr>
                <w:rFonts w:eastAsia="PMingLiU"/>
                <w:i/>
                <w:iCs/>
              </w:rPr>
              <w:t>erformance problem-related</w:t>
            </w:r>
          </w:p>
        </w:tc>
        <w:tc>
          <w:tcPr>
            <w:tcW w:w="2969" w:type="dxa"/>
            <w:tcBorders>
              <w:top w:val="single" w:sz="6" w:space="0" w:color="auto"/>
              <w:left w:val="single" w:sz="6" w:space="0" w:color="auto"/>
              <w:bottom w:val="single" w:sz="6" w:space="0" w:color="auto"/>
              <w:right w:val="single" w:sz="6" w:space="0" w:color="auto"/>
            </w:tcBorders>
          </w:tcPr>
          <w:p w14:paraId="617FBCF7" w14:textId="77777777" w:rsidR="007F4F51" w:rsidRDefault="007F4F51" w:rsidP="00A2359F">
            <w:pPr>
              <w:ind w:firstLine="0"/>
              <w:jc w:val="left"/>
            </w:pPr>
            <w:r w:rsidRPr="001A5813">
              <w:rPr>
                <w:rFonts w:eastAsia="PMingLiU"/>
              </w:rPr>
              <w:t>Self-</w:t>
            </w:r>
            <w:r>
              <w:rPr>
                <w:rFonts w:eastAsia="PMingLiU"/>
              </w:rPr>
              <w:t>repair</w:t>
            </w:r>
          </w:p>
        </w:tc>
        <w:tc>
          <w:tcPr>
            <w:tcW w:w="2693" w:type="dxa"/>
            <w:tcBorders>
              <w:top w:val="single" w:sz="6" w:space="0" w:color="auto"/>
              <w:left w:val="single" w:sz="6" w:space="0" w:color="auto"/>
              <w:bottom w:val="single" w:sz="6" w:space="0" w:color="auto"/>
              <w:right w:val="single" w:sz="6" w:space="0" w:color="auto"/>
            </w:tcBorders>
          </w:tcPr>
          <w:p w14:paraId="7C812A8A" w14:textId="77777777" w:rsidR="007F4F51" w:rsidRDefault="007F4F51" w:rsidP="00A2359F">
            <w:pPr>
              <w:ind w:firstLine="0"/>
              <w:jc w:val="left"/>
            </w:pPr>
            <w:r>
              <w:rPr>
                <w:rFonts w:eastAsia="PMingLiU"/>
              </w:rPr>
              <w:t>s</w:t>
            </w:r>
            <w:r w:rsidRPr="001A5813">
              <w:rPr>
                <w:rFonts w:eastAsia="PMingLiU"/>
              </w:rPr>
              <w:t>elf-correction</w:t>
            </w:r>
          </w:p>
        </w:tc>
        <w:tc>
          <w:tcPr>
            <w:tcW w:w="1142" w:type="dxa"/>
            <w:tcBorders>
              <w:top w:val="single" w:sz="6" w:space="0" w:color="auto"/>
              <w:left w:val="single" w:sz="6" w:space="0" w:color="auto"/>
              <w:bottom w:val="single" w:sz="6" w:space="0" w:color="auto"/>
              <w:right w:val="single" w:sz="6" w:space="0" w:color="auto"/>
            </w:tcBorders>
          </w:tcPr>
          <w:p w14:paraId="0249F609" w14:textId="77777777" w:rsidR="007F4F51" w:rsidRDefault="007F4F51" w:rsidP="00A2359F">
            <w:r w:rsidRPr="001A5813">
              <w:rPr>
                <w:rFonts w:eastAsia="PMingLiU"/>
              </w:rPr>
              <w:t>Y</w:t>
            </w:r>
          </w:p>
        </w:tc>
      </w:tr>
      <w:tr w:rsidR="007F4F51" w14:paraId="2412DD8B" w14:textId="77777777" w:rsidTr="00A2359F">
        <w:trPr>
          <w:jc w:val="center"/>
        </w:trPr>
        <w:tc>
          <w:tcPr>
            <w:tcW w:w="2268" w:type="dxa"/>
            <w:vMerge/>
            <w:tcBorders>
              <w:left w:val="single" w:sz="6" w:space="0" w:color="auto"/>
              <w:bottom w:val="single" w:sz="6" w:space="0" w:color="auto"/>
              <w:right w:val="single" w:sz="6" w:space="0" w:color="auto"/>
            </w:tcBorders>
          </w:tcPr>
          <w:p w14:paraId="73660DF5" w14:textId="77777777" w:rsidR="007F4F51" w:rsidRDefault="007F4F51" w:rsidP="00A2359F"/>
        </w:tc>
        <w:tc>
          <w:tcPr>
            <w:tcW w:w="2969" w:type="dxa"/>
            <w:tcBorders>
              <w:top w:val="single" w:sz="6" w:space="0" w:color="auto"/>
              <w:left w:val="single" w:sz="6" w:space="0" w:color="auto"/>
              <w:bottom w:val="single" w:sz="6" w:space="0" w:color="auto"/>
              <w:right w:val="single" w:sz="6" w:space="0" w:color="auto"/>
            </w:tcBorders>
          </w:tcPr>
          <w:p w14:paraId="2D326D96" w14:textId="77777777" w:rsidR="007F4F51" w:rsidRDefault="007F4F51" w:rsidP="00A2359F">
            <w:pPr>
              <w:ind w:firstLine="0"/>
              <w:jc w:val="left"/>
            </w:pPr>
            <w:r w:rsidRPr="001A5813">
              <w:rPr>
                <w:rFonts w:eastAsia="PMingLiU"/>
              </w:rPr>
              <w:t>Self-rephrasing</w:t>
            </w:r>
          </w:p>
        </w:tc>
        <w:tc>
          <w:tcPr>
            <w:tcW w:w="2693" w:type="dxa"/>
            <w:tcBorders>
              <w:top w:val="single" w:sz="6" w:space="0" w:color="auto"/>
              <w:left w:val="single" w:sz="6" w:space="0" w:color="auto"/>
              <w:bottom w:val="single" w:sz="6" w:space="0" w:color="auto"/>
              <w:right w:val="single" w:sz="6" w:space="0" w:color="auto"/>
            </w:tcBorders>
          </w:tcPr>
          <w:p w14:paraId="02A2D775" w14:textId="77777777" w:rsidR="007F4F51" w:rsidRDefault="007F4F51" w:rsidP="00A2359F">
            <w:pPr>
              <w:ind w:firstLine="0"/>
              <w:jc w:val="left"/>
            </w:pPr>
            <w:r>
              <w:rPr>
                <w:rFonts w:eastAsia="PMingLiU"/>
              </w:rPr>
              <w:t>s</w:t>
            </w:r>
            <w:r w:rsidRPr="001A5813">
              <w:rPr>
                <w:rFonts w:eastAsia="PMingLiU"/>
              </w:rPr>
              <w:t xml:space="preserve">elf-correction/ </w:t>
            </w:r>
            <w:r w:rsidRPr="001A5813">
              <w:rPr>
                <w:rFonts w:eastAsia="PMingLiU"/>
              </w:rPr>
              <w:br/>
            </w:r>
            <w:r>
              <w:rPr>
                <w:rFonts w:eastAsia="PMingLiU"/>
              </w:rPr>
              <w:t>v</w:t>
            </w:r>
            <w:r w:rsidRPr="001A5813">
              <w:rPr>
                <w:rFonts w:eastAsia="PMingLiU"/>
              </w:rPr>
              <w:t>ocabulary search</w:t>
            </w:r>
          </w:p>
        </w:tc>
        <w:tc>
          <w:tcPr>
            <w:tcW w:w="1142" w:type="dxa"/>
            <w:tcBorders>
              <w:top w:val="single" w:sz="6" w:space="0" w:color="auto"/>
              <w:left w:val="single" w:sz="6" w:space="0" w:color="auto"/>
              <w:bottom w:val="single" w:sz="6" w:space="0" w:color="auto"/>
              <w:right w:val="single" w:sz="6" w:space="0" w:color="auto"/>
            </w:tcBorders>
          </w:tcPr>
          <w:p w14:paraId="3C304D51" w14:textId="77777777" w:rsidR="007F4F51" w:rsidRDefault="007F4F51" w:rsidP="00A2359F">
            <w:r w:rsidRPr="001A5813">
              <w:rPr>
                <w:rFonts w:eastAsia="PMingLiU"/>
              </w:rPr>
              <w:t>Y</w:t>
            </w:r>
          </w:p>
        </w:tc>
      </w:tr>
      <w:tr w:rsidR="007F4F51" w14:paraId="68935DB2" w14:textId="77777777" w:rsidTr="00A2359F">
        <w:trPr>
          <w:jc w:val="center"/>
        </w:trPr>
        <w:tc>
          <w:tcPr>
            <w:tcW w:w="5237" w:type="dxa"/>
            <w:gridSpan w:val="2"/>
            <w:tcBorders>
              <w:top w:val="single" w:sz="6" w:space="0" w:color="auto"/>
              <w:left w:val="single" w:sz="6" w:space="0" w:color="auto"/>
              <w:bottom w:val="single" w:sz="6" w:space="0" w:color="auto"/>
              <w:right w:val="single" w:sz="6" w:space="0" w:color="auto"/>
            </w:tcBorders>
          </w:tcPr>
          <w:p w14:paraId="02C9E20F" w14:textId="77777777" w:rsidR="007F4F51" w:rsidRPr="0044077B" w:rsidRDefault="007F4F51" w:rsidP="00A2359F">
            <w:pPr>
              <w:ind w:firstLine="0"/>
              <w:jc w:val="left"/>
              <w:rPr>
                <w:b/>
                <w:bCs/>
              </w:rPr>
            </w:pPr>
            <w:r w:rsidRPr="0044077B">
              <w:rPr>
                <w:rFonts w:eastAsia="PMingLiU"/>
                <w:b/>
                <w:bCs/>
              </w:rPr>
              <w:t>Indirect strategies</w:t>
            </w:r>
          </w:p>
        </w:tc>
        <w:tc>
          <w:tcPr>
            <w:tcW w:w="2693" w:type="dxa"/>
            <w:tcBorders>
              <w:top w:val="single" w:sz="6" w:space="0" w:color="auto"/>
              <w:left w:val="single" w:sz="6" w:space="0" w:color="auto"/>
              <w:bottom w:val="single" w:sz="6" w:space="0" w:color="auto"/>
              <w:right w:val="single" w:sz="6" w:space="0" w:color="auto"/>
            </w:tcBorders>
          </w:tcPr>
          <w:p w14:paraId="15F214A5" w14:textId="77777777" w:rsidR="007F4F51" w:rsidRDefault="007F4F51" w:rsidP="00A2359F">
            <w:pPr>
              <w:jc w:val="left"/>
            </w:pPr>
          </w:p>
        </w:tc>
        <w:tc>
          <w:tcPr>
            <w:tcW w:w="1142" w:type="dxa"/>
            <w:tcBorders>
              <w:top w:val="single" w:sz="6" w:space="0" w:color="auto"/>
              <w:left w:val="single" w:sz="6" w:space="0" w:color="auto"/>
              <w:bottom w:val="single" w:sz="6" w:space="0" w:color="auto"/>
              <w:right w:val="single" w:sz="6" w:space="0" w:color="auto"/>
            </w:tcBorders>
          </w:tcPr>
          <w:p w14:paraId="030EC475" w14:textId="77777777" w:rsidR="007F4F51" w:rsidRDefault="007F4F51" w:rsidP="00A2359F"/>
        </w:tc>
      </w:tr>
      <w:tr w:rsidR="007F4F51" w14:paraId="3EBD5D9B" w14:textId="77777777" w:rsidTr="00A2359F">
        <w:trPr>
          <w:jc w:val="center"/>
        </w:trPr>
        <w:tc>
          <w:tcPr>
            <w:tcW w:w="2268" w:type="dxa"/>
            <w:vMerge w:val="restart"/>
            <w:tcBorders>
              <w:top w:val="single" w:sz="6" w:space="0" w:color="auto"/>
              <w:left w:val="single" w:sz="6" w:space="0" w:color="auto"/>
              <w:right w:val="single" w:sz="6" w:space="0" w:color="auto"/>
            </w:tcBorders>
          </w:tcPr>
          <w:p w14:paraId="787E6169" w14:textId="77777777" w:rsidR="007F4F51" w:rsidRDefault="007F4F51" w:rsidP="00A2359F">
            <w:pPr>
              <w:ind w:firstLine="0"/>
              <w:jc w:val="left"/>
            </w:pPr>
            <w:r w:rsidRPr="001A5813">
              <w:rPr>
                <w:rFonts w:eastAsia="PMingLiU"/>
                <w:i/>
                <w:iCs/>
              </w:rPr>
              <w:t>Time</w:t>
            </w:r>
            <w:r>
              <w:rPr>
                <w:rFonts w:eastAsia="PMingLiU"/>
                <w:i/>
                <w:iCs/>
              </w:rPr>
              <w:t xml:space="preserve"> </w:t>
            </w:r>
            <w:r w:rsidRPr="001A5813">
              <w:rPr>
                <w:rFonts w:eastAsia="PMingLiU"/>
                <w:i/>
                <w:iCs/>
              </w:rPr>
              <w:t>pressure related</w:t>
            </w:r>
          </w:p>
        </w:tc>
        <w:tc>
          <w:tcPr>
            <w:tcW w:w="2969" w:type="dxa"/>
            <w:tcBorders>
              <w:top w:val="single" w:sz="6" w:space="0" w:color="auto"/>
              <w:left w:val="single" w:sz="6" w:space="0" w:color="auto"/>
              <w:bottom w:val="single" w:sz="6" w:space="0" w:color="auto"/>
              <w:right w:val="single" w:sz="6" w:space="0" w:color="auto"/>
            </w:tcBorders>
          </w:tcPr>
          <w:p w14:paraId="236BF1A2" w14:textId="77777777" w:rsidR="007F4F51" w:rsidRDefault="007F4F51" w:rsidP="00A2359F">
            <w:pPr>
              <w:ind w:firstLine="0"/>
              <w:jc w:val="left"/>
            </w:pPr>
            <w:r w:rsidRPr="001A5813">
              <w:rPr>
                <w:rFonts w:eastAsia="PMingLiU"/>
              </w:rPr>
              <w:t>Self-repetition</w:t>
            </w:r>
          </w:p>
        </w:tc>
        <w:tc>
          <w:tcPr>
            <w:tcW w:w="2693" w:type="dxa"/>
            <w:tcBorders>
              <w:top w:val="single" w:sz="6" w:space="0" w:color="auto"/>
              <w:left w:val="single" w:sz="6" w:space="0" w:color="auto"/>
              <w:bottom w:val="single" w:sz="6" w:space="0" w:color="auto"/>
              <w:right w:val="single" w:sz="6" w:space="0" w:color="auto"/>
            </w:tcBorders>
          </w:tcPr>
          <w:p w14:paraId="7F218A52" w14:textId="77777777" w:rsidR="007F4F51" w:rsidRDefault="007F4F51" w:rsidP="00A2359F">
            <w:pPr>
              <w:ind w:firstLine="0"/>
              <w:jc w:val="left"/>
            </w:pPr>
            <w:r>
              <w:rPr>
                <w:rFonts w:eastAsia="PMingLiU"/>
              </w:rPr>
              <w:t>v</w:t>
            </w:r>
            <w:r w:rsidRPr="001A5813">
              <w:rPr>
                <w:rFonts w:eastAsia="PMingLiU"/>
              </w:rPr>
              <w:t>ocabulary search</w:t>
            </w:r>
          </w:p>
        </w:tc>
        <w:tc>
          <w:tcPr>
            <w:tcW w:w="1142" w:type="dxa"/>
            <w:tcBorders>
              <w:top w:val="single" w:sz="6" w:space="0" w:color="auto"/>
              <w:left w:val="single" w:sz="6" w:space="0" w:color="auto"/>
              <w:bottom w:val="single" w:sz="6" w:space="0" w:color="auto"/>
              <w:right w:val="single" w:sz="6" w:space="0" w:color="auto"/>
            </w:tcBorders>
          </w:tcPr>
          <w:p w14:paraId="44C46E04" w14:textId="77777777" w:rsidR="007F4F51" w:rsidRDefault="007F4F51" w:rsidP="00A2359F">
            <w:r w:rsidRPr="001A5813">
              <w:rPr>
                <w:rFonts w:eastAsia="PMingLiU"/>
              </w:rPr>
              <w:t>Y</w:t>
            </w:r>
          </w:p>
        </w:tc>
      </w:tr>
      <w:tr w:rsidR="007F4F51" w14:paraId="0D253655" w14:textId="77777777" w:rsidTr="00A2359F">
        <w:trPr>
          <w:jc w:val="center"/>
        </w:trPr>
        <w:tc>
          <w:tcPr>
            <w:tcW w:w="2268" w:type="dxa"/>
            <w:vMerge/>
            <w:tcBorders>
              <w:left w:val="single" w:sz="6" w:space="0" w:color="auto"/>
              <w:bottom w:val="single" w:sz="6" w:space="0" w:color="auto"/>
              <w:right w:val="single" w:sz="6" w:space="0" w:color="auto"/>
            </w:tcBorders>
          </w:tcPr>
          <w:p w14:paraId="01BCC819" w14:textId="77777777" w:rsidR="007F4F51" w:rsidRDefault="007F4F51" w:rsidP="00A2359F"/>
        </w:tc>
        <w:tc>
          <w:tcPr>
            <w:tcW w:w="2969" w:type="dxa"/>
            <w:tcBorders>
              <w:top w:val="single" w:sz="6" w:space="0" w:color="auto"/>
              <w:left w:val="single" w:sz="6" w:space="0" w:color="auto"/>
              <w:bottom w:val="single" w:sz="6" w:space="0" w:color="auto"/>
              <w:right w:val="single" w:sz="6" w:space="0" w:color="auto"/>
            </w:tcBorders>
          </w:tcPr>
          <w:p w14:paraId="425510D1" w14:textId="77777777" w:rsidR="007F4F51" w:rsidRDefault="007F4F51" w:rsidP="00A2359F">
            <w:pPr>
              <w:ind w:firstLine="0"/>
              <w:jc w:val="left"/>
            </w:pPr>
            <w:r w:rsidRPr="001A5813">
              <w:rPr>
                <w:rFonts w:eastAsia="PMingLiU"/>
              </w:rPr>
              <w:t>Use of fillers</w:t>
            </w:r>
          </w:p>
        </w:tc>
        <w:tc>
          <w:tcPr>
            <w:tcW w:w="2693" w:type="dxa"/>
            <w:tcBorders>
              <w:top w:val="single" w:sz="6" w:space="0" w:color="auto"/>
              <w:left w:val="single" w:sz="6" w:space="0" w:color="auto"/>
              <w:bottom w:val="single" w:sz="6" w:space="0" w:color="auto"/>
              <w:right w:val="single" w:sz="6" w:space="0" w:color="auto"/>
            </w:tcBorders>
          </w:tcPr>
          <w:p w14:paraId="5473026F" w14:textId="77777777" w:rsidR="007F4F51" w:rsidRDefault="007F4F51" w:rsidP="00A2359F">
            <w:pPr>
              <w:ind w:firstLine="0"/>
              <w:jc w:val="left"/>
            </w:pPr>
            <w:r>
              <w:rPr>
                <w:rFonts w:eastAsia="PMingLiU"/>
              </w:rPr>
              <w:t>v</w:t>
            </w:r>
            <w:r w:rsidRPr="001A5813">
              <w:rPr>
                <w:rFonts w:eastAsia="PMingLiU"/>
              </w:rPr>
              <w:t>ocabulary search</w:t>
            </w:r>
          </w:p>
        </w:tc>
        <w:tc>
          <w:tcPr>
            <w:tcW w:w="1142" w:type="dxa"/>
            <w:tcBorders>
              <w:top w:val="single" w:sz="6" w:space="0" w:color="auto"/>
              <w:left w:val="single" w:sz="6" w:space="0" w:color="auto"/>
              <w:bottom w:val="single" w:sz="6" w:space="0" w:color="auto"/>
              <w:right w:val="single" w:sz="6" w:space="0" w:color="auto"/>
            </w:tcBorders>
          </w:tcPr>
          <w:p w14:paraId="5B314B5E" w14:textId="77777777" w:rsidR="007F4F51" w:rsidRDefault="007F4F51" w:rsidP="00A2359F">
            <w:r w:rsidRPr="001A5813">
              <w:rPr>
                <w:rFonts w:eastAsia="PMingLiU"/>
              </w:rPr>
              <w:t>Y</w:t>
            </w:r>
          </w:p>
        </w:tc>
      </w:tr>
      <w:tr w:rsidR="007F4F51" w14:paraId="3B65DE22" w14:textId="77777777" w:rsidTr="00A2359F">
        <w:trPr>
          <w:jc w:val="center"/>
        </w:trPr>
        <w:tc>
          <w:tcPr>
            <w:tcW w:w="2268" w:type="dxa"/>
            <w:tcBorders>
              <w:top w:val="single" w:sz="6" w:space="0" w:color="auto"/>
              <w:left w:val="single" w:sz="6" w:space="0" w:color="auto"/>
              <w:bottom w:val="single" w:sz="6" w:space="0" w:color="auto"/>
              <w:right w:val="single" w:sz="6" w:space="0" w:color="auto"/>
            </w:tcBorders>
          </w:tcPr>
          <w:p w14:paraId="67A224E8" w14:textId="77777777" w:rsidR="007F4F51" w:rsidRDefault="007F4F51" w:rsidP="00A2359F">
            <w:pPr>
              <w:ind w:firstLine="0"/>
            </w:pPr>
            <w:r>
              <w:rPr>
                <w:rFonts w:eastAsia="PMingLiU"/>
                <w:i/>
                <w:iCs/>
              </w:rPr>
              <w:t>P</w:t>
            </w:r>
            <w:r w:rsidRPr="001A5813">
              <w:rPr>
                <w:rFonts w:eastAsia="PMingLiU"/>
                <w:i/>
                <w:iCs/>
              </w:rPr>
              <w:t xml:space="preserve">erformance </w:t>
            </w:r>
            <w:r>
              <w:rPr>
                <w:rFonts w:eastAsia="PMingLiU"/>
                <w:i/>
                <w:iCs/>
              </w:rPr>
              <w:br/>
            </w:r>
            <w:r w:rsidRPr="001A5813">
              <w:rPr>
                <w:rFonts w:eastAsia="PMingLiU"/>
                <w:i/>
                <w:iCs/>
              </w:rPr>
              <w:t>problem-related</w:t>
            </w:r>
          </w:p>
        </w:tc>
        <w:tc>
          <w:tcPr>
            <w:tcW w:w="2969" w:type="dxa"/>
            <w:tcBorders>
              <w:top w:val="single" w:sz="6" w:space="0" w:color="auto"/>
              <w:left w:val="single" w:sz="6" w:space="0" w:color="auto"/>
              <w:bottom w:val="single" w:sz="6" w:space="0" w:color="auto"/>
              <w:right w:val="single" w:sz="6" w:space="0" w:color="auto"/>
            </w:tcBorders>
          </w:tcPr>
          <w:p w14:paraId="526EC3CD" w14:textId="77777777" w:rsidR="007F4F51" w:rsidRPr="001A5813" w:rsidRDefault="007F4F51" w:rsidP="00A2359F">
            <w:pPr>
              <w:ind w:firstLine="0"/>
              <w:jc w:val="left"/>
              <w:rPr>
                <w:rFonts w:eastAsia="PMingLiU"/>
              </w:rPr>
            </w:pPr>
            <w:r w:rsidRPr="001A5813">
              <w:rPr>
                <w:rFonts w:eastAsia="PMingLiU"/>
              </w:rPr>
              <w:t>Verbal strategy marker</w:t>
            </w:r>
          </w:p>
        </w:tc>
        <w:tc>
          <w:tcPr>
            <w:tcW w:w="2693" w:type="dxa"/>
            <w:tcBorders>
              <w:top w:val="single" w:sz="6" w:space="0" w:color="auto"/>
              <w:left w:val="single" w:sz="6" w:space="0" w:color="auto"/>
              <w:bottom w:val="single" w:sz="6" w:space="0" w:color="auto"/>
              <w:right w:val="single" w:sz="6" w:space="0" w:color="auto"/>
            </w:tcBorders>
          </w:tcPr>
          <w:p w14:paraId="7E5A8269" w14:textId="77777777" w:rsidR="007F4F51" w:rsidRDefault="007F4F51" w:rsidP="00A2359F">
            <w:pPr>
              <w:ind w:firstLine="0"/>
              <w:jc w:val="left"/>
            </w:pPr>
            <w:r>
              <w:rPr>
                <w:rFonts w:eastAsia="PMingLiU"/>
              </w:rPr>
              <w:t>m</w:t>
            </w:r>
            <w:r w:rsidRPr="001A5813">
              <w:rPr>
                <w:rFonts w:eastAsia="PMingLiU"/>
              </w:rPr>
              <w:t>arking</w:t>
            </w:r>
            <w:r>
              <w:rPr>
                <w:rFonts w:eastAsia="PMingLiU"/>
              </w:rPr>
              <w:t xml:space="preserve"> uncertainty</w:t>
            </w:r>
          </w:p>
        </w:tc>
        <w:tc>
          <w:tcPr>
            <w:tcW w:w="1142" w:type="dxa"/>
            <w:tcBorders>
              <w:top w:val="single" w:sz="6" w:space="0" w:color="auto"/>
              <w:left w:val="single" w:sz="6" w:space="0" w:color="auto"/>
              <w:bottom w:val="single" w:sz="6" w:space="0" w:color="auto"/>
              <w:right w:val="single" w:sz="6" w:space="0" w:color="auto"/>
            </w:tcBorders>
          </w:tcPr>
          <w:p w14:paraId="7149E868" w14:textId="77777777" w:rsidR="007F4F51" w:rsidRPr="001A5813" w:rsidRDefault="007F4F51" w:rsidP="00A2359F">
            <w:pPr>
              <w:rPr>
                <w:rFonts w:eastAsia="PMingLiU"/>
              </w:rPr>
            </w:pPr>
            <w:r w:rsidRPr="001A5813">
              <w:rPr>
                <w:rFonts w:eastAsia="PMingLiU"/>
              </w:rPr>
              <w:t>Y</w:t>
            </w:r>
          </w:p>
        </w:tc>
      </w:tr>
    </w:tbl>
    <w:p w14:paraId="60207157" w14:textId="4F0409AF" w:rsidR="007F4F51" w:rsidRDefault="007F4F51" w:rsidP="007F4F51">
      <w:r>
        <w:t>Table 1. SLC strategies in aloud reading of unfamiliar symbolic expressions</w:t>
      </w:r>
    </w:p>
    <w:p w14:paraId="68CD786D" w14:textId="77777777" w:rsidR="007F4F51" w:rsidRDefault="007F4F51" w:rsidP="007F4F51"/>
    <w:p w14:paraId="1DDCD3B6" w14:textId="77777777" w:rsidR="00C61DE0" w:rsidRDefault="007F4F51" w:rsidP="00C61DE0">
      <w:pPr>
        <w:pStyle w:val="Brdtext"/>
        <w:rPr>
          <w:rStyle w:val="BrdtextChar"/>
        </w:rPr>
      </w:pPr>
      <w:r w:rsidRPr="007F4F51">
        <w:rPr>
          <w:rStyle w:val="BrdtextChar"/>
        </w:rPr>
        <w:t xml:space="preserve">When transforming written mathematical symbols into speech, numerous strategies were identified. Strategy use was often associated with the difficulties encountered with specific expressions. When reading integral expressions, about half of the participants exchanged the integration limits. When learning to read in </w:t>
      </w:r>
      <w:r w:rsidR="00C61DE0">
        <w:rPr>
          <w:rStyle w:val="BrdtextChar"/>
        </w:rPr>
        <w:t>Swed</w:t>
      </w:r>
      <w:r w:rsidRPr="007F4F51">
        <w:rPr>
          <w:rStyle w:val="BrdtextChar"/>
        </w:rPr>
        <w:t xml:space="preserve">ish or </w:t>
      </w:r>
      <w:r w:rsidR="00C61DE0">
        <w:rPr>
          <w:rStyle w:val="BrdtextChar"/>
        </w:rPr>
        <w:t>Engl</w:t>
      </w:r>
      <w:r w:rsidRPr="007F4F51">
        <w:rPr>
          <w:rStyle w:val="BrdtextChar"/>
        </w:rPr>
        <w:t>ish, we are trained to read top-to-bottom. This reading order was also used for symbolic expressions. However, the conventional reading order for integral limits is the opposite</w:t>
      </w:r>
      <w:bookmarkStart w:id="1" w:name="_Hlk93063063"/>
      <w:r w:rsidRPr="007F4F51">
        <w:rPr>
          <w:rStyle w:val="BrdtextChar"/>
        </w:rPr>
        <w:t xml:space="preserve">, </w:t>
      </w:r>
      <w:r w:rsidRPr="007F4F51">
        <w:rPr>
          <w:rStyle w:val="BrdtextChar"/>
        </w:rPr>
        <w:lastRenderedPageBreak/>
        <w:t>bottom-to-top.</w:t>
      </w:r>
      <w:bookmarkEnd w:id="1"/>
      <w:r w:rsidRPr="007F4F51">
        <w:rPr>
          <w:rStyle w:val="BrdtextChar"/>
        </w:rPr>
        <w:t xml:space="preserve"> The strategy identified was not so much a strategy as a preservation of reading order, and certainly not one of the listed SLC-strategies that were based on oral communication.</w:t>
      </w:r>
    </w:p>
    <w:p w14:paraId="70F36543" w14:textId="310B698B" w:rsidR="00CD5D4B" w:rsidRPr="00C61DE0" w:rsidRDefault="00BD7166" w:rsidP="00C61DE0">
      <w:r w:rsidRPr="00C61DE0">
        <w:t>Another</w:t>
      </w:r>
      <w:r w:rsidR="008304F7" w:rsidRPr="00C61DE0">
        <w:t xml:space="preserve"> non-SLC strategy was found </w:t>
      </w:r>
      <w:r w:rsidR="009802E5" w:rsidRPr="00C61DE0">
        <w:t>for the reading of t</w:t>
      </w:r>
      <w:r w:rsidR="007E4856" w:rsidRPr="00C61DE0">
        <w:t xml:space="preserve">he symbols α and β, </w:t>
      </w:r>
      <w:r w:rsidR="009802E5" w:rsidRPr="00C61DE0">
        <w:t xml:space="preserve">which were </w:t>
      </w:r>
      <w:r w:rsidR="00673EF2" w:rsidRPr="00C61DE0">
        <w:t xml:space="preserve">symbols </w:t>
      </w:r>
      <w:r w:rsidR="007E4856" w:rsidRPr="00C61DE0">
        <w:t xml:space="preserve">unfamiliar to many of the participants. Instead of “alpha”, α was often </w:t>
      </w:r>
      <w:r w:rsidR="00A72E1C" w:rsidRPr="00C61DE0">
        <w:t>read</w:t>
      </w:r>
      <w:r w:rsidR="007E4856" w:rsidRPr="00C61DE0">
        <w:t xml:space="preserve"> </w:t>
      </w:r>
      <w:r w:rsidR="00106A46" w:rsidRPr="00C61DE0">
        <w:t>like</w:t>
      </w:r>
      <w:r w:rsidR="007E4856" w:rsidRPr="00C61DE0">
        <w:t xml:space="preserve"> the letter “a”, and in one case</w:t>
      </w:r>
      <w:r w:rsidR="00BC78A1" w:rsidRPr="00C61DE0">
        <w:t>,</w:t>
      </w:r>
      <w:r w:rsidR="007E4856" w:rsidRPr="00C61DE0">
        <w:t xml:space="preserve"> “ex” (x). Beta was </w:t>
      </w:r>
      <w:r w:rsidR="00C86893" w:rsidRPr="00C61DE0">
        <w:t>read</w:t>
      </w:r>
      <w:r w:rsidR="00106A46" w:rsidRPr="00C61DE0">
        <w:t xml:space="preserve"> like the letter </w:t>
      </w:r>
      <w:r w:rsidR="007E4856" w:rsidRPr="00C61DE0">
        <w:t>“</w:t>
      </w:r>
      <w:r w:rsidR="00106A46" w:rsidRPr="00C61DE0">
        <w:t>b”.</w:t>
      </w:r>
      <w:r w:rsidR="007E4856" w:rsidRPr="00C61DE0">
        <w:t xml:space="preserve"> The strategy used in these specific cases was to substitute the unknown pronunciation with the known pronunciation of a symbol of </w:t>
      </w:r>
      <w:r w:rsidR="005910C8" w:rsidRPr="00C61DE0">
        <w:t xml:space="preserve">a </w:t>
      </w:r>
      <w:r w:rsidR="007E4856" w:rsidRPr="00C61DE0">
        <w:t xml:space="preserve">similar shape. For natural languages where the writing is based on alphabetic sounds, the strategy when </w:t>
      </w:r>
      <w:r w:rsidR="00C61DE0" w:rsidRPr="00C61DE0">
        <w:t>reading</w:t>
      </w:r>
      <w:r w:rsidR="007E4856" w:rsidRPr="00C61DE0">
        <w:t xml:space="preserve"> an unknown written word </w:t>
      </w:r>
      <w:r w:rsidR="001045CB" w:rsidRPr="00C61DE0">
        <w:t>could</w:t>
      </w:r>
      <w:r w:rsidR="007E4856" w:rsidRPr="00C61DE0">
        <w:t xml:space="preserve"> instead be to spell it out letter by letter. When a symbol </w:t>
      </w:r>
      <w:r w:rsidR="00ED49A2" w:rsidRPr="00C61DE0">
        <w:t>is</w:t>
      </w:r>
      <w:r w:rsidR="007E4856" w:rsidRPr="00C61DE0">
        <w:t xml:space="preserve"> not connected to a specific </w:t>
      </w:r>
      <w:r w:rsidR="00106A46" w:rsidRPr="00C61DE0">
        <w:t xml:space="preserve">language </w:t>
      </w:r>
      <w:r w:rsidR="007E4856" w:rsidRPr="00C61DE0">
        <w:t>sound, the strategy seem</w:t>
      </w:r>
      <w:r w:rsidR="00BC78A1" w:rsidRPr="00C61DE0">
        <w:t>s</w:t>
      </w:r>
      <w:r w:rsidR="007E4856" w:rsidRPr="00C61DE0">
        <w:t xml:space="preserve"> to be to focus on the shape of the symbol and approximate it with a similarly shaped one.</w:t>
      </w:r>
      <w:r w:rsidR="00106A46" w:rsidRPr="00C61DE0">
        <w:t xml:space="preserve"> </w:t>
      </w:r>
    </w:p>
    <w:p w14:paraId="5C13859E" w14:textId="41A13C50" w:rsidR="006D4062" w:rsidRPr="00CD5D4B" w:rsidRDefault="006D4062" w:rsidP="006D4062">
      <w:pPr>
        <w:rPr>
          <w:sz w:val="24"/>
          <w:szCs w:val="24"/>
          <w:lang w:eastAsia="en-GB"/>
        </w:rPr>
      </w:pPr>
      <w:r>
        <w:t>A majority of the strategies identified were similar to SLC strategies. Of the 18 potential strategies listed, 15 were found in the recorded material (Table 1). This included both direct strategies that were related to resource deficits and problems with the own performance</w:t>
      </w:r>
      <w:r w:rsidR="001045CB">
        <w:t>;</w:t>
      </w:r>
      <w:r>
        <w:t xml:space="preserve"> as well as indirect strategies related either to </w:t>
      </w:r>
      <w:r w:rsidR="00DA4325">
        <w:t>one’s</w:t>
      </w:r>
      <w:r>
        <w:t xml:space="preserve"> own performance or to time pressure.</w:t>
      </w:r>
    </w:p>
    <w:p w14:paraId="73F9E233" w14:textId="6168FD69" w:rsidR="006D4062" w:rsidRDefault="006D4062" w:rsidP="006D4062">
      <w:r>
        <w:t>Strategies transforming the message in such a way that it would be impossible to interpret in the same way as the original print—</w:t>
      </w:r>
      <w:r w:rsidRPr="00ED49A2">
        <w:rPr>
          <w:i/>
          <w:iCs/>
        </w:rPr>
        <w:t>message abandonment</w:t>
      </w:r>
      <w:r>
        <w:t xml:space="preserve">, </w:t>
      </w:r>
      <w:r w:rsidRPr="00ED49A2">
        <w:rPr>
          <w:i/>
          <w:iCs/>
        </w:rPr>
        <w:t>message reduction</w:t>
      </w:r>
      <w:r>
        <w:t xml:space="preserve">, and </w:t>
      </w:r>
      <w:r w:rsidRPr="00ED49A2">
        <w:rPr>
          <w:i/>
          <w:iCs/>
        </w:rPr>
        <w:t>message replacement</w:t>
      </w:r>
      <w:r>
        <w:t xml:space="preserve">—were not very common. </w:t>
      </w:r>
      <w:r w:rsidRPr="00ED49A2">
        <w:rPr>
          <w:i/>
          <w:iCs/>
        </w:rPr>
        <w:t>Message abandonment</w:t>
      </w:r>
      <w:r>
        <w:t xml:space="preserve"> was almost seen in one case where a participant, who did not find the words, wanted to skip to the following text but did continue after some encouragement from the instructor. The </w:t>
      </w:r>
      <w:r w:rsidRPr="00ED49A2">
        <w:rPr>
          <w:i/>
          <w:iCs/>
        </w:rPr>
        <w:t>message reduction</w:t>
      </w:r>
      <w:r>
        <w:t xml:space="preserve"> strategy was never found to be the primary strategy. In a few cases, the message was replaced not only by an approximation but by something substantially different. In those cases, it was a matter of saying anything at all, like "blah-bla-bla", just to fulfil</w:t>
      </w:r>
      <w:r w:rsidR="005A785B">
        <w:t xml:space="preserve"> t</w:t>
      </w:r>
      <w:r>
        <w:t>he task.</w:t>
      </w:r>
    </w:p>
    <w:p w14:paraId="50D42060" w14:textId="77625F99" w:rsidR="008A425E" w:rsidRDefault="00882708" w:rsidP="007F4F51">
      <w:r w:rsidRPr="007E4856">
        <w:t xml:space="preserve">Lack of vocabulary </w:t>
      </w:r>
      <w:r w:rsidR="00C61DE0">
        <w:t xml:space="preserve">led to </w:t>
      </w:r>
      <w:r w:rsidR="00C61DE0" w:rsidRPr="007E4856">
        <w:t>the</w:t>
      </w:r>
      <w:r w:rsidRPr="007E4856">
        <w:t xml:space="preserve"> use of </w:t>
      </w:r>
      <w:r>
        <w:t xml:space="preserve">several </w:t>
      </w:r>
      <w:r w:rsidRPr="007E4856">
        <w:t xml:space="preserve">strategies. </w:t>
      </w:r>
      <w:r>
        <w:t>The resulting message was not</w:t>
      </w:r>
      <w:r w:rsidRPr="007E4856">
        <w:t xml:space="preserve"> unrecognizabl</w:t>
      </w:r>
      <w:r>
        <w:t>e</w:t>
      </w:r>
      <w:r w:rsidRPr="007E4856">
        <w:t xml:space="preserve"> but</w:t>
      </w:r>
      <w:r>
        <w:t xml:space="preserve"> </w:t>
      </w:r>
      <w:r w:rsidRPr="007E4856">
        <w:t xml:space="preserve">often </w:t>
      </w:r>
      <w:r w:rsidR="00BC78A1">
        <w:t xml:space="preserve">included </w:t>
      </w:r>
      <w:r>
        <w:t>some</w:t>
      </w:r>
      <w:r w:rsidRPr="007E4856">
        <w:t xml:space="preserve"> ambigu</w:t>
      </w:r>
      <w:r>
        <w:t>ities</w:t>
      </w:r>
      <w:r w:rsidRPr="007E4856">
        <w:t>.</w:t>
      </w:r>
      <w:r w:rsidR="00BC78A1">
        <w:t xml:space="preserve"> For example</w:t>
      </w:r>
      <w:r>
        <w:t xml:space="preserve">, </w:t>
      </w:r>
      <w:r w:rsidR="00BC78A1">
        <w:t xml:space="preserve">when </w:t>
      </w:r>
      <w:r w:rsidRPr="007E4856">
        <w:t xml:space="preserve">the word “integral” was </w:t>
      </w:r>
      <w:r w:rsidRPr="00ED49A2">
        <w:rPr>
          <w:i/>
          <w:iCs/>
        </w:rPr>
        <w:t>approximated</w:t>
      </w:r>
      <w:r>
        <w:t xml:space="preserve"> </w:t>
      </w:r>
      <w:r w:rsidRPr="007E4856">
        <w:t>with “function”.</w:t>
      </w:r>
      <w:r w:rsidR="007F4F51">
        <w:t xml:space="preserve"> </w:t>
      </w:r>
      <w:r>
        <w:t>For u</w:t>
      </w:r>
      <w:r w:rsidRPr="007E4856">
        <w:t>nconfident readers</w:t>
      </w:r>
      <w:r>
        <w:t>,</w:t>
      </w:r>
      <w:r w:rsidRPr="007E4856">
        <w:t xml:space="preserve"> the </w:t>
      </w:r>
      <w:r w:rsidRPr="00ED49A2">
        <w:rPr>
          <w:i/>
          <w:iCs/>
        </w:rPr>
        <w:t>mumbling</w:t>
      </w:r>
      <w:r w:rsidRPr="007E4856">
        <w:t xml:space="preserve"> strategy</w:t>
      </w:r>
      <w:r>
        <w:t>,</w:t>
      </w:r>
      <w:r w:rsidRPr="007E4856">
        <w:t xml:space="preserve"> or </w:t>
      </w:r>
      <w:r>
        <w:t xml:space="preserve">the </w:t>
      </w:r>
      <w:r w:rsidRPr="007E4856">
        <w:t>comple</w:t>
      </w:r>
      <w:r>
        <w:t>te</w:t>
      </w:r>
      <w:r w:rsidRPr="007E4856">
        <w:t xml:space="preserve"> </w:t>
      </w:r>
      <w:r w:rsidRPr="00ED49A2">
        <w:rPr>
          <w:i/>
          <w:iCs/>
        </w:rPr>
        <w:t xml:space="preserve">omission </w:t>
      </w:r>
      <w:r>
        <w:t xml:space="preserve">of </w:t>
      </w:r>
      <w:r w:rsidRPr="007E4856">
        <w:t>single symbols</w:t>
      </w:r>
      <w:r>
        <w:t>, w</w:t>
      </w:r>
      <w:r w:rsidR="00B0466B">
        <w:t xml:space="preserve">ere </w:t>
      </w:r>
      <w:r>
        <w:t>common</w:t>
      </w:r>
      <w:r w:rsidR="00B0466B">
        <w:t>.</w:t>
      </w:r>
      <w:r w:rsidRPr="007E4856">
        <w:t xml:space="preserve"> For example, when one of the participants used the term </w:t>
      </w:r>
      <w:r w:rsidRPr="00B73F37">
        <w:t>“top value” (Swe: “toppvärde”)</w:t>
      </w:r>
      <w:r w:rsidRPr="007E4856">
        <w:t xml:space="preserve"> when reading the integration limits of an integral expression, that word was read less clearly and in a significantly lower voice compared to other parts of the expression. Examples of the </w:t>
      </w:r>
      <w:r w:rsidRPr="00B0466B">
        <w:rPr>
          <w:i/>
          <w:iCs/>
        </w:rPr>
        <w:t>omission</w:t>
      </w:r>
      <w:r w:rsidRPr="007E4856">
        <w:t xml:space="preserve"> strategy w</w:t>
      </w:r>
      <w:r w:rsidR="00BC78A1">
        <w:t>ere</w:t>
      </w:r>
      <w:r w:rsidRPr="007E4856">
        <w:t xml:space="preserve"> found when a participant</w:t>
      </w:r>
      <w:r>
        <w:t xml:space="preserve"> </w:t>
      </w:r>
      <w:r w:rsidRPr="007E4856">
        <w:t xml:space="preserve">consistently omitted the integral sign in the reading of integral expressions and when others did not </w:t>
      </w:r>
      <w:r w:rsidR="00C86893">
        <w:t>read</w:t>
      </w:r>
      <w:r w:rsidRPr="007E4856">
        <w:t xml:space="preserve"> the “</w:t>
      </w:r>
      <w:r w:rsidRPr="00B0466B">
        <w:rPr>
          <w:i/>
          <w:iCs/>
        </w:rPr>
        <w:t>dx</w:t>
      </w:r>
      <w:r w:rsidRPr="007E4856">
        <w:t>” at the end of the</w:t>
      </w:r>
      <w:r w:rsidR="002F35A4">
        <w:t xml:space="preserve"> expressions</w:t>
      </w:r>
      <w:r w:rsidRPr="007E4856">
        <w:t>.</w:t>
      </w:r>
    </w:p>
    <w:p w14:paraId="79C8DA41" w14:textId="57A1D835" w:rsidR="007E4856" w:rsidRPr="007E4856" w:rsidRDefault="007E4856" w:rsidP="008A425E">
      <w:r w:rsidRPr="00B0466B">
        <w:rPr>
          <w:i/>
          <w:iCs/>
        </w:rPr>
        <w:t>Word coinage</w:t>
      </w:r>
      <w:r w:rsidRPr="007E4856">
        <w:t xml:space="preserve"> was a less common, but still present, strategy. One example </w:t>
      </w:r>
      <w:r w:rsidR="005A785B">
        <w:t>where</w:t>
      </w:r>
      <w:r w:rsidRPr="007E4856">
        <w:t xml:space="preserve"> </w:t>
      </w:r>
      <w:r w:rsidR="005A785B">
        <w:t>reading</w:t>
      </w:r>
      <w:r w:rsidRPr="007E4856">
        <w:t xml:space="preserve"> </w:t>
      </w:r>
      <w:r w:rsidR="005A785B">
        <w:t xml:space="preserve">was </w:t>
      </w:r>
      <w:r w:rsidRPr="007E4856">
        <w:t xml:space="preserve">based on previous experiences </w:t>
      </w:r>
      <w:r w:rsidR="005910C8">
        <w:t>with</w:t>
      </w:r>
      <w:r w:rsidRPr="007E4856">
        <w:t xml:space="preserve"> mathematical syntax and vocabulary was </w:t>
      </w:r>
      <w:r w:rsidR="007F4F51">
        <w:t>when</w:t>
      </w:r>
      <w:r w:rsidR="005A785B">
        <w:t xml:space="preserve"> </w:t>
      </w:r>
      <m:oMath>
        <m:nary>
          <m:naryPr>
            <m:limLoc m:val="subSup"/>
            <m:ctrlPr>
              <w:rPr>
                <w:rFonts w:ascii="Cambria Math" w:hAnsi="Cambria Math"/>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 xml:space="preserve"> dx</m:t>
            </m:r>
          </m:e>
        </m:nary>
      </m:oMath>
      <w:r w:rsidR="007F4F51">
        <w:t xml:space="preserve"> </w:t>
      </w:r>
      <w:r w:rsidR="005A785B">
        <w:t>was read as</w:t>
      </w:r>
      <w:r w:rsidRPr="007E4856">
        <w:t xml:space="preserve"> “the integral </w:t>
      </w:r>
      <w:r w:rsidRPr="00970B16">
        <w:rPr>
          <w:i/>
          <w:iCs/>
        </w:rPr>
        <w:t>times</w:t>
      </w:r>
      <w:r w:rsidRPr="007E4856">
        <w:t xml:space="preserve"> f-of-x dee-x from </w:t>
      </w:r>
      <w:r w:rsidRPr="00B0466B">
        <w:t>a</w:t>
      </w:r>
      <w:r w:rsidRPr="007E4856">
        <w:t xml:space="preserve"> to </w:t>
      </w:r>
      <w:r w:rsidRPr="00B0466B">
        <w:t>b</w:t>
      </w:r>
      <w:r w:rsidRPr="007E4856">
        <w:t xml:space="preserve">” (Swe: ”integralen </w:t>
      </w:r>
      <w:r w:rsidRPr="007E4856">
        <w:rPr>
          <w:i/>
          <w:iCs/>
        </w:rPr>
        <w:t>gånger</w:t>
      </w:r>
      <w:r w:rsidRPr="007E4856">
        <w:t xml:space="preserve"> f-av-x de-x från a till b”). </w:t>
      </w:r>
      <w:r>
        <w:t>The</w:t>
      </w:r>
      <w:r w:rsidR="005A785B">
        <w:t xml:space="preserve"> word choice was</w:t>
      </w:r>
      <w:r w:rsidRPr="007E4856">
        <w:t xml:space="preserve"> </w:t>
      </w:r>
      <w:r>
        <w:t xml:space="preserve">assumed to be </w:t>
      </w:r>
      <w:r w:rsidRPr="007E4856">
        <w:t xml:space="preserve">based on previous experiences </w:t>
      </w:r>
      <w:r w:rsidR="00BC78A1">
        <w:t>with</w:t>
      </w:r>
      <w:r w:rsidRPr="007E4856">
        <w:t xml:space="preserve"> implicit multiplication signs. </w:t>
      </w:r>
    </w:p>
    <w:p w14:paraId="2969DD9C" w14:textId="59B49ECB" w:rsidR="007E4856" w:rsidRPr="007E4856" w:rsidRDefault="007E4856" w:rsidP="007E4856">
      <w:r>
        <w:lastRenderedPageBreak/>
        <w:t>T</w:t>
      </w:r>
      <w:r w:rsidRPr="007E4856">
        <w:t xml:space="preserve">he unconventional reading showed a large span in </w:t>
      </w:r>
      <w:r>
        <w:t xml:space="preserve">the </w:t>
      </w:r>
      <w:r w:rsidRPr="007E4856">
        <w:t>degree of interpretation</w:t>
      </w:r>
      <w:r>
        <w:t xml:space="preserve"> of the expressions</w:t>
      </w:r>
      <w:r w:rsidR="00BC78A1">
        <w:t>;</w:t>
      </w:r>
      <w:r w:rsidRPr="007E4856">
        <w:t xml:space="preserve"> both </w:t>
      </w:r>
      <w:r w:rsidRPr="0068403E">
        <w:rPr>
          <w:i/>
          <w:iCs/>
        </w:rPr>
        <w:t>paraphrasing</w:t>
      </w:r>
      <w:r w:rsidRPr="007E4856">
        <w:t xml:space="preserve"> and </w:t>
      </w:r>
      <w:r w:rsidRPr="0068403E">
        <w:rPr>
          <w:i/>
          <w:iCs/>
        </w:rPr>
        <w:t>literal translation</w:t>
      </w:r>
      <w:r w:rsidRPr="007E4856">
        <w:t xml:space="preserve"> w</w:t>
      </w:r>
      <w:r w:rsidR="00BC78A1">
        <w:t>ere</w:t>
      </w:r>
      <w:r>
        <w:t xml:space="preserve"> used</w:t>
      </w:r>
      <w:r w:rsidRPr="007E4856">
        <w:t>.</w:t>
      </w:r>
      <w:r>
        <w:t xml:space="preserve"> Specific </w:t>
      </w:r>
      <w:r w:rsidR="00BC78A1">
        <w:t>to</w:t>
      </w:r>
      <w:r>
        <w:t xml:space="preserve"> this study was the participants’ </w:t>
      </w:r>
      <w:r w:rsidRPr="007E4856">
        <w:t xml:space="preserve">search for words when encountering </w:t>
      </w:r>
      <m:oMath>
        <m:r>
          <w:rPr>
            <w:rFonts w:ascii="Cambria Math" w:hAnsi="Cambria Math"/>
          </w:rPr>
          <m:t>y''</m:t>
        </m:r>
      </m:oMath>
      <w:r w:rsidRPr="007E4856">
        <w:t>. When this</w:t>
      </w:r>
      <w:r>
        <w:t>, after hesitation,</w:t>
      </w:r>
      <w:r w:rsidRPr="007E4856">
        <w:t xml:space="preserve"> was read</w:t>
      </w:r>
      <w:r w:rsidR="005910C8">
        <w:t xml:space="preserve"> as</w:t>
      </w:r>
      <w:r w:rsidRPr="007E4856">
        <w:t xml:space="preserve"> “the second derivative” or “the derivative twice”, </w:t>
      </w:r>
      <w:r>
        <w:t xml:space="preserve">it was </w:t>
      </w:r>
      <w:r w:rsidRPr="007E4856">
        <w:t xml:space="preserve">interpreted as </w:t>
      </w:r>
      <w:r w:rsidRPr="0068403E">
        <w:rPr>
          <w:i/>
          <w:iCs/>
        </w:rPr>
        <w:t>paraphrasing</w:t>
      </w:r>
      <w:r w:rsidRPr="007E4856">
        <w:t xml:space="preserve">. Reading </w:t>
      </w:r>
      <m:oMath>
        <m:f>
          <m:fPr>
            <m:ctrlPr>
              <w:rPr>
                <w:rFonts w:ascii="Cambria Math" w:hAnsi="Cambria Math"/>
              </w:rPr>
            </m:ctrlPr>
          </m:fPr>
          <m:num>
            <m:r>
              <w:rPr>
                <w:rFonts w:ascii="Cambria Math" w:hAnsi="Cambria Math"/>
              </w:rPr>
              <m:t>dy</m:t>
            </m:r>
          </m:num>
          <m:den>
            <m:r>
              <w:rPr>
                <w:rFonts w:ascii="Cambria Math" w:hAnsi="Cambria Math"/>
              </w:rPr>
              <m:t>dt</m:t>
            </m:r>
          </m:den>
        </m:f>
      </m:oMath>
      <w:r w:rsidRPr="007E4856">
        <w:t xml:space="preserve"> as “dee-why divided by dee-tee” (Swe: “de-y genom de-te”) was interpreted as a </w:t>
      </w:r>
      <w:r w:rsidRPr="0068403E">
        <w:rPr>
          <w:i/>
          <w:iCs/>
        </w:rPr>
        <w:t>literal translation</w:t>
      </w:r>
      <w:r w:rsidRPr="007E4856">
        <w:t xml:space="preserve">. </w:t>
      </w:r>
    </w:p>
    <w:p w14:paraId="0DF27BC0" w14:textId="1D62F66B" w:rsidR="00F35482" w:rsidRDefault="007E4856" w:rsidP="00F35482">
      <w:r w:rsidRPr="007E4856">
        <w:t xml:space="preserve">It </w:t>
      </w:r>
      <w:r w:rsidR="004319EB">
        <w:t>was</w:t>
      </w:r>
      <w:r w:rsidRPr="007E4856">
        <w:t xml:space="preserve"> common to find </w:t>
      </w:r>
      <w:r>
        <w:t>simultaneous us</w:t>
      </w:r>
      <w:r w:rsidR="00017809">
        <w:t>age</w:t>
      </w:r>
      <w:r>
        <w:t xml:space="preserve"> of multiple </w:t>
      </w:r>
      <w:r w:rsidRPr="007E4856">
        <w:t>SLC strategies</w:t>
      </w:r>
      <w:r w:rsidR="00BC78A1">
        <w:t>.</w:t>
      </w:r>
      <w:r>
        <w:t xml:space="preserve"> </w:t>
      </w:r>
      <w:r w:rsidRPr="007E4856">
        <w:t xml:space="preserve">For example, the </w:t>
      </w:r>
      <w:r w:rsidRPr="0068403E">
        <w:rPr>
          <w:i/>
          <w:iCs/>
        </w:rPr>
        <w:t>paraphrasing</w:t>
      </w:r>
      <w:r w:rsidRPr="007E4856">
        <w:t xml:space="preserve"> strategy was more than once part of a </w:t>
      </w:r>
      <w:r w:rsidRPr="0068403E">
        <w:rPr>
          <w:i/>
          <w:iCs/>
        </w:rPr>
        <w:t>restructuring</w:t>
      </w:r>
      <w:r w:rsidRPr="007E4856">
        <w:t xml:space="preserve"> strategy. </w:t>
      </w:r>
      <w:r w:rsidRPr="0068403E">
        <w:rPr>
          <w:i/>
          <w:iCs/>
        </w:rPr>
        <w:t>Restructuring</w:t>
      </w:r>
      <w:r w:rsidRPr="007E4856">
        <w:t xml:space="preserve"> was also seen together with </w:t>
      </w:r>
      <w:r w:rsidRPr="0068403E">
        <w:rPr>
          <w:i/>
          <w:iCs/>
        </w:rPr>
        <w:t>self-repetition</w:t>
      </w:r>
      <w:r w:rsidRPr="007E4856">
        <w:t xml:space="preserve"> (“from</w:t>
      </w:r>
      <w:r w:rsidR="00BC78A1">
        <w:t>,</w:t>
      </w:r>
      <w:r w:rsidRPr="007E4856">
        <w:t xml:space="preserve"> … from, from”), </w:t>
      </w:r>
      <w:r w:rsidRPr="0068403E">
        <w:rPr>
          <w:i/>
          <w:iCs/>
        </w:rPr>
        <w:t>self-rephrasing</w:t>
      </w:r>
      <w:r w:rsidRPr="007E4856">
        <w:t xml:space="preserve"> (“limits</w:t>
      </w:r>
      <w:r w:rsidR="00BC78A1">
        <w:t>,</w:t>
      </w:r>
      <w:r w:rsidRPr="007E4856">
        <w:t xml:space="preserve"> … interval”), and </w:t>
      </w:r>
      <w:r w:rsidR="00BC78A1">
        <w:t xml:space="preserve">the </w:t>
      </w:r>
      <w:r w:rsidRPr="0068403E">
        <w:rPr>
          <w:i/>
          <w:iCs/>
        </w:rPr>
        <w:t>use of fillers</w:t>
      </w:r>
      <w:r w:rsidRPr="007E4856">
        <w:t xml:space="preserve"> (“ehm…ehm …”), strategies used to keep communication </w:t>
      </w:r>
      <w:r w:rsidR="005A785B">
        <w:t>going</w:t>
      </w:r>
      <w:r w:rsidRPr="007E4856">
        <w:t xml:space="preserve">. </w:t>
      </w:r>
    </w:p>
    <w:p w14:paraId="6527A18A" w14:textId="49361A2C" w:rsidR="007E4856" w:rsidRDefault="00F35482" w:rsidP="00F35482">
      <w:r>
        <w:t>In some cases</w:t>
      </w:r>
      <w:r w:rsidR="007E4856" w:rsidRPr="007E4856">
        <w:t>, it was not completely clear which strategy was</w:t>
      </w:r>
      <w:r w:rsidR="007E4856">
        <w:t xml:space="preserve"> used</w:t>
      </w:r>
      <w:r w:rsidR="007E4856" w:rsidRPr="007E4856">
        <w:t xml:space="preserve">. </w:t>
      </w:r>
      <w:r w:rsidR="007E4856">
        <w:t xml:space="preserve">For example, the reading </w:t>
      </w:r>
      <w:r w:rsidR="007E4856" w:rsidRPr="007E4856">
        <w:t>“The equation y-prime-two, no, the derivat… the second derivative of y” (Swe: “Ekvationen y-prim-två, näe, derivat…</w:t>
      </w:r>
      <w:r w:rsidR="00BC78A1">
        <w:t xml:space="preserve"> </w:t>
      </w:r>
      <w:r w:rsidR="007E4856" w:rsidRPr="007E4856">
        <w:t xml:space="preserve">andraderivatan av y”) can be seen both as a </w:t>
      </w:r>
      <w:r w:rsidR="007E4856" w:rsidRPr="0068403E">
        <w:rPr>
          <w:i/>
          <w:iCs/>
        </w:rPr>
        <w:t>self-correction</w:t>
      </w:r>
      <w:r w:rsidR="007E4856" w:rsidRPr="007E4856">
        <w:t xml:space="preserve"> indicated by the “no” followed by a change of the word</w:t>
      </w:r>
      <w:r w:rsidR="007F4F51">
        <w:t>,</w:t>
      </w:r>
      <w:r w:rsidR="007E4856" w:rsidRPr="007E4856">
        <w:t xml:space="preserve"> and/or as a </w:t>
      </w:r>
      <w:r w:rsidR="007E4856" w:rsidRPr="0068403E">
        <w:rPr>
          <w:i/>
          <w:iCs/>
        </w:rPr>
        <w:t xml:space="preserve">retrieval </w:t>
      </w:r>
      <w:r w:rsidR="007E4856">
        <w:t xml:space="preserve">where the </w:t>
      </w:r>
      <w:r w:rsidR="007E4856" w:rsidRPr="007E4856">
        <w:t xml:space="preserve">final word is found after saying incomplete and wrong words. </w:t>
      </w:r>
      <w:r w:rsidR="007E4856">
        <w:t xml:space="preserve">Furthermore, </w:t>
      </w:r>
      <w:r w:rsidR="007E4856" w:rsidRPr="0068403E">
        <w:rPr>
          <w:i/>
          <w:iCs/>
        </w:rPr>
        <w:t>strategy markers</w:t>
      </w:r>
      <w:r w:rsidR="00BC78A1">
        <w:t>,</w:t>
      </w:r>
      <w:r w:rsidR="007E4856" w:rsidRPr="007E4856">
        <w:t xml:space="preserve"> where participants communicate their uncertainty about message content, often had the additional function of being fillers. Examples were phrases such as “What do you say?” and “What’s the name of this?”</w:t>
      </w:r>
      <w:r w:rsidR="0034188D">
        <w:t>,</w:t>
      </w:r>
      <w:r w:rsidR="007E4856" w:rsidRPr="007E4856">
        <w:t xml:space="preserve"> said before reading a difficult passage. An example of </w:t>
      </w:r>
      <w:r w:rsidR="007E4856" w:rsidRPr="00C61DE0">
        <w:t>a strategy marker</w:t>
      </w:r>
      <w:r w:rsidR="007E4856" w:rsidRPr="007E4856">
        <w:t xml:space="preserve"> that was not used as a filler </w:t>
      </w:r>
      <w:r w:rsidR="007E4856">
        <w:t>was</w:t>
      </w:r>
      <w:r w:rsidR="007E4856" w:rsidRPr="007E4856">
        <w:t xml:space="preserve"> the question “If t</w:t>
      </w:r>
      <w:r w:rsidR="007F4F51">
        <w:t xml:space="preserve">hat’ll </w:t>
      </w:r>
      <w:r w:rsidR="00FE7D6C">
        <w:t>work</w:t>
      </w:r>
      <w:r w:rsidR="007E4856" w:rsidRPr="007E4856">
        <w:t>?</w:t>
      </w:r>
      <w:r w:rsidR="005A785B">
        <w:t xml:space="preserve">“ </w:t>
      </w:r>
      <w:r w:rsidR="007E4856" w:rsidRPr="007E4856">
        <w:t xml:space="preserve">(Swe: “Om det går bra?”) </w:t>
      </w:r>
      <w:r w:rsidR="007E4856">
        <w:t xml:space="preserve">said </w:t>
      </w:r>
      <w:r w:rsidR="007E4856" w:rsidRPr="007E4856">
        <w:t xml:space="preserve">after reading an expression. </w:t>
      </w:r>
    </w:p>
    <w:p w14:paraId="628A40EB" w14:textId="1C2A8602" w:rsidR="00BA793C" w:rsidRDefault="00BA793C" w:rsidP="00C84D38">
      <w:r>
        <w:t>The conclusion is that manifold strategies were incited when students read less familiar symbolic expressions</w:t>
      </w:r>
      <w:r w:rsidR="0068403E">
        <w:t xml:space="preserve"> aloud, and</w:t>
      </w:r>
      <w:r>
        <w:t xml:space="preserve"> </w:t>
      </w:r>
      <w:r w:rsidR="0068403E">
        <w:t>m</w:t>
      </w:r>
      <w:r>
        <w:t>any of the strategies were similar to strategies used in second</w:t>
      </w:r>
      <w:r w:rsidR="004D7635">
        <w:t xml:space="preserve"> </w:t>
      </w:r>
      <w:r>
        <w:t>language communica</w:t>
      </w:r>
      <w:r w:rsidR="004D7635">
        <w:t>tion</w:t>
      </w:r>
      <w:r>
        <w:t xml:space="preserve">.   </w:t>
      </w:r>
    </w:p>
    <w:p w14:paraId="1F018CC7" w14:textId="6EB67696" w:rsidR="00BA793C" w:rsidRDefault="00BA793C" w:rsidP="00C84D38">
      <w:pPr>
        <w:pStyle w:val="Rubrik2"/>
      </w:pPr>
      <w:r>
        <w:t>Discussion</w:t>
      </w:r>
    </w:p>
    <w:p w14:paraId="741638DB" w14:textId="3BA6E8CE" w:rsidR="00106A46" w:rsidRPr="00106A46" w:rsidRDefault="00C84D38" w:rsidP="005A785B">
      <w:pPr>
        <w:pStyle w:val="Brdtext"/>
      </w:pPr>
      <w:r>
        <w:t xml:space="preserve">Seventeen strategies were identified in the recordings of students </w:t>
      </w:r>
      <w:r w:rsidR="005124CF">
        <w:t>who</w:t>
      </w:r>
      <w:r>
        <w:t xml:space="preserve"> were reading symbolic expressions</w:t>
      </w:r>
      <w:r w:rsidR="00017809">
        <w:t xml:space="preserve"> aloud</w:t>
      </w:r>
      <w:r>
        <w:t>.</w:t>
      </w:r>
      <w:r w:rsidR="00FC1734">
        <w:t xml:space="preserve"> Two of them were not </w:t>
      </w:r>
      <w:r w:rsidR="005A785B">
        <w:t>second language communication (</w:t>
      </w:r>
      <w:r w:rsidR="00FC1734">
        <w:t>SLC</w:t>
      </w:r>
      <w:r w:rsidR="005A785B">
        <w:t>)</w:t>
      </w:r>
      <w:r w:rsidR="00FC1734">
        <w:t xml:space="preserve"> strategies</w:t>
      </w:r>
      <w:r w:rsidR="005A785B">
        <w:t xml:space="preserve">, and they were both </w:t>
      </w:r>
      <w:r>
        <w:t xml:space="preserve">seen in connection with certain symbolic expressions. For integral limits, where the reading order is reversed </w:t>
      </w:r>
      <w:r w:rsidR="005A785B">
        <w:t>compared to</w:t>
      </w:r>
      <w:r>
        <w:t xml:space="preserve"> written language</w:t>
      </w:r>
      <w:r w:rsidR="005A785B">
        <w:t xml:space="preserve"> in general</w:t>
      </w:r>
      <w:r>
        <w:t xml:space="preserve">, it became obvious that preserving the top-to-bottom reading order was a strategy used when reading symbolic expressions. For singular symbols with unknown names, the strategy was to substitute </w:t>
      </w:r>
      <w:r w:rsidR="005A785B">
        <w:t>them</w:t>
      </w:r>
      <w:r>
        <w:t xml:space="preserve"> with the name</w:t>
      </w:r>
      <w:r w:rsidR="007F4F51">
        <w:t>s</w:t>
      </w:r>
      <w:r>
        <w:t xml:space="preserve"> of similarly shaped symbol</w:t>
      </w:r>
      <w:r w:rsidR="007F4F51">
        <w:t>s</w:t>
      </w:r>
      <w:r w:rsidR="00423990">
        <w:t xml:space="preserve">. </w:t>
      </w:r>
      <w:r>
        <w:t xml:space="preserve">While top-to-bottom reading might be used without the experience of any communication problems, in specific situations, it is a strategy related to a resource deficit. That is, not knowing the reading order. The symbol shape approximation is more clearly a strategy </w:t>
      </w:r>
      <w:r w:rsidR="00D64D70">
        <w:t>for overcoming</w:t>
      </w:r>
      <w:r>
        <w:t xml:space="preserve"> a difficult situation</w:t>
      </w:r>
      <w:r w:rsidR="009C6AB0">
        <w:t xml:space="preserve"> in line with </w:t>
      </w:r>
      <w:r w:rsidR="00F023F8">
        <w:t>a situation of SLC</w:t>
      </w:r>
      <w:r w:rsidR="00687FC9">
        <w:t xml:space="preserve"> </w:t>
      </w:r>
      <w:r w:rsidR="00423990">
        <w:t>where</w:t>
      </w:r>
      <w:r w:rsidR="00687FC9">
        <w:t xml:space="preserve"> vocabulary</w:t>
      </w:r>
      <w:r w:rsidR="00423990">
        <w:t xml:space="preserve"> is lacking</w:t>
      </w:r>
      <w:r>
        <w:t>. The proper name of a symbol is not known</w:t>
      </w:r>
      <w:r w:rsidR="00BC78A1">
        <w:t>,</w:t>
      </w:r>
      <w:r>
        <w:t xml:space="preserve"> and that problem needs to be solved.</w:t>
      </w:r>
      <w:r w:rsidR="001B0910">
        <w:t xml:space="preserve"> However, the strategy</w:t>
      </w:r>
      <w:r w:rsidR="00423990">
        <w:t xml:space="preserve"> used when solving the problem is not a SLC strategy</w:t>
      </w:r>
      <w:r w:rsidR="008C4DEB">
        <w:t xml:space="preserve">. </w:t>
      </w:r>
      <w:r>
        <w:t xml:space="preserve">  </w:t>
      </w:r>
    </w:p>
    <w:p w14:paraId="14996F98" w14:textId="77777777" w:rsidR="00C61DE0" w:rsidRDefault="00C84D38" w:rsidP="007F4F51">
      <w:r>
        <w:t xml:space="preserve">Strategies similar to SLC </w:t>
      </w:r>
      <w:r w:rsidR="00106A46">
        <w:t xml:space="preserve">strategies </w:t>
      </w:r>
      <w:r>
        <w:t xml:space="preserve">were abundant in the recorded material. </w:t>
      </w:r>
      <w:r w:rsidR="00106A46">
        <w:t xml:space="preserve">Of the 18 </w:t>
      </w:r>
      <w:r>
        <w:t xml:space="preserve">potential </w:t>
      </w:r>
      <w:r w:rsidR="00106A46">
        <w:t xml:space="preserve">strategies listed, </w:t>
      </w:r>
      <w:r w:rsidR="00BA793C" w:rsidRPr="00A94896">
        <w:t>15 were found</w:t>
      </w:r>
      <w:r w:rsidR="00BA793C">
        <w:t xml:space="preserve"> </w:t>
      </w:r>
      <w:r w:rsidR="00BA793C" w:rsidRPr="00A94896">
        <w:t>at least once.</w:t>
      </w:r>
      <w:r>
        <w:t xml:space="preserve"> </w:t>
      </w:r>
      <w:bookmarkStart w:id="2" w:name="_Hlk156466107"/>
      <w:r w:rsidR="00C61DE0">
        <w:t xml:space="preserve">The potential SLC strategies </w:t>
      </w:r>
      <w:r w:rsidR="00C61DE0">
        <w:lastRenderedPageBreak/>
        <w:t xml:space="preserve">that were not found in the data, might be found in situations where a more active communication partner is involved. That may also be the case for many of the strategies that were excluded from the study for methodological reasons. </w:t>
      </w:r>
      <w:bookmarkEnd w:id="2"/>
    </w:p>
    <w:p w14:paraId="47B5CF5A" w14:textId="1F04C229" w:rsidR="00C84D38" w:rsidRDefault="00C84D38" w:rsidP="007F4F51">
      <w:r>
        <w:t>That the strategic use of similar</w:t>
      </w:r>
      <w:r w:rsidR="00BC78A1">
        <w:t>-</w:t>
      </w:r>
      <w:r>
        <w:t xml:space="preserve">sounding words did not occur in this study might be explained by the expressions included in the reading tasks. If the students did not experience any problems finding a word where they already knew a similar sounding one, the strategy could not be used. The limited number of participants is also a factor to consider in relation to the non-occurring SLC strategies. For example, a person </w:t>
      </w:r>
      <w:r w:rsidR="00BC78A1">
        <w:t xml:space="preserve">who is </w:t>
      </w:r>
      <w:r>
        <w:t>more prone to u</w:t>
      </w:r>
      <w:r w:rsidR="005A785B">
        <w:t xml:space="preserve">sing </w:t>
      </w:r>
      <w:r>
        <w:t>all-purpose words such as “this thing” and “that stuff” in everyday language might</w:t>
      </w:r>
      <w:r w:rsidR="005A785B">
        <w:t xml:space="preserve"> also have</w:t>
      </w:r>
      <w:r w:rsidR="00BC78A1">
        <w:t xml:space="preserve"> </w:t>
      </w:r>
      <w:r>
        <w:t xml:space="preserve">used them in the reading of mathematical expressions. It is not known </w:t>
      </w:r>
      <w:r w:rsidR="00C92F69">
        <w:t>whether</w:t>
      </w:r>
      <w:r>
        <w:t xml:space="preserve"> the 18 participants in this study included such a person</w:t>
      </w:r>
      <w:r w:rsidR="00BC78A1">
        <w:t>,</w:t>
      </w:r>
      <w:r>
        <w:t xml:space="preserve"> and if </w:t>
      </w:r>
      <w:r w:rsidR="00C92F69">
        <w:t>so</w:t>
      </w:r>
      <w:r>
        <w:t xml:space="preserve">, </w:t>
      </w:r>
      <w:r w:rsidR="001D4032">
        <w:t xml:space="preserve">the </w:t>
      </w:r>
      <w:r>
        <w:t xml:space="preserve">reading </w:t>
      </w:r>
      <w:r w:rsidR="001D4032">
        <w:t xml:space="preserve">situation </w:t>
      </w:r>
      <w:r w:rsidR="00191B9C">
        <w:t xml:space="preserve">may </w:t>
      </w:r>
      <w:r>
        <w:t xml:space="preserve">not </w:t>
      </w:r>
      <w:r w:rsidR="001D4032">
        <w:t xml:space="preserve">have stimulated this </w:t>
      </w:r>
      <w:r>
        <w:t>type of strategy. That message reduction did not occur as a strategy can</w:t>
      </w:r>
      <w:r w:rsidR="007F4F51">
        <w:t xml:space="preserve"> </w:t>
      </w:r>
      <w:r>
        <w:t>be a result of the analysis method</w:t>
      </w:r>
      <w:r w:rsidR="007F4F51">
        <w:t>, at least partly</w:t>
      </w:r>
      <w:r>
        <w:t>. In many cases, the resulting message was reduced</w:t>
      </w:r>
      <w:r w:rsidR="00A62EF0">
        <w:t xml:space="preserve"> but it was </w:t>
      </w:r>
      <w:r w:rsidR="00C5197B">
        <w:t xml:space="preserve">also </w:t>
      </w:r>
      <w:r w:rsidR="00A62EF0">
        <w:t>possible to</w:t>
      </w:r>
      <w:r w:rsidR="00BA0007">
        <w:t xml:space="preserve"> find </w:t>
      </w:r>
      <w:r w:rsidR="009210D3">
        <w:t xml:space="preserve">that </w:t>
      </w:r>
      <w:r w:rsidR="00BA0007">
        <w:t>another</w:t>
      </w:r>
      <w:r w:rsidR="00C5197B">
        <w:t>, often more specific</w:t>
      </w:r>
      <w:r w:rsidR="009210D3">
        <w:t>,</w:t>
      </w:r>
      <w:r w:rsidR="00BA0007">
        <w:t xml:space="preserve"> strategy</w:t>
      </w:r>
      <w:r w:rsidR="00C5197B">
        <w:t xml:space="preserve"> </w:t>
      </w:r>
      <w:r w:rsidR="009210D3">
        <w:t xml:space="preserve">was </w:t>
      </w:r>
      <w:r w:rsidR="00C5197B">
        <w:t xml:space="preserve">used in the situation. </w:t>
      </w:r>
      <w:r w:rsidR="00BA0007">
        <w:t xml:space="preserve"> </w:t>
      </w:r>
    </w:p>
    <w:p w14:paraId="631F2254" w14:textId="1CFCD7DE" w:rsidR="00BA793C" w:rsidRDefault="00C84D38" w:rsidP="007F4F51">
      <w:r>
        <w:t>According to the taxonomy of Dörnyei and Scott (1997)</w:t>
      </w:r>
      <w:r w:rsidR="00BC78A1">
        <w:t>,</w:t>
      </w:r>
      <w:r>
        <w:t xml:space="preserve"> the occurring SLC strategies were related to resource deficits and performance problems</w:t>
      </w:r>
      <w:r w:rsidR="00BC78A1">
        <w:t>,</w:t>
      </w:r>
      <w:r>
        <w:t xml:space="preserve"> as well as to the experience of time pressure in the communication situation. Although </w:t>
      </w:r>
      <w:r w:rsidR="00BC78A1">
        <w:t xml:space="preserve">the </w:t>
      </w:r>
      <w:r>
        <w:t xml:space="preserve">data was limited to </w:t>
      </w:r>
      <w:r w:rsidR="00BC78A1">
        <w:t xml:space="preserve">the </w:t>
      </w:r>
      <w:r>
        <w:t xml:space="preserve">reading </w:t>
      </w:r>
      <w:r w:rsidR="00296B2C">
        <w:t xml:space="preserve">aloud </w:t>
      </w:r>
      <w:r>
        <w:t>of selected expressions, the results so far imply that the experience of the own performance and the time pressure in the reading situation are similar to what is experienced by L2 speakers</w:t>
      </w:r>
      <w:r w:rsidR="00256159">
        <w:t xml:space="preserve"> in SLC s</w:t>
      </w:r>
      <w:r w:rsidR="005A785B">
        <w:t>i</w:t>
      </w:r>
      <w:r w:rsidR="00256159">
        <w:t>tuations</w:t>
      </w:r>
      <w:r>
        <w:t xml:space="preserve">. Yet, the resource deficits seem to comprise some additional categories for transformations from symbols to speech. That is not surprising because of the difference between the sign systems. For example, unknown written words can still be </w:t>
      </w:r>
      <w:r w:rsidR="00C86893">
        <w:t>read aloud</w:t>
      </w:r>
      <w:r w:rsidR="00BC78A1">
        <w:t>,</w:t>
      </w:r>
      <w:r>
        <w:t xml:space="preserve"> and for the written </w:t>
      </w:r>
      <w:r w:rsidR="00590CFA">
        <w:t xml:space="preserve">Swedish </w:t>
      </w:r>
      <w:r>
        <w:t>language, the reading order is fixed.</w:t>
      </w:r>
      <w:r w:rsidR="007F4F51">
        <w:t xml:space="preserve"> </w:t>
      </w:r>
      <w:r>
        <w:t xml:space="preserve">Nevertheless, similarities in the use of communication strategies </w:t>
      </w:r>
      <w:r w:rsidR="005910C8">
        <w:t xml:space="preserve">may </w:t>
      </w:r>
      <w:r>
        <w:t>reflect s</w:t>
      </w:r>
      <w:r w:rsidRPr="00A94896">
        <w:t>imilarities</w:t>
      </w:r>
      <w:r>
        <w:t xml:space="preserve"> in the </w:t>
      </w:r>
      <w:r w:rsidRPr="00A94896">
        <w:t xml:space="preserve">obstacles encountered when reading less familiar symbolic expressions and </w:t>
      </w:r>
      <w:r>
        <w:t xml:space="preserve">speaking in </w:t>
      </w:r>
      <w:r w:rsidRPr="00A94896">
        <w:t>L2</w:t>
      </w:r>
      <w:r>
        <w:t>.</w:t>
      </w:r>
      <w:r w:rsidR="000053BF">
        <w:t xml:space="preserve"> Use of similar strategies</w:t>
      </w:r>
      <w:r>
        <w:t xml:space="preserve"> could also indicate similarities between </w:t>
      </w:r>
      <w:r w:rsidR="000053BF">
        <w:t xml:space="preserve">reading </w:t>
      </w:r>
      <w:r>
        <w:t xml:space="preserve">symbols </w:t>
      </w:r>
      <w:r w:rsidR="000053BF">
        <w:t xml:space="preserve">aloud </w:t>
      </w:r>
      <w:r>
        <w:t>and translat</w:t>
      </w:r>
      <w:r w:rsidR="000053BF">
        <w:t>ing</w:t>
      </w:r>
      <w:r>
        <w:t xml:space="preserve"> from a first language to an L2, a</w:t>
      </w:r>
      <w:r w:rsidR="000053BF">
        <w:t>nother</w:t>
      </w:r>
      <w:r>
        <w:t xml:space="preserve"> situation where SLC strategies </w:t>
      </w:r>
      <w:r w:rsidR="005910C8">
        <w:t xml:space="preserve">are </w:t>
      </w:r>
      <w:r>
        <w:t>activated (</w:t>
      </w:r>
      <w:r w:rsidRPr="00A94896">
        <w:rPr>
          <w:shd w:val="clear" w:color="auto" w:fill="FFFFFF"/>
        </w:rPr>
        <w:t>Rabab'ah, 2008</w:t>
      </w:r>
      <w:r>
        <w:rPr>
          <w:shd w:val="clear" w:color="auto" w:fill="FFFFFF"/>
        </w:rPr>
        <w:t>)</w:t>
      </w:r>
      <w:r>
        <w:t xml:space="preserve">. </w:t>
      </w:r>
    </w:p>
    <w:p w14:paraId="6846055E" w14:textId="605488B5" w:rsidR="00C84D38" w:rsidRDefault="00BA793C" w:rsidP="00C84D38">
      <w:r w:rsidRPr="00A94896">
        <w:t>For a teacher to</w:t>
      </w:r>
      <w:r>
        <w:t xml:space="preserve"> adequately </w:t>
      </w:r>
      <w:r w:rsidRPr="00A94896">
        <w:t>help</w:t>
      </w:r>
      <w:r>
        <w:t xml:space="preserve"> </w:t>
      </w:r>
      <w:r w:rsidRPr="00A94896">
        <w:t>student</w:t>
      </w:r>
      <w:r>
        <w:t xml:space="preserve">s </w:t>
      </w:r>
      <w:r w:rsidRPr="00A94896">
        <w:t>learn the language of mathematic</w:t>
      </w:r>
      <w:r>
        <w:t>s</w:t>
      </w:r>
      <w:r w:rsidR="00C84D38">
        <w:t>—</w:t>
      </w:r>
      <w:r w:rsidRPr="00A94896">
        <w:t>the communication in words about mathematical ideas</w:t>
      </w:r>
      <w:r>
        <w:t>—</w:t>
      </w:r>
      <w:r w:rsidRPr="00A94896">
        <w:t>it is important to know the many obstacles lined</w:t>
      </w:r>
      <w:r w:rsidR="00BC78A1">
        <w:t xml:space="preserve"> </w:t>
      </w:r>
      <w:r w:rsidRPr="00A94896">
        <w:t xml:space="preserve">up along the way. </w:t>
      </w:r>
      <w:r w:rsidR="007F4F51">
        <w:t>As shown, o</w:t>
      </w:r>
      <w:r w:rsidRPr="00A94896">
        <w:t xml:space="preserve">ne of the difficulties </w:t>
      </w:r>
      <w:r w:rsidR="00C84D38">
        <w:t>that cause</w:t>
      </w:r>
      <w:r w:rsidR="00BC78A1">
        <w:t>s</w:t>
      </w:r>
      <w:r w:rsidR="00C84D38">
        <w:t xml:space="preserve"> the </w:t>
      </w:r>
      <w:r w:rsidRPr="00A94896">
        <w:t xml:space="preserve">need </w:t>
      </w:r>
      <w:r w:rsidR="00BC78A1">
        <w:t xml:space="preserve">for </w:t>
      </w:r>
      <w:r w:rsidRPr="00A94896">
        <w:t xml:space="preserve">a communication strategy when transforming written symbols </w:t>
      </w:r>
      <w:r w:rsidR="00BC78A1">
        <w:t>in</w:t>
      </w:r>
      <w:r w:rsidRPr="00A94896">
        <w:t>to speech</w:t>
      </w:r>
      <w:r w:rsidR="00BC78A1">
        <w:t xml:space="preserve"> </w:t>
      </w:r>
      <w:r w:rsidRPr="00A94896">
        <w:t>is insufficient vocabulary. Many teachers are already explicitly teaching vocabulary to their math students</w:t>
      </w:r>
      <w:r>
        <w:t xml:space="preserve"> by </w:t>
      </w:r>
      <w:r w:rsidRPr="00A94896">
        <w:t>explaining and relating different words (</w:t>
      </w:r>
      <w:r w:rsidRPr="00A94896">
        <w:rPr>
          <w:color w:val="222222"/>
          <w:shd w:val="clear" w:color="auto" w:fill="FFFFFF"/>
        </w:rPr>
        <w:t>Riccomini et al, 2015)</w:t>
      </w:r>
      <w:r w:rsidRPr="00A94896">
        <w:t xml:space="preserve">. If </w:t>
      </w:r>
      <w:r>
        <w:t xml:space="preserve">more </w:t>
      </w:r>
      <w:r w:rsidRPr="00A94896">
        <w:t>teacher</w:t>
      </w:r>
      <w:r>
        <w:t>s</w:t>
      </w:r>
      <w:r w:rsidRPr="00A94896">
        <w:t xml:space="preserve"> bec</w:t>
      </w:r>
      <w:r>
        <w:t>a</w:t>
      </w:r>
      <w:r w:rsidRPr="00A94896">
        <w:t>me</w:t>
      </w:r>
      <w:r>
        <w:t xml:space="preserve"> </w:t>
      </w:r>
      <w:r w:rsidRPr="00A94896">
        <w:t xml:space="preserve">aware of the problems associated with </w:t>
      </w:r>
      <w:r w:rsidR="00C84D38">
        <w:t xml:space="preserve">the </w:t>
      </w:r>
      <w:r>
        <w:t xml:space="preserve">transformation </w:t>
      </w:r>
      <w:r w:rsidRPr="00A94896">
        <w:t>of mathematical expressions</w:t>
      </w:r>
      <w:r>
        <w:t xml:space="preserve"> into speech</w:t>
      </w:r>
      <w:r w:rsidRPr="00A94896">
        <w:t xml:space="preserve">, </w:t>
      </w:r>
      <w:r>
        <w:t>it would not be a large</w:t>
      </w:r>
      <w:r w:rsidRPr="00A94896">
        <w:t xml:space="preserve"> step to include explicit instructions on how to</w:t>
      </w:r>
      <w:r>
        <w:t xml:space="preserve"> </w:t>
      </w:r>
      <w:r w:rsidR="00B84C00">
        <w:t>read</w:t>
      </w:r>
      <w:r>
        <w:t xml:space="preserve"> different symbol</w:t>
      </w:r>
      <w:r w:rsidR="00C84D38">
        <w:t>ic expressions related to the topic currently taught</w:t>
      </w:r>
      <w:r w:rsidRPr="00A94896">
        <w:t>.</w:t>
      </w:r>
      <w:r w:rsidR="00C84D38">
        <w:t xml:space="preserve"> It is worth noting that s</w:t>
      </w:r>
      <w:r w:rsidR="00C84D38" w:rsidRPr="00A94896">
        <w:t>ome of the</w:t>
      </w:r>
      <w:r w:rsidR="00C84D38">
        <w:t xml:space="preserve"> </w:t>
      </w:r>
      <w:r w:rsidR="00C84D38" w:rsidRPr="00A94896">
        <w:t xml:space="preserve">unconventional paraphrasing examples </w:t>
      </w:r>
      <w:r w:rsidR="001F343A">
        <w:t xml:space="preserve">identified in the data </w:t>
      </w:r>
      <w:r w:rsidR="00C84D38" w:rsidRPr="00A94896">
        <w:t xml:space="preserve">showed that students can have a sense </w:t>
      </w:r>
      <w:r w:rsidR="00BC78A1">
        <w:t xml:space="preserve">of </w:t>
      </w:r>
      <w:r w:rsidR="00C84D38" w:rsidRPr="00A94896">
        <w:t>the meaning of an expression</w:t>
      </w:r>
      <w:r w:rsidR="007F4F51">
        <w:t>, or at least its functional use,</w:t>
      </w:r>
      <w:r w:rsidR="00C84D38" w:rsidRPr="00A94896">
        <w:t xml:space="preserve"> before knowing a common way to </w:t>
      </w:r>
      <w:r w:rsidR="00B84C00">
        <w:t>read</w:t>
      </w:r>
      <w:r w:rsidR="00C84D38">
        <w:t xml:space="preserve"> it</w:t>
      </w:r>
      <w:r w:rsidR="007F4F51">
        <w:t xml:space="preserve">. One </w:t>
      </w:r>
      <w:r w:rsidR="007F4F51">
        <w:lastRenderedPageBreak/>
        <w:t>example would be when the participants are</w:t>
      </w:r>
      <w:r w:rsidR="00C84D38">
        <w:t xml:space="preserve"> saying “the derivative twice” (see Hultdin, 2013</w:t>
      </w:r>
      <w:r w:rsidR="005124CF">
        <w:t>,</w:t>
      </w:r>
      <w:r w:rsidR="00C84D38">
        <w:t xml:space="preserve"> for more examples)</w:t>
      </w:r>
      <w:r w:rsidR="00C84D38" w:rsidRPr="00A94896">
        <w:t>.</w:t>
      </w:r>
    </w:p>
    <w:p w14:paraId="78284098" w14:textId="77777777" w:rsidR="007F4F51" w:rsidRDefault="00BA793C" w:rsidP="007F4F51">
      <w:r w:rsidRPr="00A94896">
        <w:t>A final</w:t>
      </w:r>
      <w:r>
        <w:t xml:space="preserve"> reflection </w:t>
      </w:r>
      <w:r w:rsidRPr="00A94896">
        <w:t>is that human communication</w:t>
      </w:r>
      <w:r w:rsidR="00BC78A1">
        <w:t xml:space="preserve"> </w:t>
      </w:r>
      <w:r w:rsidRPr="00A94896">
        <w:t>is rarely bound</w:t>
      </w:r>
      <w:r w:rsidR="00AF66BA">
        <w:t xml:space="preserve"> to </w:t>
      </w:r>
      <w:r w:rsidR="00B60BBC">
        <w:t>one semiotic system or one type of situation</w:t>
      </w:r>
      <w:r w:rsidRPr="00A94896">
        <w:t>. We communicate by</w:t>
      </w:r>
      <w:r>
        <w:t xml:space="preserve"> any </w:t>
      </w:r>
      <w:r w:rsidRPr="00A94896">
        <w:t>means</w:t>
      </w:r>
      <w:r>
        <w:t xml:space="preserve"> available</w:t>
      </w:r>
      <w:r w:rsidRPr="00A94896">
        <w:t xml:space="preserve">, using the signs we know and the strategies we have acquired, and a </w:t>
      </w:r>
      <w:r>
        <w:t xml:space="preserve">common </w:t>
      </w:r>
      <w:r w:rsidRPr="00A94896">
        <w:t xml:space="preserve">strategy in second language communication could </w:t>
      </w:r>
      <w:r w:rsidR="00C84D38">
        <w:t xml:space="preserve">just </w:t>
      </w:r>
      <w:r w:rsidRPr="00A94896">
        <w:t>as well be used when reading a mathematical expression</w:t>
      </w:r>
      <w:r>
        <w:t xml:space="preserve"> </w:t>
      </w:r>
      <w:r w:rsidR="001C044B">
        <w:t>aloud</w:t>
      </w:r>
      <w:r w:rsidRPr="00A94896">
        <w:t>. The aim above all</w:t>
      </w:r>
      <w:r w:rsidR="00BC78A1">
        <w:t xml:space="preserve"> is to</w:t>
      </w:r>
      <w:r>
        <w:t xml:space="preserve"> </w:t>
      </w:r>
      <w:r w:rsidRPr="00A94896">
        <w:t xml:space="preserve">deliver the message.       </w:t>
      </w:r>
    </w:p>
    <w:p w14:paraId="0F0B0292" w14:textId="251A2C75" w:rsidR="00CE6A6A" w:rsidRDefault="00CE6A6A" w:rsidP="007F4F51">
      <w:pPr>
        <w:pStyle w:val="Rubrik3"/>
      </w:pPr>
      <w:r>
        <w:t>Note</w:t>
      </w:r>
    </w:p>
    <w:p w14:paraId="0E9B05D5" w14:textId="629D1E42" w:rsidR="007E4856" w:rsidRDefault="00CE6A6A" w:rsidP="00084739">
      <w:pPr>
        <w:pStyle w:val="Endnote"/>
        <w:rPr>
          <w:shd w:val="clear" w:color="auto" w:fill="FFFFFF"/>
        </w:rPr>
      </w:pPr>
      <w:r>
        <w:t xml:space="preserve">1. </w:t>
      </w:r>
      <w:r w:rsidR="007E4856">
        <w:rPr>
          <w:shd w:val="clear" w:color="auto" w:fill="FFFFFF"/>
        </w:rPr>
        <w:t xml:space="preserve">The report is based on part of a project thesis (Hultdin, 2013). At the time, part of the results was reported in Swedish. Examples from data in the present report are the same as in the thesis but translated from Swedish to English. All other text is newly written or further processed (methods, results) for this report and not a mere translation. </w:t>
      </w:r>
    </w:p>
    <w:p w14:paraId="6F203C91" w14:textId="540F7744" w:rsidR="00CE6A6A" w:rsidRDefault="00CE6A6A">
      <w:pPr>
        <w:pStyle w:val="Rubrik2"/>
      </w:pPr>
      <w:r>
        <w:t>References</w:t>
      </w:r>
    </w:p>
    <w:p w14:paraId="5B34DB5A" w14:textId="214A0D8D" w:rsidR="007E4856" w:rsidRPr="00086163" w:rsidRDefault="007E4856" w:rsidP="007E4856">
      <w:pPr>
        <w:pStyle w:val="References"/>
        <w:rPr>
          <w:shd w:val="clear" w:color="auto" w:fill="FFFFFF"/>
        </w:rPr>
      </w:pPr>
      <w:r w:rsidRPr="00086163">
        <w:rPr>
          <w:shd w:val="clear" w:color="auto" w:fill="FFFFFF"/>
        </w:rPr>
        <w:t>Avval, S. F. (2012). Communication Strategies in Translation: A Review on the Taxonomies from 1977 to 2011. </w:t>
      </w:r>
      <w:r w:rsidRPr="00086163">
        <w:t>Journal of Siberian Federal University. Humanities &amp; Social Sciences</w:t>
      </w:r>
      <w:r w:rsidRPr="00086163">
        <w:rPr>
          <w:shd w:val="clear" w:color="auto" w:fill="FFFFFF"/>
        </w:rPr>
        <w:t>, </w:t>
      </w:r>
      <w:r w:rsidRPr="00086163">
        <w:rPr>
          <w:i/>
          <w:iCs/>
          <w:shd w:val="clear" w:color="auto" w:fill="FFFFFF"/>
        </w:rPr>
        <w:t>5</w:t>
      </w:r>
      <w:r w:rsidRPr="00086163">
        <w:rPr>
          <w:shd w:val="clear" w:color="auto" w:fill="FFFFFF"/>
        </w:rPr>
        <w:t>(6), 768</w:t>
      </w:r>
      <w:r w:rsidR="00673775">
        <w:rPr>
          <w:shd w:val="clear" w:color="auto" w:fill="FFFFFF"/>
        </w:rPr>
        <w:t>–</w:t>
      </w:r>
      <w:r w:rsidRPr="00086163">
        <w:rPr>
          <w:shd w:val="clear" w:color="auto" w:fill="FFFFFF"/>
        </w:rPr>
        <w:t>779.</w:t>
      </w:r>
    </w:p>
    <w:p w14:paraId="15CFFA71" w14:textId="1E7069D3" w:rsidR="007E4856" w:rsidRPr="00086163" w:rsidRDefault="007E4856" w:rsidP="007E4856">
      <w:pPr>
        <w:pStyle w:val="References"/>
        <w:rPr>
          <w:shd w:val="clear" w:color="auto" w:fill="FFFFFF"/>
        </w:rPr>
      </w:pPr>
      <w:r w:rsidRPr="00086163">
        <w:rPr>
          <w:shd w:val="clear" w:color="auto" w:fill="FFFFFF"/>
        </w:rPr>
        <w:t>Bossé, M. J., Ringler, M., Bayaga, A., Fountain, C., &amp; Young, E. S. (2018). Acquiring math: Connecting math learning and second language acquisition. </w:t>
      </w:r>
      <w:r w:rsidRPr="00086163">
        <w:rPr>
          <w:i/>
          <w:iCs/>
          <w:shd w:val="clear" w:color="auto" w:fill="FFFFFF"/>
        </w:rPr>
        <w:t>International Journal for Mathematics Teaching and Learning</w:t>
      </w:r>
      <w:r w:rsidRPr="00086163">
        <w:rPr>
          <w:shd w:val="clear" w:color="auto" w:fill="FFFFFF"/>
        </w:rPr>
        <w:t>, </w:t>
      </w:r>
      <w:r w:rsidRPr="00086163">
        <w:rPr>
          <w:i/>
          <w:iCs/>
          <w:shd w:val="clear" w:color="auto" w:fill="FFFFFF"/>
        </w:rPr>
        <w:t>19</w:t>
      </w:r>
      <w:r w:rsidRPr="00086163">
        <w:rPr>
          <w:shd w:val="clear" w:color="auto" w:fill="FFFFFF"/>
        </w:rPr>
        <w:t>(2), 223</w:t>
      </w:r>
      <w:r w:rsidR="00673775">
        <w:rPr>
          <w:shd w:val="clear" w:color="auto" w:fill="FFFFFF"/>
        </w:rPr>
        <w:t>–</w:t>
      </w:r>
      <w:r w:rsidRPr="00086163">
        <w:rPr>
          <w:shd w:val="clear" w:color="auto" w:fill="FFFFFF"/>
        </w:rPr>
        <w:t xml:space="preserve">252. </w:t>
      </w:r>
    </w:p>
    <w:p w14:paraId="0F7A51F0" w14:textId="7000C4C5" w:rsidR="007E4856" w:rsidRPr="001F7C4E" w:rsidRDefault="007E4856" w:rsidP="007E4856">
      <w:pPr>
        <w:pStyle w:val="References"/>
        <w:rPr>
          <w:shd w:val="clear" w:color="auto" w:fill="FFFFFF"/>
          <w:lang w:val="sv-SE"/>
        </w:rPr>
      </w:pPr>
      <w:r w:rsidRPr="00086163">
        <w:rPr>
          <w:shd w:val="clear" w:color="auto" w:fill="FFFFFF"/>
        </w:rPr>
        <w:t>Dörnyei, Z., &amp; Scott, M. L. (1997). Communication strategies in a second language: Definitions and taxonomies. </w:t>
      </w:r>
      <w:r w:rsidRPr="001F7C4E">
        <w:rPr>
          <w:i/>
          <w:iCs/>
          <w:shd w:val="clear" w:color="auto" w:fill="FFFFFF"/>
          <w:lang w:val="sv-SE"/>
        </w:rPr>
        <w:t>Language learning</w:t>
      </w:r>
      <w:r w:rsidRPr="001F7C4E">
        <w:rPr>
          <w:shd w:val="clear" w:color="auto" w:fill="FFFFFF"/>
          <w:lang w:val="sv-SE"/>
        </w:rPr>
        <w:t>, </w:t>
      </w:r>
      <w:r w:rsidRPr="001F7C4E">
        <w:rPr>
          <w:i/>
          <w:iCs/>
          <w:shd w:val="clear" w:color="auto" w:fill="FFFFFF"/>
          <w:lang w:val="sv-SE"/>
        </w:rPr>
        <w:t>47</w:t>
      </w:r>
      <w:r w:rsidRPr="001F7C4E">
        <w:rPr>
          <w:shd w:val="clear" w:color="auto" w:fill="FFFFFF"/>
          <w:lang w:val="sv-SE"/>
        </w:rPr>
        <w:t>(1), 173</w:t>
      </w:r>
      <w:r w:rsidR="00673775" w:rsidRPr="001F7C4E">
        <w:rPr>
          <w:shd w:val="clear" w:color="auto" w:fill="FFFFFF"/>
          <w:lang w:val="sv-SE"/>
        </w:rPr>
        <w:t>–</w:t>
      </w:r>
      <w:r w:rsidRPr="001F7C4E">
        <w:rPr>
          <w:shd w:val="clear" w:color="auto" w:fill="FFFFFF"/>
          <w:lang w:val="sv-SE"/>
        </w:rPr>
        <w:t>210.</w:t>
      </w:r>
    </w:p>
    <w:p w14:paraId="62A627D9" w14:textId="08709C47" w:rsidR="007E4856" w:rsidRPr="00A72E1C" w:rsidRDefault="007E4856" w:rsidP="007E4856">
      <w:pPr>
        <w:pStyle w:val="References"/>
        <w:rPr>
          <w:shd w:val="clear" w:color="auto" w:fill="FFFFFF"/>
          <w:lang w:val="sv-SE"/>
        </w:rPr>
      </w:pPr>
      <w:r w:rsidRPr="00A72E1C">
        <w:rPr>
          <w:shd w:val="clear" w:color="auto" w:fill="FFFFFF"/>
          <w:lang w:val="sv-SE"/>
        </w:rPr>
        <w:t>Hultdin, U. W. (2013). </w:t>
      </w:r>
      <w:r w:rsidRPr="00A72E1C">
        <w:rPr>
          <w:i/>
          <w:iCs/>
          <w:shd w:val="clear" w:color="auto" w:fill="FFFFFF"/>
          <w:lang w:val="sv-SE"/>
        </w:rPr>
        <w:t>Vad döljer sig bakom orden?: Strategi och variation vid utläsning av matematiska symboluttryck</w:t>
      </w:r>
      <w:r w:rsidRPr="00A72E1C">
        <w:rPr>
          <w:shd w:val="clear" w:color="auto" w:fill="FFFFFF"/>
          <w:lang w:val="sv-SE"/>
        </w:rPr>
        <w:t> (</w:t>
      </w:r>
      <w:r w:rsidR="00FA11CD">
        <w:rPr>
          <w:shd w:val="clear" w:color="auto" w:fill="FFFFFF"/>
          <w:lang w:val="sv-SE"/>
        </w:rPr>
        <w:t>Project t</w:t>
      </w:r>
      <w:r w:rsidRPr="00A72E1C">
        <w:rPr>
          <w:shd w:val="clear" w:color="auto" w:fill="FFFFFF"/>
          <w:lang w:val="sv-SE"/>
        </w:rPr>
        <w:t>hesis, Umeå University).</w:t>
      </w:r>
    </w:p>
    <w:p w14:paraId="1B538A7F" w14:textId="3F7D7EF2" w:rsidR="007E4856" w:rsidRPr="00086163" w:rsidRDefault="007E4856" w:rsidP="007E4856">
      <w:pPr>
        <w:pStyle w:val="References"/>
        <w:rPr>
          <w:shd w:val="clear" w:color="auto" w:fill="FFFFFF"/>
        </w:rPr>
      </w:pPr>
      <w:r w:rsidRPr="00086163">
        <w:rPr>
          <w:shd w:val="clear" w:color="auto" w:fill="FFFFFF"/>
        </w:rPr>
        <w:t xml:space="preserve">Laal, M., &amp; Ghodsi, S. M. (2012). Benefits of collaborative learning. </w:t>
      </w:r>
      <w:r w:rsidRPr="00086163">
        <w:rPr>
          <w:i/>
          <w:iCs/>
          <w:shd w:val="clear" w:color="auto" w:fill="FFFFFF"/>
        </w:rPr>
        <w:t>Procedia-social and behavioral sciences</w:t>
      </w:r>
      <w:r w:rsidRPr="00086163">
        <w:rPr>
          <w:shd w:val="clear" w:color="auto" w:fill="FFFFFF"/>
        </w:rPr>
        <w:t xml:space="preserve">, </w:t>
      </w:r>
      <w:r w:rsidRPr="00086163">
        <w:rPr>
          <w:i/>
          <w:iCs/>
          <w:shd w:val="clear" w:color="auto" w:fill="FFFFFF"/>
        </w:rPr>
        <w:t>31</w:t>
      </w:r>
      <w:r w:rsidRPr="00086163">
        <w:rPr>
          <w:shd w:val="clear" w:color="auto" w:fill="FFFFFF"/>
        </w:rPr>
        <w:t>, 486</w:t>
      </w:r>
      <w:r w:rsidR="00673775">
        <w:rPr>
          <w:shd w:val="clear" w:color="auto" w:fill="FFFFFF"/>
        </w:rPr>
        <w:t>–</w:t>
      </w:r>
      <w:r w:rsidRPr="00086163">
        <w:rPr>
          <w:shd w:val="clear" w:color="auto" w:fill="FFFFFF"/>
        </w:rPr>
        <w:t>490.</w:t>
      </w:r>
    </w:p>
    <w:p w14:paraId="6EF4FBBB" w14:textId="638D8660" w:rsidR="007E4856" w:rsidRPr="00086163" w:rsidRDefault="007E4856" w:rsidP="007E4856">
      <w:pPr>
        <w:pStyle w:val="References"/>
        <w:rPr>
          <w:shd w:val="clear" w:color="auto" w:fill="FFFFFF"/>
        </w:rPr>
      </w:pPr>
      <w:r w:rsidRPr="00A72E1C">
        <w:rPr>
          <w:shd w:val="clear" w:color="auto" w:fill="FFFFFF"/>
          <w:lang w:val="sv-SE"/>
        </w:rPr>
        <w:t xml:space="preserve">Ledibane, M., Kaiser, K., &amp; Van der Walt, M. (2018). </w:t>
      </w:r>
      <w:r w:rsidRPr="00086163">
        <w:rPr>
          <w:shd w:val="clear" w:color="auto" w:fill="FFFFFF"/>
        </w:rPr>
        <w:t>Acquiring mathematics as a second language: A theoretical model to illustrate similarities in the acquisition of English as a second language and mathematics. </w:t>
      </w:r>
      <w:r w:rsidRPr="00086163">
        <w:rPr>
          <w:i/>
          <w:iCs/>
          <w:shd w:val="clear" w:color="auto" w:fill="FFFFFF"/>
        </w:rPr>
        <w:t>Pythagoras</w:t>
      </w:r>
      <w:r w:rsidRPr="00086163">
        <w:rPr>
          <w:shd w:val="clear" w:color="auto" w:fill="FFFFFF"/>
        </w:rPr>
        <w:t>, </w:t>
      </w:r>
      <w:r w:rsidRPr="00086163">
        <w:rPr>
          <w:i/>
          <w:iCs/>
          <w:shd w:val="clear" w:color="auto" w:fill="FFFFFF"/>
        </w:rPr>
        <w:t>39</w:t>
      </w:r>
      <w:r w:rsidRPr="00086163">
        <w:rPr>
          <w:shd w:val="clear" w:color="auto" w:fill="FFFFFF"/>
        </w:rPr>
        <w:t>(1), 1</w:t>
      </w:r>
      <w:r w:rsidR="00673775">
        <w:rPr>
          <w:shd w:val="clear" w:color="auto" w:fill="FFFFFF"/>
        </w:rPr>
        <w:t>–</w:t>
      </w:r>
      <w:r w:rsidRPr="00086163">
        <w:rPr>
          <w:shd w:val="clear" w:color="auto" w:fill="FFFFFF"/>
        </w:rPr>
        <w:t>12.</w:t>
      </w:r>
    </w:p>
    <w:p w14:paraId="476A2DB8" w14:textId="5A913F86" w:rsidR="007E4856" w:rsidRPr="00086163" w:rsidRDefault="007E4856" w:rsidP="007E4856">
      <w:pPr>
        <w:pStyle w:val="References"/>
        <w:rPr>
          <w:shd w:val="clear" w:color="auto" w:fill="FFFFFF"/>
        </w:rPr>
      </w:pPr>
      <w:r w:rsidRPr="00086163">
        <w:rPr>
          <w:shd w:val="clear" w:color="auto" w:fill="FFFFFF"/>
        </w:rPr>
        <w:t>Morgan, C., Craig, T., Schütte, M., &amp; Wagner, D. (2014). Language and communication in mathematics education: An overview of research in the field. </w:t>
      </w:r>
      <w:r w:rsidRPr="00086163">
        <w:rPr>
          <w:i/>
          <w:iCs/>
          <w:shd w:val="clear" w:color="auto" w:fill="FFFFFF"/>
        </w:rPr>
        <w:t>Zdm</w:t>
      </w:r>
      <w:r w:rsidRPr="00086163">
        <w:rPr>
          <w:shd w:val="clear" w:color="auto" w:fill="FFFFFF"/>
        </w:rPr>
        <w:t>, </w:t>
      </w:r>
      <w:r w:rsidRPr="00086163">
        <w:rPr>
          <w:i/>
          <w:iCs/>
          <w:shd w:val="clear" w:color="auto" w:fill="FFFFFF"/>
        </w:rPr>
        <w:t>46</w:t>
      </w:r>
      <w:r w:rsidRPr="00086163">
        <w:rPr>
          <w:shd w:val="clear" w:color="auto" w:fill="FFFFFF"/>
        </w:rPr>
        <w:t>(6), 843</w:t>
      </w:r>
      <w:r w:rsidR="00673775">
        <w:rPr>
          <w:shd w:val="clear" w:color="auto" w:fill="FFFFFF"/>
        </w:rPr>
        <w:t>–</w:t>
      </w:r>
      <w:r w:rsidRPr="00086163">
        <w:rPr>
          <w:shd w:val="clear" w:color="auto" w:fill="FFFFFF"/>
        </w:rPr>
        <w:t>853.</w:t>
      </w:r>
    </w:p>
    <w:p w14:paraId="4F68BE30" w14:textId="77777777" w:rsidR="007E4856" w:rsidRPr="00086163" w:rsidRDefault="007E4856" w:rsidP="007E4856">
      <w:pPr>
        <w:pStyle w:val="References"/>
        <w:rPr>
          <w:shd w:val="clear" w:color="auto" w:fill="FFFFFF"/>
        </w:rPr>
      </w:pPr>
      <w:r w:rsidRPr="00086163">
        <w:t>Pimm, D. (1987). Speaking Mathematically: Communication in Mathematics Classrooms. New York: Routledge &amp; Kegan Paul Ldt.</w:t>
      </w:r>
    </w:p>
    <w:p w14:paraId="0055292F" w14:textId="4ABECF3B" w:rsidR="007E4856" w:rsidRPr="00086163" w:rsidRDefault="007E4856" w:rsidP="007E4856">
      <w:pPr>
        <w:pStyle w:val="References"/>
        <w:rPr>
          <w:shd w:val="clear" w:color="auto" w:fill="FFFFFF"/>
        </w:rPr>
      </w:pPr>
      <w:r w:rsidRPr="00086163">
        <w:rPr>
          <w:shd w:val="clear" w:color="auto" w:fill="FFFFFF"/>
        </w:rPr>
        <w:t>Rabab'ah, G. A. (2008). Communication strategies in translation. </w:t>
      </w:r>
      <w:r w:rsidRPr="00086163">
        <w:rPr>
          <w:i/>
          <w:iCs/>
          <w:shd w:val="clear" w:color="auto" w:fill="FFFFFF"/>
        </w:rPr>
        <w:t>Babel</w:t>
      </w:r>
      <w:r w:rsidRPr="00086163">
        <w:rPr>
          <w:shd w:val="clear" w:color="auto" w:fill="FFFFFF"/>
        </w:rPr>
        <w:t>, </w:t>
      </w:r>
      <w:r w:rsidRPr="00086163">
        <w:rPr>
          <w:i/>
          <w:iCs/>
          <w:shd w:val="clear" w:color="auto" w:fill="FFFFFF"/>
        </w:rPr>
        <w:t>54</w:t>
      </w:r>
      <w:r w:rsidRPr="00086163">
        <w:rPr>
          <w:shd w:val="clear" w:color="auto" w:fill="FFFFFF"/>
        </w:rPr>
        <w:t>(2), 97</w:t>
      </w:r>
      <w:r w:rsidR="00673775">
        <w:rPr>
          <w:shd w:val="clear" w:color="auto" w:fill="FFFFFF"/>
        </w:rPr>
        <w:t>–</w:t>
      </w:r>
      <w:r w:rsidRPr="00086163">
        <w:rPr>
          <w:shd w:val="clear" w:color="auto" w:fill="FFFFFF"/>
        </w:rPr>
        <w:t>109.</w:t>
      </w:r>
    </w:p>
    <w:p w14:paraId="5E199935" w14:textId="6DFDBDE3" w:rsidR="007E4856" w:rsidRPr="00086163" w:rsidRDefault="007E4856" w:rsidP="007E4856">
      <w:pPr>
        <w:pStyle w:val="References"/>
        <w:rPr>
          <w:shd w:val="clear" w:color="auto" w:fill="FFFFFF"/>
        </w:rPr>
      </w:pPr>
      <w:r w:rsidRPr="00086163">
        <w:rPr>
          <w:shd w:val="clear" w:color="auto" w:fill="FFFFFF"/>
        </w:rPr>
        <w:t>Riccomini, P. J., Smith, G. W., Hughes, E. M., &amp; Fries, K. M. (2015). The language of mathematics: The importance of teaching and learning mathematical vocabulary. </w:t>
      </w:r>
      <w:r w:rsidRPr="00086163">
        <w:rPr>
          <w:i/>
          <w:iCs/>
          <w:shd w:val="clear" w:color="auto" w:fill="FFFFFF"/>
        </w:rPr>
        <w:t>Reading &amp; Writing Quarterly</w:t>
      </w:r>
      <w:r w:rsidRPr="00086163">
        <w:rPr>
          <w:shd w:val="clear" w:color="auto" w:fill="FFFFFF"/>
        </w:rPr>
        <w:t>, </w:t>
      </w:r>
      <w:r w:rsidRPr="00086163">
        <w:rPr>
          <w:i/>
          <w:iCs/>
          <w:shd w:val="clear" w:color="auto" w:fill="FFFFFF"/>
        </w:rPr>
        <w:t>31</w:t>
      </w:r>
      <w:r w:rsidRPr="00086163">
        <w:rPr>
          <w:shd w:val="clear" w:color="auto" w:fill="FFFFFF"/>
        </w:rPr>
        <w:t>(3), 235</w:t>
      </w:r>
      <w:r w:rsidR="00673775">
        <w:rPr>
          <w:shd w:val="clear" w:color="auto" w:fill="FFFFFF"/>
        </w:rPr>
        <w:t>–</w:t>
      </w:r>
      <w:r w:rsidRPr="00086163">
        <w:rPr>
          <w:shd w:val="clear" w:color="auto" w:fill="FFFFFF"/>
        </w:rPr>
        <w:t>252.</w:t>
      </w:r>
    </w:p>
    <w:p w14:paraId="20FC090F" w14:textId="0561F4F4" w:rsidR="00230DFF" w:rsidRDefault="007E4856" w:rsidP="0038774F">
      <w:pPr>
        <w:pStyle w:val="References"/>
        <w:rPr>
          <w:shd w:val="clear" w:color="auto" w:fill="FFFFFF"/>
        </w:rPr>
      </w:pPr>
      <w:r w:rsidRPr="00086163">
        <w:rPr>
          <w:shd w:val="clear" w:color="auto" w:fill="FFFFFF"/>
        </w:rPr>
        <w:t>Wakefield, D. V. (2000, September). Math as a second language. In </w:t>
      </w:r>
      <w:r w:rsidRPr="00086163">
        <w:rPr>
          <w:i/>
          <w:iCs/>
          <w:shd w:val="clear" w:color="auto" w:fill="FFFFFF"/>
        </w:rPr>
        <w:t>The Educational Forum</w:t>
      </w:r>
      <w:r w:rsidRPr="00086163">
        <w:rPr>
          <w:shd w:val="clear" w:color="auto" w:fill="FFFFFF"/>
        </w:rPr>
        <w:t> (Vol. 64, No. 3, pp. 272</w:t>
      </w:r>
      <w:r w:rsidR="00673775">
        <w:rPr>
          <w:shd w:val="clear" w:color="auto" w:fill="FFFFFF"/>
        </w:rPr>
        <w:t>–</w:t>
      </w:r>
      <w:r w:rsidRPr="00086163">
        <w:rPr>
          <w:shd w:val="clear" w:color="auto" w:fill="FFFFFF"/>
        </w:rPr>
        <w:t>279). Taylor &amp; Francis Group.</w:t>
      </w:r>
    </w:p>
    <w:p w14:paraId="13108926" w14:textId="1F8BF097" w:rsidR="00DD49F4" w:rsidRPr="00DD49F4" w:rsidRDefault="00DD49F4" w:rsidP="00DD49F4">
      <w:pPr>
        <w:pStyle w:val="References"/>
      </w:pPr>
      <w:r w:rsidRPr="00DD49F4">
        <w:t>Österholm, M. (2006). Characterizing reading comprehension of mathematical texts. Educational studies in mathematics, 63, 325</w:t>
      </w:r>
      <w:r>
        <w:rPr>
          <w:shd w:val="clear" w:color="auto" w:fill="FFFFFF"/>
        </w:rPr>
        <w:t>–</w:t>
      </w:r>
      <w:r w:rsidRPr="00DD49F4">
        <w:t>346.</w:t>
      </w:r>
    </w:p>
    <w:sectPr w:rsidR="00DD49F4" w:rsidRPr="00DD49F4" w:rsidSect="006B0607">
      <w:headerReference w:type="default" r:id="rId11"/>
      <w:footerReference w:type="even" r:id="rId12"/>
      <w:footerReference w:type="default" r:id="rId13"/>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9F71" w14:textId="77777777" w:rsidR="006B0607" w:rsidRDefault="006B0607">
      <w:pPr>
        <w:spacing w:line="240" w:lineRule="auto"/>
      </w:pPr>
      <w:r>
        <w:separator/>
      </w:r>
    </w:p>
  </w:endnote>
  <w:endnote w:type="continuationSeparator" w:id="0">
    <w:p w14:paraId="756BCE44" w14:textId="77777777" w:rsidR="006B0607" w:rsidRDefault="006B0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51D"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D2199">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9240" w14:textId="77777777" w:rsidR="006B0607" w:rsidRDefault="006B0607">
      <w:pPr>
        <w:spacing w:line="240" w:lineRule="auto"/>
      </w:pPr>
      <w:r>
        <w:separator/>
      </w:r>
    </w:p>
  </w:footnote>
  <w:footnote w:type="continuationSeparator" w:id="0">
    <w:p w14:paraId="672C7188" w14:textId="77777777" w:rsidR="006B0607" w:rsidRDefault="006B06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31459D"/>
    <w:multiLevelType w:val="multilevel"/>
    <w:tmpl w:val="90C09D8C"/>
    <w:lvl w:ilvl="0">
      <w:start w:val="1"/>
      <w:numFmt w:val="bullet"/>
      <w:pStyle w:val="PMEBullet"/>
      <w:lvlText w:val=""/>
      <w:lvlJc w:val="left"/>
      <w:pPr>
        <w:tabs>
          <w:tab w:val="num" w:pos="1145"/>
        </w:tabs>
        <w:ind w:left="1145" w:hanging="360"/>
      </w:pPr>
      <w:rPr>
        <w:rFonts w:ascii="Symbol" w:eastAsia="Times New Roman"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eastAsia="Times New Roman"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eastAsia="Times New Roman"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2" w15:restartNumberingAfterBreak="0">
    <w:nsid w:val="7B3451DC"/>
    <w:multiLevelType w:val="hybridMultilevel"/>
    <w:tmpl w:val="98462E22"/>
    <w:lvl w:ilvl="0" w:tplc="E0D8469E">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1148329628">
    <w:abstractNumId w:val="0"/>
  </w:num>
  <w:num w:numId="2" w16cid:durableId="785387901">
    <w:abstractNumId w:val="1"/>
  </w:num>
  <w:num w:numId="3" w16cid:durableId="622545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57"/>
    <w:rsid w:val="00001CC6"/>
    <w:rsid w:val="000053BF"/>
    <w:rsid w:val="00011292"/>
    <w:rsid w:val="00011F76"/>
    <w:rsid w:val="00014A62"/>
    <w:rsid w:val="00014B39"/>
    <w:rsid w:val="00017382"/>
    <w:rsid w:val="00017809"/>
    <w:rsid w:val="000231D5"/>
    <w:rsid w:val="00026433"/>
    <w:rsid w:val="00037496"/>
    <w:rsid w:val="000405D5"/>
    <w:rsid w:val="0004454D"/>
    <w:rsid w:val="000453A2"/>
    <w:rsid w:val="0005149E"/>
    <w:rsid w:val="000527A4"/>
    <w:rsid w:val="00053461"/>
    <w:rsid w:val="000601BE"/>
    <w:rsid w:val="00064A57"/>
    <w:rsid w:val="00065353"/>
    <w:rsid w:val="00065611"/>
    <w:rsid w:val="00072E18"/>
    <w:rsid w:val="000761F4"/>
    <w:rsid w:val="00084739"/>
    <w:rsid w:val="00085AF8"/>
    <w:rsid w:val="00085B87"/>
    <w:rsid w:val="000919EA"/>
    <w:rsid w:val="00091E60"/>
    <w:rsid w:val="0009228A"/>
    <w:rsid w:val="000A0F8C"/>
    <w:rsid w:val="000B024C"/>
    <w:rsid w:val="000B2377"/>
    <w:rsid w:val="000B2672"/>
    <w:rsid w:val="000B61D1"/>
    <w:rsid w:val="000B6A1A"/>
    <w:rsid w:val="000C14C1"/>
    <w:rsid w:val="000D162B"/>
    <w:rsid w:val="000D2258"/>
    <w:rsid w:val="000D2721"/>
    <w:rsid w:val="000D3CA5"/>
    <w:rsid w:val="000D66F5"/>
    <w:rsid w:val="000D67CA"/>
    <w:rsid w:val="000E3682"/>
    <w:rsid w:val="000F31F1"/>
    <w:rsid w:val="000F7629"/>
    <w:rsid w:val="000F7BC9"/>
    <w:rsid w:val="001045CB"/>
    <w:rsid w:val="00106A46"/>
    <w:rsid w:val="00115596"/>
    <w:rsid w:val="00117643"/>
    <w:rsid w:val="00127798"/>
    <w:rsid w:val="00133F5F"/>
    <w:rsid w:val="00134B37"/>
    <w:rsid w:val="001350A1"/>
    <w:rsid w:val="00135A0F"/>
    <w:rsid w:val="00136E02"/>
    <w:rsid w:val="0014139C"/>
    <w:rsid w:val="00141E04"/>
    <w:rsid w:val="00144463"/>
    <w:rsid w:val="0016099B"/>
    <w:rsid w:val="0016448D"/>
    <w:rsid w:val="00191B9C"/>
    <w:rsid w:val="001A0486"/>
    <w:rsid w:val="001A41F8"/>
    <w:rsid w:val="001A7ECC"/>
    <w:rsid w:val="001B0910"/>
    <w:rsid w:val="001B0B92"/>
    <w:rsid w:val="001C044B"/>
    <w:rsid w:val="001D3BFC"/>
    <w:rsid w:val="001D4032"/>
    <w:rsid w:val="001D4EC6"/>
    <w:rsid w:val="001D6120"/>
    <w:rsid w:val="001E12AB"/>
    <w:rsid w:val="001F343A"/>
    <w:rsid w:val="001F63FA"/>
    <w:rsid w:val="001F7C4E"/>
    <w:rsid w:val="00205140"/>
    <w:rsid w:val="00217A71"/>
    <w:rsid w:val="00223BAB"/>
    <w:rsid w:val="00225AE6"/>
    <w:rsid w:val="00226507"/>
    <w:rsid w:val="00230DFF"/>
    <w:rsid w:val="002356B8"/>
    <w:rsid w:val="00240F52"/>
    <w:rsid w:val="00241257"/>
    <w:rsid w:val="00244EA7"/>
    <w:rsid w:val="00252AD7"/>
    <w:rsid w:val="00256159"/>
    <w:rsid w:val="0026023B"/>
    <w:rsid w:val="002655D0"/>
    <w:rsid w:val="00272424"/>
    <w:rsid w:val="00274A5E"/>
    <w:rsid w:val="002778E6"/>
    <w:rsid w:val="002824CB"/>
    <w:rsid w:val="0028530A"/>
    <w:rsid w:val="002861A8"/>
    <w:rsid w:val="00290837"/>
    <w:rsid w:val="00293854"/>
    <w:rsid w:val="002955D0"/>
    <w:rsid w:val="00296B2C"/>
    <w:rsid w:val="002A38E1"/>
    <w:rsid w:val="002B6B65"/>
    <w:rsid w:val="002C29B4"/>
    <w:rsid w:val="002C65E6"/>
    <w:rsid w:val="002E3BEC"/>
    <w:rsid w:val="002E424A"/>
    <w:rsid w:val="002E635A"/>
    <w:rsid w:val="002F2006"/>
    <w:rsid w:val="002F3495"/>
    <w:rsid w:val="002F35A4"/>
    <w:rsid w:val="002F3AD6"/>
    <w:rsid w:val="00301AD0"/>
    <w:rsid w:val="0031139C"/>
    <w:rsid w:val="003115E1"/>
    <w:rsid w:val="0031289C"/>
    <w:rsid w:val="00316A4D"/>
    <w:rsid w:val="003207E0"/>
    <w:rsid w:val="0032570D"/>
    <w:rsid w:val="00334FDE"/>
    <w:rsid w:val="0033549B"/>
    <w:rsid w:val="00337EA6"/>
    <w:rsid w:val="0034188D"/>
    <w:rsid w:val="00345E43"/>
    <w:rsid w:val="00345FE4"/>
    <w:rsid w:val="0034755C"/>
    <w:rsid w:val="0035017F"/>
    <w:rsid w:val="00353E5F"/>
    <w:rsid w:val="003620FC"/>
    <w:rsid w:val="00385F6F"/>
    <w:rsid w:val="0038774F"/>
    <w:rsid w:val="003877E0"/>
    <w:rsid w:val="00390681"/>
    <w:rsid w:val="00395700"/>
    <w:rsid w:val="00396BAB"/>
    <w:rsid w:val="003A5A95"/>
    <w:rsid w:val="003A6033"/>
    <w:rsid w:val="003B0EC4"/>
    <w:rsid w:val="003B2647"/>
    <w:rsid w:val="003B621C"/>
    <w:rsid w:val="003B754E"/>
    <w:rsid w:val="003C26D2"/>
    <w:rsid w:val="003D050F"/>
    <w:rsid w:val="003D0F4A"/>
    <w:rsid w:val="003E10B2"/>
    <w:rsid w:val="003F023D"/>
    <w:rsid w:val="003F4D91"/>
    <w:rsid w:val="004013E2"/>
    <w:rsid w:val="00402786"/>
    <w:rsid w:val="00407835"/>
    <w:rsid w:val="00415E0E"/>
    <w:rsid w:val="00423990"/>
    <w:rsid w:val="004319EB"/>
    <w:rsid w:val="004324CD"/>
    <w:rsid w:val="00433143"/>
    <w:rsid w:val="0044077B"/>
    <w:rsid w:val="00444337"/>
    <w:rsid w:val="00451A35"/>
    <w:rsid w:val="00460A29"/>
    <w:rsid w:val="00461D61"/>
    <w:rsid w:val="0046525D"/>
    <w:rsid w:val="004703E1"/>
    <w:rsid w:val="0047656E"/>
    <w:rsid w:val="00477E78"/>
    <w:rsid w:val="00483682"/>
    <w:rsid w:val="00485A85"/>
    <w:rsid w:val="004A189F"/>
    <w:rsid w:val="004A5AE6"/>
    <w:rsid w:val="004B5962"/>
    <w:rsid w:val="004C3AA8"/>
    <w:rsid w:val="004C6A19"/>
    <w:rsid w:val="004D3065"/>
    <w:rsid w:val="004D53DA"/>
    <w:rsid w:val="004D6E7F"/>
    <w:rsid w:val="004D7635"/>
    <w:rsid w:val="004E0280"/>
    <w:rsid w:val="004E6BFD"/>
    <w:rsid w:val="004F50AB"/>
    <w:rsid w:val="00500D55"/>
    <w:rsid w:val="0050580D"/>
    <w:rsid w:val="00506C0E"/>
    <w:rsid w:val="005124CF"/>
    <w:rsid w:val="005152D0"/>
    <w:rsid w:val="00515C52"/>
    <w:rsid w:val="0052059D"/>
    <w:rsid w:val="00520CD7"/>
    <w:rsid w:val="005221A3"/>
    <w:rsid w:val="00525065"/>
    <w:rsid w:val="00527E22"/>
    <w:rsid w:val="00533FC5"/>
    <w:rsid w:val="00537032"/>
    <w:rsid w:val="0054545A"/>
    <w:rsid w:val="005456A5"/>
    <w:rsid w:val="00550123"/>
    <w:rsid w:val="005515BA"/>
    <w:rsid w:val="00556B44"/>
    <w:rsid w:val="00560F24"/>
    <w:rsid w:val="0056625F"/>
    <w:rsid w:val="005710F8"/>
    <w:rsid w:val="0057291F"/>
    <w:rsid w:val="005756C0"/>
    <w:rsid w:val="005767A0"/>
    <w:rsid w:val="00580C97"/>
    <w:rsid w:val="00582C55"/>
    <w:rsid w:val="00590CFA"/>
    <w:rsid w:val="005910C8"/>
    <w:rsid w:val="005911CE"/>
    <w:rsid w:val="00593AA4"/>
    <w:rsid w:val="00594196"/>
    <w:rsid w:val="005A034E"/>
    <w:rsid w:val="005A2701"/>
    <w:rsid w:val="005A2785"/>
    <w:rsid w:val="005A363B"/>
    <w:rsid w:val="005A785B"/>
    <w:rsid w:val="005B0A64"/>
    <w:rsid w:val="005B7479"/>
    <w:rsid w:val="005C238B"/>
    <w:rsid w:val="005C23A6"/>
    <w:rsid w:val="005D0DEE"/>
    <w:rsid w:val="005D4522"/>
    <w:rsid w:val="005E2817"/>
    <w:rsid w:val="005E3911"/>
    <w:rsid w:val="005E3983"/>
    <w:rsid w:val="005F0169"/>
    <w:rsid w:val="005F0DCF"/>
    <w:rsid w:val="005F7C7E"/>
    <w:rsid w:val="006023FF"/>
    <w:rsid w:val="00606093"/>
    <w:rsid w:val="00614CFC"/>
    <w:rsid w:val="0062159B"/>
    <w:rsid w:val="006343FC"/>
    <w:rsid w:val="00641CE9"/>
    <w:rsid w:val="006420C8"/>
    <w:rsid w:val="00644016"/>
    <w:rsid w:val="00646EF1"/>
    <w:rsid w:val="006549B1"/>
    <w:rsid w:val="00654E92"/>
    <w:rsid w:val="00655774"/>
    <w:rsid w:val="00656BEC"/>
    <w:rsid w:val="00667CBA"/>
    <w:rsid w:val="00672077"/>
    <w:rsid w:val="00673775"/>
    <w:rsid w:val="00673EF2"/>
    <w:rsid w:val="00680C9F"/>
    <w:rsid w:val="0068403E"/>
    <w:rsid w:val="00684C7B"/>
    <w:rsid w:val="006867EA"/>
    <w:rsid w:val="00687FC9"/>
    <w:rsid w:val="0069109D"/>
    <w:rsid w:val="00692AB6"/>
    <w:rsid w:val="00693DB4"/>
    <w:rsid w:val="006A55E4"/>
    <w:rsid w:val="006B0607"/>
    <w:rsid w:val="006C2818"/>
    <w:rsid w:val="006C370C"/>
    <w:rsid w:val="006C374B"/>
    <w:rsid w:val="006C793A"/>
    <w:rsid w:val="006D1E25"/>
    <w:rsid w:val="006D4062"/>
    <w:rsid w:val="006D6181"/>
    <w:rsid w:val="006E027D"/>
    <w:rsid w:val="006E1EB9"/>
    <w:rsid w:val="006E4C6C"/>
    <w:rsid w:val="006F7044"/>
    <w:rsid w:val="00700A57"/>
    <w:rsid w:val="00701B5E"/>
    <w:rsid w:val="0070418C"/>
    <w:rsid w:val="007101F6"/>
    <w:rsid w:val="00713546"/>
    <w:rsid w:val="00724E67"/>
    <w:rsid w:val="00731760"/>
    <w:rsid w:val="00736975"/>
    <w:rsid w:val="00737C28"/>
    <w:rsid w:val="00744066"/>
    <w:rsid w:val="00746F4E"/>
    <w:rsid w:val="00747E31"/>
    <w:rsid w:val="0075497C"/>
    <w:rsid w:val="00766F48"/>
    <w:rsid w:val="007712C7"/>
    <w:rsid w:val="00780142"/>
    <w:rsid w:val="007806EE"/>
    <w:rsid w:val="00781BCB"/>
    <w:rsid w:val="00782A1F"/>
    <w:rsid w:val="00796E9C"/>
    <w:rsid w:val="00796FD3"/>
    <w:rsid w:val="007A242B"/>
    <w:rsid w:val="007A7F7A"/>
    <w:rsid w:val="007D4A03"/>
    <w:rsid w:val="007E4200"/>
    <w:rsid w:val="007E4856"/>
    <w:rsid w:val="007E51EB"/>
    <w:rsid w:val="007F4F51"/>
    <w:rsid w:val="007F64EE"/>
    <w:rsid w:val="0080341C"/>
    <w:rsid w:val="00807C68"/>
    <w:rsid w:val="008112C0"/>
    <w:rsid w:val="008210E6"/>
    <w:rsid w:val="008221FD"/>
    <w:rsid w:val="00824C44"/>
    <w:rsid w:val="008304F7"/>
    <w:rsid w:val="00834F25"/>
    <w:rsid w:val="00835670"/>
    <w:rsid w:val="00842F58"/>
    <w:rsid w:val="00843428"/>
    <w:rsid w:val="00843587"/>
    <w:rsid w:val="0085043D"/>
    <w:rsid w:val="00856CA5"/>
    <w:rsid w:val="00863217"/>
    <w:rsid w:val="00875D9F"/>
    <w:rsid w:val="008820DC"/>
    <w:rsid w:val="00882708"/>
    <w:rsid w:val="00890E39"/>
    <w:rsid w:val="008917FB"/>
    <w:rsid w:val="00891EA5"/>
    <w:rsid w:val="008A425E"/>
    <w:rsid w:val="008B1ACD"/>
    <w:rsid w:val="008B7119"/>
    <w:rsid w:val="008C4C60"/>
    <w:rsid w:val="008C4DEB"/>
    <w:rsid w:val="008D1EE7"/>
    <w:rsid w:val="008D2EA4"/>
    <w:rsid w:val="008D54C0"/>
    <w:rsid w:val="008E619F"/>
    <w:rsid w:val="008F60A0"/>
    <w:rsid w:val="00911D78"/>
    <w:rsid w:val="0091579A"/>
    <w:rsid w:val="00917B3F"/>
    <w:rsid w:val="009210D3"/>
    <w:rsid w:val="00922AF5"/>
    <w:rsid w:val="009301E4"/>
    <w:rsid w:val="0093264E"/>
    <w:rsid w:val="00933A03"/>
    <w:rsid w:val="0093558B"/>
    <w:rsid w:val="00940432"/>
    <w:rsid w:val="00945451"/>
    <w:rsid w:val="0096097E"/>
    <w:rsid w:val="00961DC2"/>
    <w:rsid w:val="00967B68"/>
    <w:rsid w:val="00970B16"/>
    <w:rsid w:val="00973582"/>
    <w:rsid w:val="009802E5"/>
    <w:rsid w:val="00991A21"/>
    <w:rsid w:val="0099534A"/>
    <w:rsid w:val="009A5045"/>
    <w:rsid w:val="009A5E3D"/>
    <w:rsid w:val="009B10D5"/>
    <w:rsid w:val="009B4791"/>
    <w:rsid w:val="009B4871"/>
    <w:rsid w:val="009C0970"/>
    <w:rsid w:val="009C103B"/>
    <w:rsid w:val="009C5224"/>
    <w:rsid w:val="009C6AB0"/>
    <w:rsid w:val="009D17F9"/>
    <w:rsid w:val="009D35D0"/>
    <w:rsid w:val="009E2DC7"/>
    <w:rsid w:val="009E4D9B"/>
    <w:rsid w:val="009E5E5A"/>
    <w:rsid w:val="009E6A7F"/>
    <w:rsid w:val="009E7D06"/>
    <w:rsid w:val="00A012A5"/>
    <w:rsid w:val="00A03B1C"/>
    <w:rsid w:val="00A053A9"/>
    <w:rsid w:val="00A06DB4"/>
    <w:rsid w:val="00A10DBD"/>
    <w:rsid w:val="00A17861"/>
    <w:rsid w:val="00A207E7"/>
    <w:rsid w:val="00A24412"/>
    <w:rsid w:val="00A2643F"/>
    <w:rsid w:val="00A2654B"/>
    <w:rsid w:val="00A47C33"/>
    <w:rsid w:val="00A52EF4"/>
    <w:rsid w:val="00A55A35"/>
    <w:rsid w:val="00A56F1E"/>
    <w:rsid w:val="00A578C1"/>
    <w:rsid w:val="00A606B5"/>
    <w:rsid w:val="00A62EF0"/>
    <w:rsid w:val="00A72E1C"/>
    <w:rsid w:val="00A75C0F"/>
    <w:rsid w:val="00A76ED1"/>
    <w:rsid w:val="00A801BB"/>
    <w:rsid w:val="00A8173D"/>
    <w:rsid w:val="00A86A1C"/>
    <w:rsid w:val="00A8762A"/>
    <w:rsid w:val="00A92658"/>
    <w:rsid w:val="00AA4D95"/>
    <w:rsid w:val="00AA58C5"/>
    <w:rsid w:val="00AB2331"/>
    <w:rsid w:val="00AC2672"/>
    <w:rsid w:val="00AC5755"/>
    <w:rsid w:val="00AD004F"/>
    <w:rsid w:val="00AD211B"/>
    <w:rsid w:val="00AE2062"/>
    <w:rsid w:val="00AE2512"/>
    <w:rsid w:val="00AE2822"/>
    <w:rsid w:val="00AF66BA"/>
    <w:rsid w:val="00B00D52"/>
    <w:rsid w:val="00B014C8"/>
    <w:rsid w:val="00B0466B"/>
    <w:rsid w:val="00B05423"/>
    <w:rsid w:val="00B12721"/>
    <w:rsid w:val="00B13C57"/>
    <w:rsid w:val="00B1619A"/>
    <w:rsid w:val="00B17375"/>
    <w:rsid w:val="00B26FC6"/>
    <w:rsid w:val="00B31165"/>
    <w:rsid w:val="00B35FF3"/>
    <w:rsid w:val="00B375CF"/>
    <w:rsid w:val="00B4277B"/>
    <w:rsid w:val="00B44B52"/>
    <w:rsid w:val="00B4515E"/>
    <w:rsid w:val="00B46A22"/>
    <w:rsid w:val="00B537FC"/>
    <w:rsid w:val="00B54CDF"/>
    <w:rsid w:val="00B60516"/>
    <w:rsid w:val="00B60BBC"/>
    <w:rsid w:val="00B6598A"/>
    <w:rsid w:val="00B73F37"/>
    <w:rsid w:val="00B80AEE"/>
    <w:rsid w:val="00B846A4"/>
    <w:rsid w:val="00B84C00"/>
    <w:rsid w:val="00B93C1B"/>
    <w:rsid w:val="00B94D29"/>
    <w:rsid w:val="00BA0007"/>
    <w:rsid w:val="00BA16A3"/>
    <w:rsid w:val="00BA793C"/>
    <w:rsid w:val="00BC1806"/>
    <w:rsid w:val="00BC3A13"/>
    <w:rsid w:val="00BC78A1"/>
    <w:rsid w:val="00BD036F"/>
    <w:rsid w:val="00BD2147"/>
    <w:rsid w:val="00BD501E"/>
    <w:rsid w:val="00BD7166"/>
    <w:rsid w:val="00BD77BA"/>
    <w:rsid w:val="00BE3144"/>
    <w:rsid w:val="00BF0B04"/>
    <w:rsid w:val="00BF21BF"/>
    <w:rsid w:val="00BF59D7"/>
    <w:rsid w:val="00C03292"/>
    <w:rsid w:val="00C04B24"/>
    <w:rsid w:val="00C10D9F"/>
    <w:rsid w:val="00C120C5"/>
    <w:rsid w:val="00C12979"/>
    <w:rsid w:val="00C31A86"/>
    <w:rsid w:val="00C32D6E"/>
    <w:rsid w:val="00C3501C"/>
    <w:rsid w:val="00C41901"/>
    <w:rsid w:val="00C421AF"/>
    <w:rsid w:val="00C42AF2"/>
    <w:rsid w:val="00C43612"/>
    <w:rsid w:val="00C45690"/>
    <w:rsid w:val="00C467BB"/>
    <w:rsid w:val="00C5197B"/>
    <w:rsid w:val="00C54A08"/>
    <w:rsid w:val="00C54F3F"/>
    <w:rsid w:val="00C57F48"/>
    <w:rsid w:val="00C61DE0"/>
    <w:rsid w:val="00C64D7F"/>
    <w:rsid w:val="00C6547C"/>
    <w:rsid w:val="00C710A5"/>
    <w:rsid w:val="00C80F5C"/>
    <w:rsid w:val="00C84D38"/>
    <w:rsid w:val="00C86893"/>
    <w:rsid w:val="00C90A9E"/>
    <w:rsid w:val="00C92C7F"/>
    <w:rsid w:val="00C92F69"/>
    <w:rsid w:val="00C97E88"/>
    <w:rsid w:val="00CA3AC1"/>
    <w:rsid w:val="00CC45E8"/>
    <w:rsid w:val="00CC7BF4"/>
    <w:rsid w:val="00CD173D"/>
    <w:rsid w:val="00CD25C5"/>
    <w:rsid w:val="00CD48A2"/>
    <w:rsid w:val="00CD5D4B"/>
    <w:rsid w:val="00CE075E"/>
    <w:rsid w:val="00CE59C7"/>
    <w:rsid w:val="00CE5F13"/>
    <w:rsid w:val="00CE6A6A"/>
    <w:rsid w:val="00CF27C3"/>
    <w:rsid w:val="00CF3EC0"/>
    <w:rsid w:val="00CF701F"/>
    <w:rsid w:val="00D16391"/>
    <w:rsid w:val="00D16470"/>
    <w:rsid w:val="00D31721"/>
    <w:rsid w:val="00D33DDC"/>
    <w:rsid w:val="00D349EE"/>
    <w:rsid w:val="00D421E0"/>
    <w:rsid w:val="00D468CC"/>
    <w:rsid w:val="00D476DA"/>
    <w:rsid w:val="00D53269"/>
    <w:rsid w:val="00D53D9E"/>
    <w:rsid w:val="00D5790F"/>
    <w:rsid w:val="00D60EF2"/>
    <w:rsid w:val="00D61E9A"/>
    <w:rsid w:val="00D634F2"/>
    <w:rsid w:val="00D64D70"/>
    <w:rsid w:val="00D65627"/>
    <w:rsid w:val="00D66F10"/>
    <w:rsid w:val="00D74A86"/>
    <w:rsid w:val="00D77107"/>
    <w:rsid w:val="00D81C5E"/>
    <w:rsid w:val="00D823BD"/>
    <w:rsid w:val="00D827A1"/>
    <w:rsid w:val="00D84230"/>
    <w:rsid w:val="00DA4325"/>
    <w:rsid w:val="00DB03BC"/>
    <w:rsid w:val="00DB18AB"/>
    <w:rsid w:val="00DB2243"/>
    <w:rsid w:val="00DB7AEC"/>
    <w:rsid w:val="00DB7EB1"/>
    <w:rsid w:val="00DC2394"/>
    <w:rsid w:val="00DC2970"/>
    <w:rsid w:val="00DC2F4F"/>
    <w:rsid w:val="00DC562F"/>
    <w:rsid w:val="00DD49F4"/>
    <w:rsid w:val="00DD57F0"/>
    <w:rsid w:val="00DD6EA6"/>
    <w:rsid w:val="00DE25B9"/>
    <w:rsid w:val="00DE5DE9"/>
    <w:rsid w:val="00DF1379"/>
    <w:rsid w:val="00DF20C4"/>
    <w:rsid w:val="00DF58CE"/>
    <w:rsid w:val="00E03ACF"/>
    <w:rsid w:val="00E0709E"/>
    <w:rsid w:val="00E147B7"/>
    <w:rsid w:val="00E16460"/>
    <w:rsid w:val="00E166F0"/>
    <w:rsid w:val="00E208C3"/>
    <w:rsid w:val="00E23A3F"/>
    <w:rsid w:val="00E255D4"/>
    <w:rsid w:val="00E26145"/>
    <w:rsid w:val="00E3054F"/>
    <w:rsid w:val="00E3162A"/>
    <w:rsid w:val="00E35341"/>
    <w:rsid w:val="00E47FE3"/>
    <w:rsid w:val="00E53FB2"/>
    <w:rsid w:val="00E555B4"/>
    <w:rsid w:val="00E72163"/>
    <w:rsid w:val="00E7584F"/>
    <w:rsid w:val="00E805D1"/>
    <w:rsid w:val="00E814FD"/>
    <w:rsid w:val="00E81AA8"/>
    <w:rsid w:val="00E8622E"/>
    <w:rsid w:val="00E87458"/>
    <w:rsid w:val="00E9082C"/>
    <w:rsid w:val="00E90B43"/>
    <w:rsid w:val="00E9266A"/>
    <w:rsid w:val="00E9348E"/>
    <w:rsid w:val="00E95242"/>
    <w:rsid w:val="00EA0056"/>
    <w:rsid w:val="00EA7BA0"/>
    <w:rsid w:val="00EB3669"/>
    <w:rsid w:val="00EB3B9F"/>
    <w:rsid w:val="00EB4002"/>
    <w:rsid w:val="00EC1B5A"/>
    <w:rsid w:val="00EC2875"/>
    <w:rsid w:val="00EC4BE3"/>
    <w:rsid w:val="00EC4DFD"/>
    <w:rsid w:val="00EC4E70"/>
    <w:rsid w:val="00EC5BD3"/>
    <w:rsid w:val="00EC6E45"/>
    <w:rsid w:val="00ED2199"/>
    <w:rsid w:val="00ED49A2"/>
    <w:rsid w:val="00ED5D62"/>
    <w:rsid w:val="00EE3CE5"/>
    <w:rsid w:val="00EF2569"/>
    <w:rsid w:val="00EF4115"/>
    <w:rsid w:val="00EF5207"/>
    <w:rsid w:val="00F023F8"/>
    <w:rsid w:val="00F04CD9"/>
    <w:rsid w:val="00F1253D"/>
    <w:rsid w:val="00F1544B"/>
    <w:rsid w:val="00F30DF9"/>
    <w:rsid w:val="00F33840"/>
    <w:rsid w:val="00F35482"/>
    <w:rsid w:val="00F40F2B"/>
    <w:rsid w:val="00F42DFA"/>
    <w:rsid w:val="00F44505"/>
    <w:rsid w:val="00F45A26"/>
    <w:rsid w:val="00F507B9"/>
    <w:rsid w:val="00F52022"/>
    <w:rsid w:val="00F53C85"/>
    <w:rsid w:val="00F5400D"/>
    <w:rsid w:val="00F61190"/>
    <w:rsid w:val="00F614E8"/>
    <w:rsid w:val="00F6297C"/>
    <w:rsid w:val="00F71FBD"/>
    <w:rsid w:val="00F77B08"/>
    <w:rsid w:val="00F83848"/>
    <w:rsid w:val="00FA11CD"/>
    <w:rsid w:val="00FA306B"/>
    <w:rsid w:val="00FB30E8"/>
    <w:rsid w:val="00FB7527"/>
    <w:rsid w:val="00FB7A7E"/>
    <w:rsid w:val="00FC1734"/>
    <w:rsid w:val="00FC2C6B"/>
    <w:rsid w:val="00FC66AB"/>
    <w:rsid w:val="00FD179C"/>
    <w:rsid w:val="00FD2CF2"/>
    <w:rsid w:val="00FD3367"/>
    <w:rsid w:val="00FE1EB9"/>
    <w:rsid w:val="00FE1FE1"/>
    <w:rsid w:val="00FE7D6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00"/>
  <w15:docId w15:val="{E17CFE2B-7719-411D-A7F5-14F0CC05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character" w:customStyle="1" w:styleId="spellingerror">
    <w:name w:val="spellingerror"/>
    <w:basedOn w:val="Standardstycketeckensnitt"/>
    <w:rsid w:val="007E4856"/>
  </w:style>
  <w:style w:type="character" w:customStyle="1" w:styleId="normaltextrun">
    <w:name w:val="normaltextrun"/>
    <w:basedOn w:val="Standardstycketeckensnitt"/>
    <w:rsid w:val="007E4856"/>
  </w:style>
  <w:style w:type="paragraph" w:customStyle="1" w:styleId="PMENormal">
    <w:name w:val="PME Normal"/>
    <w:uiPriority w:val="99"/>
    <w:rsid w:val="007E4856"/>
    <w:pPr>
      <w:autoSpaceDE w:val="0"/>
      <w:autoSpaceDN w:val="0"/>
      <w:spacing w:after="120" w:line="320" w:lineRule="atLeast"/>
      <w:jc w:val="both"/>
    </w:pPr>
    <w:rPr>
      <w:rFonts w:eastAsia="PMingLiU"/>
      <w:sz w:val="28"/>
      <w:szCs w:val="28"/>
      <w:lang w:val="en-AU" w:eastAsia="es-ES"/>
    </w:rPr>
  </w:style>
  <w:style w:type="paragraph" w:customStyle="1" w:styleId="PMEHeading3">
    <w:name w:val="PME Heading 3"/>
    <w:basedOn w:val="PMENormal"/>
    <w:next w:val="PMENormal"/>
    <w:uiPriority w:val="99"/>
    <w:rsid w:val="007E4856"/>
    <w:pPr>
      <w:keepNext/>
      <w:jc w:val="left"/>
      <w:outlineLvl w:val="2"/>
    </w:pPr>
    <w:rPr>
      <w:b/>
      <w:bCs/>
    </w:rPr>
  </w:style>
  <w:style w:type="paragraph" w:customStyle="1" w:styleId="PMEBullet">
    <w:name w:val="PME Bullet"/>
    <w:basedOn w:val="PMENormal"/>
    <w:uiPriority w:val="99"/>
    <w:rsid w:val="007E4856"/>
    <w:pPr>
      <w:numPr>
        <w:numId w:val="2"/>
      </w:numPr>
      <w:tabs>
        <w:tab w:val="num" w:pos="993"/>
      </w:tabs>
      <w:spacing w:after="0"/>
      <w:ind w:left="993" w:hanging="567"/>
    </w:pPr>
  </w:style>
  <w:style w:type="paragraph" w:styleId="Liststycke">
    <w:name w:val="List Paragraph"/>
    <w:basedOn w:val="Normal"/>
    <w:rsid w:val="007E4856"/>
    <w:pPr>
      <w:ind w:left="720"/>
      <w:contextualSpacing/>
    </w:pPr>
  </w:style>
  <w:style w:type="paragraph" w:styleId="Normalwebb">
    <w:name w:val="Normal (Web)"/>
    <w:basedOn w:val="Normal"/>
    <w:uiPriority w:val="99"/>
    <w:semiHidden/>
    <w:unhideWhenUsed/>
    <w:rsid w:val="007E4856"/>
    <w:pPr>
      <w:autoSpaceDE/>
      <w:autoSpaceDN/>
      <w:spacing w:before="100" w:beforeAutospacing="1" w:after="100" w:afterAutospacing="1" w:line="240" w:lineRule="auto"/>
      <w:ind w:firstLine="0"/>
      <w:jc w:val="left"/>
    </w:pPr>
    <w:rPr>
      <w:sz w:val="24"/>
      <w:szCs w:val="24"/>
      <w:lang w:eastAsia="en-GB"/>
    </w:rPr>
  </w:style>
  <w:style w:type="paragraph" w:customStyle="1" w:styleId="PMEReferences">
    <w:name w:val="PME References"/>
    <w:basedOn w:val="PMENormal"/>
    <w:uiPriority w:val="99"/>
    <w:rsid w:val="007E4856"/>
    <w:pPr>
      <w:spacing w:line="260" w:lineRule="atLeast"/>
      <w:ind w:left="289" w:hanging="289"/>
    </w:pPr>
    <w:rPr>
      <w:sz w:val="26"/>
      <w:szCs w:val="26"/>
    </w:rPr>
  </w:style>
  <w:style w:type="character" w:styleId="Platshllartext">
    <w:name w:val="Placeholder Text"/>
    <w:basedOn w:val="Standardstycketeckensnitt"/>
    <w:semiHidden/>
    <w:rsid w:val="00654E92"/>
    <w:rPr>
      <w:color w:val="666666"/>
    </w:rPr>
  </w:style>
  <w:style w:type="character" w:styleId="Kommentarsreferens">
    <w:name w:val="annotation reference"/>
    <w:basedOn w:val="Standardstycketeckensnitt"/>
    <w:semiHidden/>
    <w:unhideWhenUsed/>
    <w:rsid w:val="007712C7"/>
    <w:rPr>
      <w:sz w:val="16"/>
      <w:szCs w:val="16"/>
    </w:rPr>
  </w:style>
  <w:style w:type="paragraph" w:styleId="Kommentarer">
    <w:name w:val="annotation text"/>
    <w:basedOn w:val="Normal"/>
    <w:link w:val="KommentarerChar"/>
    <w:unhideWhenUsed/>
    <w:rsid w:val="007712C7"/>
    <w:pPr>
      <w:spacing w:line="240" w:lineRule="auto"/>
    </w:pPr>
    <w:rPr>
      <w:sz w:val="20"/>
      <w:szCs w:val="20"/>
    </w:rPr>
  </w:style>
  <w:style w:type="character" w:customStyle="1" w:styleId="KommentarerChar">
    <w:name w:val="Kommentarer Char"/>
    <w:basedOn w:val="Standardstycketeckensnitt"/>
    <w:link w:val="Kommentarer"/>
    <w:rsid w:val="007712C7"/>
    <w:rPr>
      <w:lang w:val="en-GB" w:eastAsia="en-US"/>
    </w:rPr>
  </w:style>
  <w:style w:type="paragraph" w:styleId="Kommentarsmne">
    <w:name w:val="annotation subject"/>
    <w:basedOn w:val="Kommentarer"/>
    <w:next w:val="Kommentarer"/>
    <w:link w:val="KommentarsmneChar"/>
    <w:semiHidden/>
    <w:unhideWhenUsed/>
    <w:rsid w:val="007712C7"/>
    <w:rPr>
      <w:b/>
      <w:bCs/>
    </w:rPr>
  </w:style>
  <w:style w:type="character" w:customStyle="1" w:styleId="KommentarsmneChar">
    <w:name w:val="Kommentarsämne Char"/>
    <w:basedOn w:val="KommentarerChar"/>
    <w:link w:val="Kommentarsmne"/>
    <w:semiHidden/>
    <w:rsid w:val="007712C7"/>
    <w:rPr>
      <w:b/>
      <w:bCs/>
      <w:lang w:val="en-GB" w:eastAsia="en-US"/>
    </w:rPr>
  </w:style>
  <w:style w:type="character" w:customStyle="1" w:styleId="cf01">
    <w:name w:val="cf01"/>
    <w:basedOn w:val="Standardstycketeckensnitt"/>
    <w:rsid w:val="005A785B"/>
    <w:rPr>
      <w:rFonts w:ascii="Segoe UI" w:hAnsi="Segoe UI" w:cs="Segoe UI" w:hint="default"/>
      <w:sz w:val="18"/>
      <w:szCs w:val="18"/>
    </w:rPr>
  </w:style>
  <w:style w:type="paragraph" w:styleId="Revision">
    <w:name w:val="Revision"/>
    <w:hidden/>
    <w:semiHidden/>
    <w:rsid w:val="00A606B5"/>
    <w:rPr>
      <w:sz w:val="26"/>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20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21e1496-d443-4306-ad63-a100e0046a1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C9F4636FD8CF4DBA576E51CE9A9557" ma:contentTypeVersion="14" ma:contentTypeDescription="Create a new document." ma:contentTypeScope="" ma:versionID="820ff92f09d1fa7cec72349d4d1f5528">
  <xsd:schema xmlns:xsd="http://www.w3.org/2001/XMLSchema" xmlns:xs="http://www.w3.org/2001/XMLSchema" xmlns:p="http://schemas.microsoft.com/office/2006/metadata/properties" xmlns:ns3="60aad371-894b-4a9b-aa6a-3fd9336d4f3f" xmlns:ns4="221e1496-d443-4306-ad63-a100e0046a13" targetNamespace="http://schemas.microsoft.com/office/2006/metadata/properties" ma:root="true" ma:fieldsID="d873d576c096a34e77a7a9e363097f90" ns3:_="" ns4:_="">
    <xsd:import namespace="60aad371-894b-4a9b-aa6a-3fd9336d4f3f"/>
    <xsd:import namespace="221e1496-d443-4306-ad63-a100e0046a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ad371-894b-4a9b-aa6a-3fd9336d4f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e1496-d443-4306-ad63-a100e0046a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750CC-9E9F-427E-846B-59C84633F7ED}">
  <ds:schemaRefs>
    <ds:schemaRef ds:uri="http://schemas.microsoft.com/office/2006/metadata/properties"/>
    <ds:schemaRef ds:uri="http://schemas.microsoft.com/office/infopath/2007/PartnerControls"/>
    <ds:schemaRef ds:uri="221e1496-d443-4306-ad63-a100e0046a13"/>
  </ds:schemaRefs>
</ds:datastoreItem>
</file>

<file path=customXml/itemProps2.xml><?xml version="1.0" encoding="utf-8"?>
<ds:datastoreItem xmlns:ds="http://schemas.openxmlformats.org/officeDocument/2006/customXml" ds:itemID="{D65F5109-7951-48C5-8C75-147B5F863BA9}">
  <ds:schemaRefs>
    <ds:schemaRef ds:uri="http://schemas.openxmlformats.org/officeDocument/2006/bibliography"/>
  </ds:schemaRefs>
</ds:datastoreItem>
</file>

<file path=customXml/itemProps3.xml><?xml version="1.0" encoding="utf-8"?>
<ds:datastoreItem xmlns:ds="http://schemas.openxmlformats.org/officeDocument/2006/customXml" ds:itemID="{90A0F5D5-9268-40B8-A41A-E52FB04CD307}">
  <ds:schemaRefs>
    <ds:schemaRef ds:uri="http://schemas.microsoft.com/sharepoint/v3/contenttype/forms"/>
  </ds:schemaRefs>
</ds:datastoreItem>
</file>

<file path=customXml/itemProps4.xml><?xml version="1.0" encoding="utf-8"?>
<ds:datastoreItem xmlns:ds="http://schemas.openxmlformats.org/officeDocument/2006/customXml" ds:itemID="{1B53FACA-7777-465A-8CBA-8CB2CD70B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ad371-894b-4a9b-aa6a-3fd9336d4f3f"/>
    <ds:schemaRef ds:uri="221e1496-d443-4306-ad63-a100e0046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a4ba6f9-f531-4f32-9467-398f19e69de4}" enabled="0" method="" siteId="{5a4ba6f9-f531-4f32-9467-398f19e69de4}"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10</Pages>
  <Words>4574</Words>
  <Characters>24243</Characters>
  <Application>Microsoft Office Word</Application>
  <DocSecurity>0</DocSecurity>
  <Lines>202</Lines>
  <Paragraphs>57</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MADIF8 PROCEEDINGS STYLE TEMPLATE</vt:lpstr>
      <vt:lpstr>MADIF8 PROCEEDINGS STYLE TEMPLATE</vt:lpstr>
      <vt:lpstr>MES6 PROCEEDINGS STYLE TEMPLATE: TYPE YOUR TITLE HERE (THE STYLE IS CALLED HEADING 1)</vt:lpstr>
    </vt:vector>
  </TitlesOfParts>
  <Manager/>
  <Company/>
  <LinksUpToDate>false</LinksUpToDate>
  <CharactersWithSpaces>28760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Ulrika Wikström Hultdin</dc:creator>
  <cp:keywords/>
  <dc:description/>
  <cp:lastModifiedBy>Cecilia Kilhamn</cp:lastModifiedBy>
  <cp:revision>9</cp:revision>
  <dcterms:created xsi:type="dcterms:W3CDTF">2024-01-22T08:51:00Z</dcterms:created>
  <dcterms:modified xsi:type="dcterms:W3CDTF">2024-01-22T11:12:00Z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0x01010004C9F4636FD8CF4DBA576E51CE9A9557</vt:lpwstr>
  </property>
</Properties>
</file>