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8E6" w14:textId="58432422" w:rsidR="00904E1A" w:rsidRPr="004D33D5" w:rsidRDefault="00F7164B" w:rsidP="00E571FB">
      <w:pPr>
        <w:pStyle w:val="Title"/>
        <w:ind w:firstLine="0"/>
      </w:pPr>
      <w:r>
        <w:t xml:space="preserve">Mediating </w:t>
      </w:r>
      <w:r w:rsidR="00DA09AB">
        <w:t>m</w:t>
      </w:r>
      <w:r>
        <w:t>athematics out of the le</w:t>
      </w:r>
      <w:r w:rsidR="00DA09AB">
        <w:t>sson</w:t>
      </w:r>
      <w:r w:rsidR="00D87936" w:rsidRPr="004D33D5">
        <w:t xml:space="preserve">: </w:t>
      </w:r>
      <w:r w:rsidR="00E23319">
        <w:t>Tamra</w:t>
      </w:r>
      <w:r w:rsidR="001C415B" w:rsidRPr="004D33D5">
        <w:t>’s personal breaching experiment</w:t>
      </w:r>
    </w:p>
    <w:p w14:paraId="1C983619" w14:textId="4DFCDD39" w:rsidR="003740B8" w:rsidRPr="000C5FBD" w:rsidRDefault="00D87936" w:rsidP="005B0E57">
      <w:pPr>
        <w:pStyle w:val="Heading8"/>
        <w:spacing w:after="0"/>
        <w:rPr>
          <w:b/>
          <w:bCs/>
        </w:rPr>
      </w:pPr>
      <w:r w:rsidRPr="000C5FBD">
        <w:rPr>
          <w:b/>
          <w:bCs/>
        </w:rPr>
        <w:t>Iben Maj Christiansen</w:t>
      </w:r>
    </w:p>
    <w:p w14:paraId="16602F0E" w14:textId="31BD9BA7" w:rsidR="003740B8" w:rsidRPr="00615ECD" w:rsidRDefault="00D87936" w:rsidP="00FB1657">
      <w:pPr>
        <w:pStyle w:val="Heading9"/>
        <w:spacing w:before="120" w:after="700"/>
        <w:rPr>
          <w:b w:val="0"/>
          <w:bCs/>
        </w:rPr>
      </w:pPr>
      <w:r w:rsidRPr="00615ECD">
        <w:rPr>
          <w:b w:val="0"/>
          <w:bCs/>
        </w:rPr>
        <w:t>Stockholm University</w:t>
      </w:r>
      <w:r w:rsidR="00574B2A">
        <w:rPr>
          <w:b w:val="0"/>
          <w:bCs/>
        </w:rPr>
        <w:t xml:space="preserve"> &amp; </w:t>
      </w:r>
      <w:proofErr w:type="spellStart"/>
      <w:r w:rsidR="00574B2A">
        <w:rPr>
          <w:b w:val="0"/>
          <w:bCs/>
        </w:rPr>
        <w:t>Mälardalen</w:t>
      </w:r>
      <w:proofErr w:type="spellEnd"/>
      <w:r w:rsidR="00574B2A">
        <w:rPr>
          <w:b w:val="0"/>
          <w:bCs/>
        </w:rPr>
        <w:t xml:space="preserve"> University</w:t>
      </w:r>
      <w:r w:rsidR="00F61713" w:rsidRPr="00615ECD">
        <w:rPr>
          <w:b w:val="0"/>
          <w:bCs/>
        </w:rPr>
        <w:t xml:space="preserve">, </w:t>
      </w:r>
      <w:r w:rsidRPr="00615ECD">
        <w:rPr>
          <w:b w:val="0"/>
          <w:bCs/>
        </w:rPr>
        <w:t xml:space="preserve">Sweden </w:t>
      </w:r>
    </w:p>
    <w:p w14:paraId="42A10BE9" w14:textId="403C5314" w:rsidR="00E44E90" w:rsidRPr="006B313A" w:rsidRDefault="00BF28C0" w:rsidP="00892DE9">
      <w:pPr>
        <w:pStyle w:val="Abstract"/>
      </w:pPr>
      <w:r w:rsidRPr="006B313A">
        <w:t xml:space="preserve">Research on </w:t>
      </w:r>
      <w:r w:rsidR="001E5B69" w:rsidRPr="006B313A">
        <w:t>how</w:t>
      </w:r>
      <w:r w:rsidR="00254A99" w:rsidRPr="006B313A">
        <w:t xml:space="preserve"> teachers’ </w:t>
      </w:r>
      <w:r w:rsidR="00B23758" w:rsidRPr="006B313A">
        <w:t>instructional choices</w:t>
      </w:r>
      <w:r w:rsidR="00254A99" w:rsidRPr="006B313A">
        <w:t xml:space="preserve"> </w:t>
      </w:r>
      <w:r w:rsidR="00B23758" w:rsidRPr="006B313A">
        <w:t>are</w:t>
      </w:r>
      <w:r w:rsidR="00BD0A2C" w:rsidRPr="006B313A">
        <w:t xml:space="preserve"> framed by professional obligations provides insight into </w:t>
      </w:r>
      <w:r w:rsidR="00220BF1" w:rsidRPr="006B313A">
        <w:t xml:space="preserve">the processes of decision-making. </w:t>
      </w:r>
      <w:r w:rsidR="00B6644B" w:rsidRPr="006B313A">
        <w:t xml:space="preserve">This is particularly pertinent when a teacher </w:t>
      </w:r>
      <w:r w:rsidR="00376D85" w:rsidRPr="006B313A">
        <w:t>sets out</w:t>
      </w:r>
      <w:r w:rsidR="00B6644B" w:rsidRPr="006B313A">
        <w:t xml:space="preserve"> to change her teaching. </w:t>
      </w:r>
      <w:r w:rsidR="006A4FCB">
        <w:t>An u</w:t>
      </w:r>
      <w:r w:rsidR="003765C7" w:rsidRPr="006B313A">
        <w:t>nderstanding o</w:t>
      </w:r>
      <w:r w:rsidR="00376D85" w:rsidRPr="006B313A">
        <w:t>f</w:t>
      </w:r>
      <w:r w:rsidR="003765C7" w:rsidRPr="006B313A">
        <w:t xml:space="preserve"> </w:t>
      </w:r>
      <w:r w:rsidR="00F67DF2" w:rsidRPr="006B313A">
        <w:t xml:space="preserve">these processes can inform support for teachers as well as teacher education. </w:t>
      </w:r>
      <w:r w:rsidR="00D87936" w:rsidRPr="006B313A">
        <w:t xml:space="preserve">This paper reports on a lesson in which </w:t>
      </w:r>
      <w:r w:rsidR="00E23319" w:rsidRPr="006B313A">
        <w:t>Tamra</w:t>
      </w:r>
      <w:r w:rsidR="00D87936" w:rsidRPr="006B313A">
        <w:t xml:space="preserve"> </w:t>
      </w:r>
      <w:r w:rsidR="003F7A02" w:rsidRPr="006B313A">
        <w:t xml:space="preserve">– for the first time </w:t>
      </w:r>
      <w:r w:rsidR="00401E47" w:rsidRPr="006B313A">
        <w:t>–</w:t>
      </w:r>
      <w:r w:rsidR="003F7A02" w:rsidRPr="006B313A">
        <w:t xml:space="preserve"> </w:t>
      </w:r>
      <w:r w:rsidR="00D87936" w:rsidRPr="006B313A">
        <w:t xml:space="preserve">is trying out a more explorative approach with </w:t>
      </w:r>
      <w:r w:rsidR="00FB7757" w:rsidRPr="006B313A">
        <w:t>her</w:t>
      </w:r>
      <w:r w:rsidR="00D87936" w:rsidRPr="006B313A">
        <w:t xml:space="preserve"> </w:t>
      </w:r>
      <w:r w:rsidR="00045DBD">
        <w:t>G</w:t>
      </w:r>
      <w:r w:rsidR="00D87936" w:rsidRPr="006B313A">
        <w:t xml:space="preserve">rade 7 learners. </w:t>
      </w:r>
      <w:r w:rsidR="006D6610" w:rsidRPr="006B313A">
        <w:t xml:space="preserve">Tensions </w:t>
      </w:r>
      <w:r w:rsidR="00D676FB" w:rsidRPr="006B313A">
        <w:t>prevail</w:t>
      </w:r>
      <w:r w:rsidR="006D6610" w:rsidRPr="006B313A">
        <w:t xml:space="preserve"> between </w:t>
      </w:r>
      <w:r w:rsidR="00F45237" w:rsidRPr="006B313A">
        <w:t xml:space="preserve">the </w:t>
      </w:r>
      <w:r w:rsidR="00504660" w:rsidRPr="006B313A">
        <w:t xml:space="preserve">obligation </w:t>
      </w:r>
      <w:r w:rsidR="00417E06" w:rsidRPr="006B313A">
        <w:t xml:space="preserve">on Tamra </w:t>
      </w:r>
      <w:r w:rsidR="00504660" w:rsidRPr="006B313A">
        <w:t xml:space="preserve">to attend to individual learners, </w:t>
      </w:r>
      <w:r w:rsidR="00D676FB" w:rsidRPr="006B313A">
        <w:t xml:space="preserve">the national curriculum goals, institutional goals, </w:t>
      </w:r>
      <w:r w:rsidR="00345EC6" w:rsidRPr="006B313A">
        <w:t xml:space="preserve">and </w:t>
      </w:r>
      <w:r w:rsidR="00510D9E" w:rsidRPr="006B313A">
        <w:t xml:space="preserve">enabling mathematical exploration. </w:t>
      </w:r>
      <w:r w:rsidR="00E23319" w:rsidRPr="006B313A">
        <w:t>Tamra</w:t>
      </w:r>
      <w:r w:rsidR="004B1DFC" w:rsidRPr="006B313A">
        <w:t xml:space="preserve">’s </w:t>
      </w:r>
      <w:r w:rsidR="00904789" w:rsidRPr="006B313A">
        <w:t>choices</w:t>
      </w:r>
      <w:r w:rsidR="004B1DFC" w:rsidRPr="006B313A">
        <w:t xml:space="preserve"> ultimately mean that the obligation to mathematics suffers</w:t>
      </w:r>
      <w:r w:rsidR="00096692" w:rsidRPr="006B313A">
        <w:t>, yet</w:t>
      </w:r>
      <w:r w:rsidR="00F71C0B" w:rsidRPr="006B313A">
        <w:t xml:space="preserve"> they</w:t>
      </w:r>
      <w:r w:rsidR="003F7A02" w:rsidRPr="006B313A">
        <w:t xml:space="preserve"> reflect</w:t>
      </w:r>
      <w:r w:rsidR="004B1DFC" w:rsidRPr="006B313A">
        <w:t xml:space="preserve"> a relevant practical rationality</w:t>
      </w:r>
      <w:r w:rsidR="008E3508" w:rsidRPr="006B313A">
        <w:t>.</w:t>
      </w:r>
    </w:p>
    <w:p w14:paraId="7493D636" w14:textId="1A1B48DB" w:rsidR="003740B8" w:rsidRPr="006B313A" w:rsidRDefault="005C3C5C" w:rsidP="003537C9">
      <w:pPr>
        <w:pStyle w:val="Heading2"/>
      </w:pPr>
      <w:r w:rsidRPr="006B313A">
        <w:t>Introduction</w:t>
      </w:r>
      <w:r w:rsidR="00ED094B" w:rsidRPr="006B313A">
        <w:t>: the teacher as a dilemma manager</w:t>
      </w:r>
    </w:p>
    <w:p w14:paraId="36B9CBBA" w14:textId="7E9028B8" w:rsidR="008931C4" w:rsidRPr="006B313A" w:rsidRDefault="005C3C5C" w:rsidP="00244055">
      <w:pPr>
        <w:pStyle w:val="BodyText"/>
      </w:pPr>
      <w:r w:rsidRPr="006B313A">
        <w:t xml:space="preserve">Teachers make </w:t>
      </w:r>
      <w:r w:rsidR="00ED094B" w:rsidRPr="006B313A">
        <w:t>decisions</w:t>
      </w:r>
      <w:r w:rsidRPr="006B313A">
        <w:t xml:space="preserve">, and </w:t>
      </w:r>
      <w:r w:rsidR="00ED094B" w:rsidRPr="006B313A">
        <w:t>decisions</w:t>
      </w:r>
      <w:r w:rsidRPr="006B313A">
        <w:t xml:space="preserve"> are informed by </w:t>
      </w:r>
      <w:r w:rsidR="00ED094B" w:rsidRPr="006B313A">
        <w:t>weighing up alternatives based on a range of factors</w:t>
      </w:r>
      <w:r w:rsidR="003740B8" w:rsidRPr="006B313A">
        <w:t>.</w:t>
      </w:r>
      <w:r w:rsidRPr="006B313A">
        <w:t xml:space="preserve"> </w:t>
      </w:r>
      <w:r w:rsidR="008931C4" w:rsidRPr="006B313A">
        <w:t>Previous research on teacher decision may be grouped</w:t>
      </w:r>
      <w:r w:rsidR="005276C1" w:rsidRPr="006B313A">
        <w:t>, I suggest,</w:t>
      </w:r>
      <w:r w:rsidR="008931C4" w:rsidRPr="006B313A">
        <w:t xml:space="preserve"> in</w:t>
      </w:r>
      <w:r w:rsidR="005276C1" w:rsidRPr="006B313A">
        <w:t>to</w:t>
      </w:r>
      <w:r w:rsidR="008931C4" w:rsidRPr="006B313A">
        <w:t xml:space="preserve"> four non-disjunctive categories of factors informing the decisions</w:t>
      </w:r>
      <w:r w:rsidR="00FA7473" w:rsidRPr="006B313A">
        <w:t xml:space="preserve">. </w:t>
      </w:r>
      <w:r w:rsidR="00900E4C" w:rsidRPr="006B313A">
        <w:t>One group of studies focus</w:t>
      </w:r>
      <w:r w:rsidR="009F4C93" w:rsidRPr="006B313A">
        <w:t>es</w:t>
      </w:r>
      <w:r w:rsidR="00900E4C" w:rsidRPr="006B313A">
        <w:t xml:space="preserve"> on </w:t>
      </w:r>
      <w:r w:rsidR="008931C4" w:rsidRPr="006B313A">
        <w:t>teacher</w:t>
      </w:r>
      <w:r w:rsidR="00900E4C" w:rsidRPr="006B313A">
        <w:t>s’</w:t>
      </w:r>
      <w:r w:rsidR="008931C4" w:rsidRPr="006B313A">
        <w:t xml:space="preserve"> beliefs</w:t>
      </w:r>
      <w:r w:rsidR="00F71C0B" w:rsidRPr="006B313A">
        <w:t xml:space="preserve"> and </w:t>
      </w:r>
      <w:r w:rsidR="008931C4" w:rsidRPr="006B313A">
        <w:t>knowledge</w:t>
      </w:r>
      <w:r w:rsidR="00900E4C" w:rsidRPr="006B313A">
        <w:t xml:space="preserve">; </w:t>
      </w:r>
      <w:r w:rsidR="007A0144" w:rsidRPr="006B313A">
        <w:t xml:space="preserve">for </w:t>
      </w:r>
      <w:r w:rsidR="00CB191B" w:rsidRPr="006B313A">
        <w:t>instance</w:t>
      </w:r>
      <w:r w:rsidR="007A0144" w:rsidRPr="006B313A">
        <w:t>,</w:t>
      </w:r>
      <w:r w:rsidR="00CB191B" w:rsidRPr="006B313A">
        <w:t xml:space="preserve"> </w:t>
      </w:r>
      <w:r w:rsidR="00CB191B" w:rsidRPr="006B313A">
        <w:rPr>
          <w:color w:val="000000"/>
          <w:szCs w:val="26"/>
        </w:rPr>
        <w:t>Blackley et al., 2021</w:t>
      </w:r>
      <w:r w:rsidR="00273BAA" w:rsidRPr="006B313A">
        <w:rPr>
          <w:color w:val="000000"/>
          <w:szCs w:val="26"/>
        </w:rPr>
        <w:t xml:space="preserve"> studied the relationship between </w:t>
      </w:r>
      <w:r w:rsidR="00EB658C" w:rsidRPr="006B313A">
        <w:rPr>
          <w:color w:val="000000"/>
          <w:szCs w:val="26"/>
        </w:rPr>
        <w:t xml:space="preserve">experiences of affect, cognitive </w:t>
      </w:r>
      <w:r w:rsidR="00E447A4" w:rsidRPr="006B313A">
        <w:rPr>
          <w:color w:val="000000"/>
          <w:szCs w:val="26"/>
        </w:rPr>
        <w:t>load,</w:t>
      </w:r>
      <w:r w:rsidR="00EB658C" w:rsidRPr="006B313A">
        <w:rPr>
          <w:color w:val="000000"/>
          <w:szCs w:val="26"/>
        </w:rPr>
        <w:t xml:space="preserve"> and awareness of </w:t>
      </w:r>
      <w:r w:rsidR="007A0144" w:rsidRPr="006B313A">
        <w:rPr>
          <w:color w:val="000000"/>
          <w:szCs w:val="26"/>
        </w:rPr>
        <w:t>available options</w:t>
      </w:r>
      <w:r w:rsidR="00237C90" w:rsidRPr="006B313A">
        <w:rPr>
          <w:color w:val="000000"/>
          <w:szCs w:val="26"/>
        </w:rPr>
        <w:t>. Another group of studies focus</w:t>
      </w:r>
      <w:r w:rsidR="009F4C93" w:rsidRPr="006B313A">
        <w:rPr>
          <w:color w:val="000000"/>
          <w:szCs w:val="26"/>
        </w:rPr>
        <w:t>es</w:t>
      </w:r>
      <w:r w:rsidR="00237C90" w:rsidRPr="006B313A">
        <w:rPr>
          <w:color w:val="000000"/>
          <w:szCs w:val="26"/>
        </w:rPr>
        <w:t xml:space="preserve"> on </w:t>
      </w:r>
      <w:r w:rsidR="008931C4" w:rsidRPr="006B313A">
        <w:t>teacher</w:t>
      </w:r>
      <w:r w:rsidR="00434DCF" w:rsidRPr="006B313A">
        <w:t xml:space="preserve"> noticing</w:t>
      </w:r>
      <w:r w:rsidR="008931C4" w:rsidRPr="006B313A">
        <w:t xml:space="preserve">; </w:t>
      </w:r>
      <w:r w:rsidR="00606073" w:rsidRPr="006B313A">
        <w:t xml:space="preserve">for </w:t>
      </w:r>
      <w:r w:rsidR="00173EFF">
        <w:t>example</w:t>
      </w:r>
      <w:r w:rsidR="00B256A1" w:rsidRPr="006B313A">
        <w:t>,</w:t>
      </w:r>
      <w:r w:rsidR="00606073" w:rsidRPr="006B313A">
        <w:t xml:space="preserve"> </w:t>
      </w:r>
      <w:r w:rsidR="00434DCF" w:rsidRPr="006B313A">
        <w:t xml:space="preserve">participating in a video club </w:t>
      </w:r>
      <w:r w:rsidR="009F4C93" w:rsidRPr="006B313A">
        <w:t>on</w:t>
      </w:r>
      <w:r w:rsidR="00434DCF" w:rsidRPr="006B313A">
        <w:t xml:space="preserve"> noticing </w:t>
      </w:r>
      <w:r w:rsidR="008F6E96" w:rsidRPr="006B313A">
        <w:t xml:space="preserve">increased teachers’ ability to </w:t>
      </w:r>
      <w:r w:rsidR="00B950E3" w:rsidRPr="006B313A">
        <w:t>use what they noticed about learner thinking to inform decisions (Wallin &amp; Amador, 2019).</w:t>
      </w:r>
      <w:r w:rsidR="00F8274E" w:rsidRPr="006B313A">
        <w:t xml:space="preserve"> </w:t>
      </w:r>
      <w:r w:rsidR="007345B1" w:rsidRPr="006B313A">
        <w:t>A more recent group of studies concern</w:t>
      </w:r>
      <w:r w:rsidR="007671EA" w:rsidRPr="006B313A">
        <w:t>s</w:t>
      </w:r>
      <w:r w:rsidR="007345B1" w:rsidRPr="006B313A">
        <w:t xml:space="preserve"> </w:t>
      </w:r>
      <w:r w:rsidR="00910AC2" w:rsidRPr="006B313A">
        <w:t xml:space="preserve">norms and </w:t>
      </w:r>
      <w:r w:rsidR="007345B1" w:rsidRPr="006B313A">
        <w:t xml:space="preserve">patterns of participation </w:t>
      </w:r>
      <w:r w:rsidR="00C323BD" w:rsidRPr="006B313A">
        <w:t xml:space="preserve">established from previous experiences such as own schooling or teacher education; </w:t>
      </w:r>
      <w:r w:rsidR="00385ABE" w:rsidRPr="006B313A">
        <w:t xml:space="preserve">for </w:t>
      </w:r>
      <w:r w:rsidR="006B3664">
        <w:t>example</w:t>
      </w:r>
      <w:r w:rsidR="00385ABE" w:rsidRPr="006B313A">
        <w:t xml:space="preserve">, </w:t>
      </w:r>
      <w:r w:rsidR="00E06168" w:rsidRPr="006B313A">
        <w:rPr>
          <w:color w:val="000000"/>
        </w:rPr>
        <w:t xml:space="preserve">the teacher education </w:t>
      </w:r>
      <w:r w:rsidR="00591A8E" w:rsidRPr="006B313A">
        <w:rPr>
          <w:color w:val="000000"/>
        </w:rPr>
        <w:t xml:space="preserve">of two </w:t>
      </w:r>
      <w:r w:rsidR="00385ABE" w:rsidRPr="006B313A">
        <w:rPr>
          <w:color w:val="000000"/>
        </w:rPr>
        <w:t xml:space="preserve">student teachers </w:t>
      </w:r>
      <w:r w:rsidR="00910AC2" w:rsidRPr="006B313A">
        <w:rPr>
          <w:color w:val="000000"/>
        </w:rPr>
        <w:t>did not challenge their patterns of participation from earlier schooling</w:t>
      </w:r>
      <w:r w:rsidR="00591A8E" w:rsidRPr="006B313A">
        <w:rPr>
          <w:color w:val="000000"/>
        </w:rPr>
        <w:t xml:space="preserve"> (</w:t>
      </w:r>
      <w:r w:rsidR="00424B6F" w:rsidRPr="006B313A">
        <w:rPr>
          <w:color w:val="000000"/>
        </w:rPr>
        <w:t xml:space="preserve">Ebbelind, </w:t>
      </w:r>
      <w:r w:rsidR="00591A8E" w:rsidRPr="006B313A">
        <w:rPr>
          <w:color w:val="000000"/>
        </w:rPr>
        <w:t>2020).</w:t>
      </w:r>
      <w:r w:rsidR="00910AC2" w:rsidRPr="006B313A">
        <w:rPr>
          <w:color w:val="000000"/>
        </w:rPr>
        <w:t xml:space="preserve"> Finally, a group of studies ha</w:t>
      </w:r>
      <w:r w:rsidR="00F1476F" w:rsidRPr="006B313A">
        <w:rPr>
          <w:color w:val="000000"/>
        </w:rPr>
        <w:t>s</w:t>
      </w:r>
      <w:r w:rsidR="00910AC2" w:rsidRPr="006B313A">
        <w:rPr>
          <w:color w:val="000000"/>
        </w:rPr>
        <w:t xml:space="preserve"> engaged the obligations</w:t>
      </w:r>
      <w:r w:rsidR="009C3D58" w:rsidRPr="006B313A">
        <w:rPr>
          <w:color w:val="000000"/>
        </w:rPr>
        <w:t xml:space="preserve"> </w:t>
      </w:r>
      <w:r w:rsidR="009C3D58" w:rsidRPr="006B313A">
        <w:t xml:space="preserve">that exercise a </w:t>
      </w:r>
      <w:proofErr w:type="gramStart"/>
      <w:r w:rsidR="009C3D58" w:rsidRPr="006B313A">
        <w:t>pull</w:t>
      </w:r>
      <w:r w:rsidR="00545FCF" w:rsidRPr="006B313A">
        <w:t xml:space="preserve"> </w:t>
      </w:r>
      <w:r w:rsidR="009C3D58" w:rsidRPr="006B313A">
        <w:t>on</w:t>
      </w:r>
      <w:proofErr w:type="gramEnd"/>
      <w:r w:rsidR="009C3D58" w:rsidRPr="006B313A">
        <w:t xml:space="preserve"> teachers, which may </w:t>
      </w:r>
      <w:r w:rsidR="00AA71AB" w:rsidRPr="006B313A">
        <w:t>manifest as different and not always compatible goals for teachers</w:t>
      </w:r>
      <w:r w:rsidR="00CB0ACA">
        <w:t>:</w:t>
      </w:r>
      <w:r w:rsidR="00AA71AB" w:rsidRPr="006B313A">
        <w:t xml:space="preserve"> </w:t>
      </w:r>
      <w:r w:rsidR="001756E1" w:rsidRPr="006B313A">
        <w:t xml:space="preserve">Thomas and Yoon </w:t>
      </w:r>
      <w:r w:rsidR="00317504" w:rsidRPr="006B313A">
        <w:t xml:space="preserve">(2014) </w:t>
      </w:r>
      <w:r w:rsidR="001756E1" w:rsidRPr="006B313A">
        <w:t xml:space="preserve">describe </w:t>
      </w:r>
      <w:r w:rsidR="00EA1AF2" w:rsidRPr="006B313A">
        <w:t>how a teacher resolves conflicts between goals and the relation to the decisions the teacher makes</w:t>
      </w:r>
      <w:r w:rsidR="00317504" w:rsidRPr="006B313A">
        <w:t>.</w:t>
      </w:r>
      <w:r w:rsidR="00D26A00" w:rsidRPr="006B313A">
        <w:t xml:space="preserve"> </w:t>
      </w:r>
      <w:r w:rsidR="000758AD" w:rsidRPr="006B313A">
        <w:t>The teacher’s “</w:t>
      </w:r>
      <w:r w:rsidR="000758AD" w:rsidRPr="006B313A">
        <w:rPr>
          <w:color w:val="222222"/>
          <w:sz w:val="27"/>
          <w:szCs w:val="27"/>
          <w:shd w:val="clear" w:color="auto" w:fill="FFFFFF"/>
        </w:rPr>
        <w:t xml:space="preserve">conflict between </w:t>
      </w:r>
      <w:r w:rsidR="00982A5E">
        <w:rPr>
          <w:color w:val="222222"/>
          <w:sz w:val="27"/>
          <w:szCs w:val="27"/>
          <w:shd w:val="clear" w:color="auto" w:fill="FFFFFF"/>
        </w:rPr>
        <w:t>…</w:t>
      </w:r>
      <w:r w:rsidR="00982A5E" w:rsidRPr="006B313A">
        <w:rPr>
          <w:color w:val="222222"/>
          <w:sz w:val="27"/>
          <w:szCs w:val="27"/>
          <w:shd w:val="clear" w:color="auto" w:fill="FFFFFF"/>
        </w:rPr>
        <w:t xml:space="preserve"> </w:t>
      </w:r>
      <w:r w:rsidR="000758AD" w:rsidRPr="006B313A">
        <w:rPr>
          <w:color w:val="222222"/>
          <w:sz w:val="27"/>
          <w:szCs w:val="27"/>
          <w:shd w:val="clear" w:color="auto" w:fill="FFFFFF"/>
        </w:rPr>
        <w:t>two goals was largely caused by the constraints of time, curriculum, and assessment, but also his desire to respect the cultural influences on his students’ learning</w:t>
      </w:r>
      <w:r w:rsidR="000758AD" w:rsidRPr="006B313A">
        <w:t>”</w:t>
      </w:r>
      <w:r w:rsidR="00834C99" w:rsidRPr="006B313A">
        <w:t xml:space="preserve"> (</w:t>
      </w:r>
      <w:r w:rsidR="006243C5" w:rsidRPr="006B313A">
        <w:t>p. 232)</w:t>
      </w:r>
      <w:r w:rsidR="00CC42E4" w:rsidRPr="006B313A">
        <w:t xml:space="preserve">. </w:t>
      </w:r>
      <w:r w:rsidR="00D27F5E" w:rsidRPr="006B313A">
        <w:t xml:space="preserve">Thus, the last group of studies hone more in on the practical rationality (see below) of teachers and how it plays out </w:t>
      </w:r>
      <w:r w:rsidR="00896F24" w:rsidRPr="006B313A">
        <w:t>within the opportunities and constraints of their classrooms</w:t>
      </w:r>
      <w:r w:rsidR="007D20B5" w:rsidRPr="006B313A">
        <w:t xml:space="preserve">, </w:t>
      </w:r>
      <w:r w:rsidR="00982A5E">
        <w:t>regarding</w:t>
      </w:r>
      <w:r w:rsidR="00982A5E" w:rsidRPr="006B313A">
        <w:t xml:space="preserve"> </w:t>
      </w:r>
      <w:r w:rsidR="00EE4684" w:rsidRPr="006B313A">
        <w:t xml:space="preserve">decisions </w:t>
      </w:r>
      <w:r w:rsidR="00982A5E">
        <w:t>to be</w:t>
      </w:r>
      <w:r w:rsidR="00982A5E" w:rsidRPr="006B313A">
        <w:t xml:space="preserve"> </w:t>
      </w:r>
      <w:r w:rsidR="001339F2" w:rsidRPr="006B313A">
        <w:t>shape</w:t>
      </w:r>
      <w:r w:rsidR="00982A5E">
        <w:t>d</w:t>
      </w:r>
      <w:r w:rsidR="001339F2" w:rsidRPr="006B313A">
        <w:t xml:space="preserve"> as much by institutional factors as by personal ones</w:t>
      </w:r>
      <w:r w:rsidR="00896F24" w:rsidRPr="006B313A">
        <w:t xml:space="preserve">. </w:t>
      </w:r>
      <w:r w:rsidR="002F7E20" w:rsidRPr="006B313A">
        <w:t>Considering</w:t>
      </w:r>
      <w:r w:rsidR="00C50815" w:rsidRPr="006B313A">
        <w:t xml:space="preserve"> external factors is important </w:t>
      </w:r>
      <w:r w:rsidR="00C54F0F" w:rsidRPr="006B313A">
        <w:t xml:space="preserve">for </w:t>
      </w:r>
      <w:r w:rsidR="00C54F0F" w:rsidRPr="006B313A">
        <w:lastRenderedPageBreak/>
        <w:t xml:space="preserve">understanding why teachers make decisions that </w:t>
      </w:r>
      <w:r w:rsidR="002F7E20" w:rsidRPr="006B313A">
        <w:t>appear to go against their proclaimed views</w:t>
      </w:r>
      <w:r w:rsidR="00663B7E" w:rsidRPr="006B313A">
        <w:t>, and thereby the process of making changes to teaching practices</w:t>
      </w:r>
      <w:r w:rsidR="002F7E20" w:rsidRPr="006B313A">
        <w:t xml:space="preserve">. </w:t>
      </w:r>
      <w:r w:rsidR="00E7644E">
        <w:t>Managing</w:t>
      </w:r>
      <w:r w:rsidR="00982A5E">
        <w:t xml:space="preserve"> external factors, </w:t>
      </w:r>
      <w:r w:rsidR="00E7644E">
        <w:t>the teacher is a</w:t>
      </w:r>
      <w:r w:rsidR="00684480" w:rsidRPr="006B313A">
        <w:t xml:space="preserve"> “dilemma manager, a broker of contradictory interests” (Lampert, 1985), or in the terminology of practical rationality, a broker of professional obligations which may not pull in the same direction (Herbst &amp; Chazan, 2011).</w:t>
      </w:r>
    </w:p>
    <w:p w14:paraId="2680502A" w14:textId="468AF328" w:rsidR="003E0078" w:rsidRPr="006B313A" w:rsidRDefault="00076373" w:rsidP="00CF4D1F">
      <w:pPr>
        <w:rPr>
          <w:color w:val="000000"/>
          <w:szCs w:val="26"/>
        </w:rPr>
      </w:pPr>
      <w:r>
        <w:t>The e</w:t>
      </w:r>
      <w:r w:rsidR="00FA1F59" w:rsidRPr="006B313A">
        <w:t xml:space="preserve">xperienced </w:t>
      </w:r>
      <w:r w:rsidR="001233DD" w:rsidRPr="006B313A">
        <w:t xml:space="preserve">external demands and professional obligations of teachers affect the choices they make </w:t>
      </w:r>
      <w:r w:rsidR="002F06C6" w:rsidRPr="006B313A">
        <w:t>in their teaching</w:t>
      </w:r>
      <w:r w:rsidR="00902A84" w:rsidRPr="006B313A">
        <w:t xml:space="preserve">. </w:t>
      </w:r>
      <w:r w:rsidR="004C41B8" w:rsidRPr="006B313A">
        <w:t>In a medium</w:t>
      </w:r>
      <w:r>
        <w:t>-</w:t>
      </w:r>
      <w:r w:rsidR="004C41B8" w:rsidRPr="006B313A">
        <w:t xml:space="preserve">scale study of university mathematics instructors, professional obligations helped explain misalignment between beliefs and practices (Shultz, 2022). </w:t>
      </w:r>
      <w:r w:rsidR="00E733E1" w:rsidRPr="006B313A">
        <w:rPr>
          <w:color w:val="000000"/>
          <w:szCs w:val="26"/>
        </w:rPr>
        <w:t xml:space="preserve">Case studies of teachers from different contexts suggested that </w:t>
      </w:r>
      <w:r w:rsidR="00F919BA" w:rsidRPr="006B313A">
        <w:rPr>
          <w:color w:val="000000"/>
          <w:szCs w:val="26"/>
        </w:rPr>
        <w:t xml:space="preserve">teachers may choose not to address a mathematically rich response from a learner </w:t>
      </w:r>
      <w:r w:rsidR="00BC4E5E">
        <w:rPr>
          <w:color w:val="000000"/>
          <w:szCs w:val="26"/>
        </w:rPr>
        <w:t>out of</w:t>
      </w:r>
      <w:r w:rsidR="00BC4E5E" w:rsidRPr="006B313A">
        <w:rPr>
          <w:color w:val="000000"/>
          <w:szCs w:val="26"/>
        </w:rPr>
        <w:t xml:space="preserve"> </w:t>
      </w:r>
      <w:r w:rsidR="00F919BA" w:rsidRPr="006B313A">
        <w:rPr>
          <w:color w:val="000000"/>
          <w:szCs w:val="26"/>
        </w:rPr>
        <w:t xml:space="preserve">consideration </w:t>
      </w:r>
      <w:r w:rsidR="00DA010F">
        <w:rPr>
          <w:color w:val="000000"/>
          <w:szCs w:val="26"/>
        </w:rPr>
        <w:t>for</w:t>
      </w:r>
      <w:r w:rsidR="00BC4E5E" w:rsidRPr="006B313A">
        <w:rPr>
          <w:color w:val="000000"/>
          <w:szCs w:val="26"/>
        </w:rPr>
        <w:t xml:space="preserve"> </w:t>
      </w:r>
      <w:r w:rsidR="00F919BA" w:rsidRPr="006B313A">
        <w:rPr>
          <w:color w:val="000000"/>
          <w:szCs w:val="26"/>
        </w:rPr>
        <w:t xml:space="preserve">the classroom </w:t>
      </w:r>
      <w:r w:rsidR="006613E0" w:rsidRPr="006B313A">
        <w:rPr>
          <w:color w:val="000000"/>
          <w:szCs w:val="26"/>
        </w:rPr>
        <w:t>community or</w:t>
      </w:r>
      <w:r w:rsidR="00F919BA" w:rsidRPr="006B313A">
        <w:rPr>
          <w:color w:val="000000"/>
          <w:szCs w:val="26"/>
        </w:rPr>
        <w:t xml:space="preserve"> may reduce learner agency to reach closure by the end of the lesson (Christiansen et al., 2023)</w:t>
      </w:r>
      <w:r w:rsidR="003F1C6C" w:rsidRPr="006B313A">
        <w:rPr>
          <w:color w:val="000000"/>
          <w:szCs w:val="26"/>
        </w:rPr>
        <w:t>. And responses to a breaching ex</w:t>
      </w:r>
      <w:r w:rsidR="00C73CF2" w:rsidRPr="006B313A">
        <w:rPr>
          <w:color w:val="000000"/>
          <w:szCs w:val="26"/>
        </w:rPr>
        <w:t>periment with 360 secondary mathematics teachers indicated that their willingness to break norms depend</w:t>
      </w:r>
      <w:r w:rsidR="00982A5E">
        <w:rPr>
          <w:color w:val="000000"/>
          <w:szCs w:val="26"/>
        </w:rPr>
        <w:t>ed</w:t>
      </w:r>
      <w:r w:rsidR="00C73CF2" w:rsidRPr="006B313A">
        <w:rPr>
          <w:color w:val="000000"/>
          <w:szCs w:val="26"/>
        </w:rPr>
        <w:t xml:space="preserve"> on both the norm and the professional obligations at stake (Erickson et al., 2021).</w:t>
      </w:r>
      <w:r w:rsidR="00E1296F" w:rsidRPr="006B313A">
        <w:rPr>
          <w:color w:val="000000"/>
          <w:szCs w:val="26"/>
        </w:rPr>
        <w:t xml:space="preserve"> </w:t>
      </w:r>
      <w:r w:rsidR="004534DF" w:rsidRPr="006B313A">
        <w:rPr>
          <w:color w:val="000000"/>
          <w:szCs w:val="26"/>
        </w:rPr>
        <w:t xml:space="preserve">When </w:t>
      </w:r>
      <w:r w:rsidR="0060329E" w:rsidRPr="006B313A">
        <w:rPr>
          <w:color w:val="000000"/>
          <w:szCs w:val="26"/>
        </w:rPr>
        <w:t xml:space="preserve">norms are broken, teachers can engage in negotiation of the didactical contracts that apply to the new </w:t>
      </w:r>
      <w:r w:rsidR="002D1F61" w:rsidRPr="006B313A">
        <w:rPr>
          <w:color w:val="000000"/>
          <w:szCs w:val="26"/>
        </w:rPr>
        <w:t>situation, or they can default to a known instructional situation (Herbst &amp; Chazan, 2012).</w:t>
      </w:r>
    </w:p>
    <w:p w14:paraId="37C593AA" w14:textId="0F005153" w:rsidR="003F7A02" w:rsidRPr="006B313A" w:rsidRDefault="00D6364E" w:rsidP="00AB5D2E">
      <w:r w:rsidRPr="006B313A">
        <w:t xml:space="preserve">As the case discussed in this paper demonstrates, </w:t>
      </w:r>
      <w:r w:rsidR="007F3D3C" w:rsidRPr="006B313A">
        <w:t xml:space="preserve">unpacking </w:t>
      </w:r>
      <w:r w:rsidR="009F5101" w:rsidRPr="006B313A">
        <w:t>a</w:t>
      </w:r>
      <w:r w:rsidR="008C319E" w:rsidRPr="006B313A">
        <w:t xml:space="preserve"> negotiation </w:t>
      </w:r>
      <w:r w:rsidR="009F5101" w:rsidRPr="006B313A">
        <w:t xml:space="preserve">of norms </w:t>
      </w:r>
      <w:proofErr w:type="gramStart"/>
      <w:r w:rsidR="00015CAF" w:rsidRPr="006B313A">
        <w:t>in light of</w:t>
      </w:r>
      <w:proofErr w:type="gramEnd"/>
      <w:r w:rsidR="00015CAF" w:rsidRPr="006B313A">
        <w:t xml:space="preserve"> the constraints on a teacher</w:t>
      </w:r>
      <w:r w:rsidR="008C319E" w:rsidRPr="006B313A">
        <w:t xml:space="preserve"> trying to change </w:t>
      </w:r>
      <w:r w:rsidR="00982A5E">
        <w:t>their</w:t>
      </w:r>
      <w:r w:rsidR="008C319E" w:rsidRPr="006B313A">
        <w:t xml:space="preserve"> practice, </w:t>
      </w:r>
      <w:r w:rsidR="00015CAF" w:rsidRPr="006B313A">
        <w:t xml:space="preserve">provides </w:t>
      </w:r>
      <w:r w:rsidR="00CB0F08" w:rsidRPr="006B313A">
        <w:t xml:space="preserve">insights which ultimately </w:t>
      </w:r>
      <w:r w:rsidR="00F612A2" w:rsidRPr="006B313A">
        <w:t>m</w:t>
      </w:r>
      <w:r w:rsidR="00CB0F08" w:rsidRPr="006B313A">
        <w:t xml:space="preserve">ay be brought to work in </w:t>
      </w:r>
      <w:r w:rsidR="00A10A10" w:rsidRPr="006B313A">
        <w:t>assist</w:t>
      </w:r>
      <w:r w:rsidR="00CB0F08" w:rsidRPr="006B313A">
        <w:t>ing</w:t>
      </w:r>
      <w:r w:rsidR="00A10A10" w:rsidRPr="006B313A">
        <w:t xml:space="preserve"> or prepar</w:t>
      </w:r>
      <w:r w:rsidR="00CB0F08" w:rsidRPr="006B313A">
        <w:t>ing</w:t>
      </w:r>
      <w:r w:rsidR="00A10A10" w:rsidRPr="006B313A">
        <w:t xml:space="preserve"> teachers to handle these complex processes.</w:t>
      </w:r>
      <w:r w:rsidR="00AB5D2E" w:rsidRPr="006B313A">
        <w:t xml:space="preserve"> The research question guid</w:t>
      </w:r>
      <w:r w:rsidR="000741F7" w:rsidRPr="006B313A">
        <w:t>ing</w:t>
      </w:r>
      <w:r w:rsidR="00AB5D2E" w:rsidRPr="006B313A">
        <w:t xml:space="preserve"> the study is: </w:t>
      </w:r>
      <w:r w:rsidR="00AB5D2E" w:rsidRPr="006B313A">
        <w:rPr>
          <w:i/>
          <w:iCs/>
        </w:rPr>
        <w:t>In which implicit negotiations of professional obligations does a teacher engage when she attempts to implement an exploration-requiring activity?</w:t>
      </w:r>
    </w:p>
    <w:p w14:paraId="6B3ADCE0" w14:textId="335B946F" w:rsidR="00A10A10" w:rsidRPr="006B313A" w:rsidRDefault="00A10A10" w:rsidP="00A10A10">
      <w:r w:rsidRPr="006B313A">
        <w:t xml:space="preserve">The teacher </w:t>
      </w:r>
      <w:r w:rsidR="00CD6EB0" w:rsidRPr="006B313A">
        <w:t xml:space="preserve">in the study, </w:t>
      </w:r>
      <w:r w:rsidR="00E23319" w:rsidRPr="006B313A">
        <w:t>Tamra</w:t>
      </w:r>
      <w:r w:rsidR="009665B9">
        <w:t>,</w:t>
      </w:r>
      <w:r w:rsidR="0002376A" w:rsidRPr="006B313A">
        <w:t xml:space="preserve"> </w:t>
      </w:r>
      <w:r w:rsidR="00CD6EB0" w:rsidRPr="006B313A">
        <w:t>wants to change her teaching</w:t>
      </w:r>
      <w:r w:rsidRPr="006B313A">
        <w:t xml:space="preserve"> towards engaging learners in exploration activi</w:t>
      </w:r>
      <w:r w:rsidR="00C4488B" w:rsidRPr="006B313A">
        <w:t>ty</w:t>
      </w:r>
      <w:r w:rsidR="00CD6EB0" w:rsidRPr="006B313A">
        <w:t>, and the lesson analysed is her first attempt at do</w:t>
      </w:r>
      <w:r w:rsidR="00E15A6A" w:rsidRPr="006B313A">
        <w:t>i</w:t>
      </w:r>
      <w:r w:rsidR="00CD6EB0" w:rsidRPr="006B313A">
        <w:t>ng so</w:t>
      </w:r>
      <w:r w:rsidR="00C4488B" w:rsidRPr="006B313A">
        <w:t>.</w:t>
      </w:r>
      <w:r w:rsidR="00E915DB" w:rsidRPr="006B313A">
        <w:t xml:space="preserve"> However, as the lesson progresses, </w:t>
      </w:r>
      <w:r w:rsidR="00E23319" w:rsidRPr="006B313A">
        <w:t>Tamra</w:t>
      </w:r>
      <w:r w:rsidR="00E915DB" w:rsidRPr="006B313A">
        <w:t xml:space="preserve"> moves away from the exploration activity. To understand why, interviews with </w:t>
      </w:r>
      <w:r w:rsidR="007F0874" w:rsidRPr="006B313A">
        <w:t>Tamra</w:t>
      </w:r>
      <w:r w:rsidR="00E915DB" w:rsidRPr="006B313A">
        <w:t xml:space="preserve"> were analysed for indications of professional obligations and potential </w:t>
      </w:r>
      <w:r w:rsidR="001E5DCD" w:rsidRPr="006B313A">
        <w:t>tensions</w:t>
      </w:r>
      <w:r w:rsidR="00E915DB" w:rsidRPr="006B313A">
        <w:t xml:space="preserve"> between them.</w:t>
      </w:r>
    </w:p>
    <w:p w14:paraId="23409060" w14:textId="13621103" w:rsidR="00C4488B" w:rsidRPr="006B313A" w:rsidRDefault="00C4488B" w:rsidP="003473E6">
      <w:pPr>
        <w:pStyle w:val="Heading2"/>
      </w:pPr>
      <w:r w:rsidRPr="006B313A">
        <w:t>Framework</w:t>
      </w:r>
      <w:r w:rsidR="00E915DB" w:rsidRPr="006B313A">
        <w:t>s</w:t>
      </w:r>
    </w:p>
    <w:p w14:paraId="72E3E02D" w14:textId="6325A473" w:rsidR="006939D7" w:rsidRPr="006B313A" w:rsidRDefault="00376B9E" w:rsidP="003473E6">
      <w:pPr>
        <w:pStyle w:val="BodyText"/>
      </w:pPr>
      <w:r w:rsidRPr="006B313A">
        <w:t>Two theor</w:t>
      </w:r>
      <w:r w:rsidR="00B83670" w:rsidRPr="006B313A">
        <w:t>etical perspectives have been utilised in this study</w:t>
      </w:r>
      <w:r w:rsidR="00A2075C">
        <w:t>:</w:t>
      </w:r>
      <w:r w:rsidR="00B83670" w:rsidRPr="006B313A">
        <w:t xml:space="preserve"> </w:t>
      </w:r>
      <w:r w:rsidR="00104874" w:rsidRPr="006B313A">
        <w:t>(</w:t>
      </w:r>
      <w:proofErr w:type="spellStart"/>
      <w:r w:rsidR="00104874" w:rsidRPr="006B313A">
        <w:t>i</w:t>
      </w:r>
      <w:proofErr w:type="spellEnd"/>
      <w:r w:rsidR="00104874" w:rsidRPr="006B313A">
        <w:t xml:space="preserve">) </w:t>
      </w:r>
      <w:r w:rsidR="00A2075C">
        <w:t>f</w:t>
      </w:r>
      <w:r w:rsidR="00B83670" w:rsidRPr="006B313A">
        <w:t xml:space="preserve">or </w:t>
      </w:r>
      <w:r w:rsidR="00B83670" w:rsidRPr="006B313A">
        <w:t xml:space="preserve">the analysis of Tamra’s classroom teaching, I have drawn on </w:t>
      </w:r>
      <w:r w:rsidR="00F80880" w:rsidRPr="006B313A">
        <w:t>notions within the theory of commognition</w:t>
      </w:r>
      <w:r w:rsidR="00A2075C">
        <w:t>;</w:t>
      </w:r>
      <w:r w:rsidR="00F80880" w:rsidRPr="006B313A">
        <w:t xml:space="preserve"> </w:t>
      </w:r>
      <w:r w:rsidR="00104874" w:rsidRPr="006B313A">
        <w:t xml:space="preserve">(ii) </w:t>
      </w:r>
      <w:r w:rsidR="00A2075C">
        <w:t>t</w:t>
      </w:r>
      <w:r w:rsidR="00F80880" w:rsidRPr="006B313A">
        <w:t xml:space="preserve">he reasons for </w:t>
      </w:r>
      <w:r w:rsidR="00FF5019" w:rsidRPr="006B313A">
        <w:t>Tamra</w:t>
      </w:r>
      <w:r w:rsidR="00FF5019">
        <w:t>’s</w:t>
      </w:r>
      <w:r w:rsidR="00F80880" w:rsidRPr="006B313A">
        <w:t xml:space="preserve"> choices </w:t>
      </w:r>
      <w:r w:rsidR="006939D7" w:rsidRPr="006B313A">
        <w:t xml:space="preserve">were investigated drawing on the </w:t>
      </w:r>
      <w:r w:rsidR="00104874" w:rsidRPr="006B313A">
        <w:t xml:space="preserve">notion of </w:t>
      </w:r>
      <w:r w:rsidR="006939D7" w:rsidRPr="006B313A">
        <w:t>professional obligations.</w:t>
      </w:r>
    </w:p>
    <w:p w14:paraId="428AAFAD" w14:textId="6D9B1E3C" w:rsidR="00C4488B" w:rsidRPr="006B313A" w:rsidRDefault="00C4488B" w:rsidP="006939D7">
      <w:r w:rsidRPr="006B313A">
        <w:t xml:space="preserve">In the commognitive </w:t>
      </w:r>
      <w:proofErr w:type="spellStart"/>
      <w:r w:rsidRPr="006B313A">
        <w:t>theoretisation</w:t>
      </w:r>
      <w:proofErr w:type="spellEnd"/>
      <w:r w:rsidRPr="006B313A">
        <w:t xml:space="preserve"> of Anna </w:t>
      </w:r>
      <w:proofErr w:type="spellStart"/>
      <w:r w:rsidRPr="006B313A">
        <w:t>Sfard</w:t>
      </w:r>
      <w:proofErr w:type="spellEnd"/>
      <w:r w:rsidRPr="006B313A">
        <w:t xml:space="preserve"> (e.g., 2008; 2016), one component of the mathematical discourse is routines. Explorations are discursive routines that lead to the production of substantiated narratives (Lavie et al., 2019).</w:t>
      </w:r>
      <w:r w:rsidRPr="006B313A">
        <w:rPr>
          <w:color w:val="000000"/>
          <w:sz w:val="22"/>
          <w:szCs w:val="22"/>
        </w:rPr>
        <w:t xml:space="preserve"> </w:t>
      </w:r>
      <w:r w:rsidRPr="006B313A">
        <w:t>Rituals, on the other hand consist largely of “imitating someone else’s former performance” (</w:t>
      </w:r>
      <w:proofErr w:type="spellStart"/>
      <w:r w:rsidRPr="006B313A">
        <w:t>Nachlieli</w:t>
      </w:r>
      <w:proofErr w:type="spellEnd"/>
      <w:r w:rsidRPr="006B313A">
        <w:t xml:space="preserve"> &amp; </w:t>
      </w:r>
      <w:proofErr w:type="spellStart"/>
      <w:r w:rsidRPr="006B313A">
        <w:t>Tabach</w:t>
      </w:r>
      <w:proofErr w:type="spellEnd"/>
      <w:r w:rsidRPr="006B313A">
        <w:t>, 2019, p. 255) “for the sake of social rewards or in an attempt to avoid a punishment” (Lavie et al., 2019, p. 166).</w:t>
      </w:r>
    </w:p>
    <w:p w14:paraId="0FD4D5BF" w14:textId="345C033E" w:rsidR="00C4488B" w:rsidRPr="006B313A" w:rsidRDefault="00C4488B" w:rsidP="009670A0">
      <w:r w:rsidRPr="006B313A">
        <w:t xml:space="preserve">What is a ritual to one learner, may be an exploration to another, though an observer is unable to tell the difference (Lavie et al., 2019). </w:t>
      </w:r>
      <w:r w:rsidR="00544115" w:rsidRPr="006B313A">
        <w:t xml:space="preserve">This makes the concepts inapplicable </w:t>
      </w:r>
      <w:r w:rsidR="00544115" w:rsidRPr="006B313A">
        <w:lastRenderedPageBreak/>
        <w:t xml:space="preserve">for </w:t>
      </w:r>
      <w:r w:rsidR="00DD39FD" w:rsidRPr="006B313A">
        <w:t>analysing</w:t>
      </w:r>
      <w:r w:rsidR="00544115" w:rsidRPr="006B313A">
        <w:t xml:space="preserve"> classroom activities, and </w:t>
      </w:r>
      <w:proofErr w:type="gramStart"/>
      <w:r w:rsidR="00544115" w:rsidRPr="006B313A">
        <w:t>in particular for</w:t>
      </w:r>
      <w:proofErr w:type="gramEnd"/>
      <w:r w:rsidR="00544115" w:rsidRPr="006B313A">
        <w:t xml:space="preserve"> </w:t>
      </w:r>
      <w:r w:rsidR="00DD39FD" w:rsidRPr="006B313A">
        <w:t>analysing</w:t>
      </w:r>
      <w:r w:rsidR="00544115" w:rsidRPr="006B313A">
        <w:t xml:space="preserve"> teaching. Instead, the </w:t>
      </w:r>
      <w:r w:rsidR="00544115" w:rsidRPr="006B313A">
        <w:rPr>
          <w:i/>
          <w:iCs/>
        </w:rPr>
        <w:t>opportunities</w:t>
      </w:r>
      <w:r w:rsidR="00952D4A" w:rsidRPr="006B313A">
        <w:rPr>
          <w:i/>
          <w:iCs/>
        </w:rPr>
        <w:t xml:space="preserve"> to learn </w:t>
      </w:r>
      <w:r w:rsidR="00952D4A" w:rsidRPr="006B313A">
        <w:t>(OTL)</w:t>
      </w:r>
      <w:r w:rsidR="00DD39FD">
        <w:t xml:space="preserve"> – </w:t>
      </w:r>
      <w:r w:rsidR="00544115" w:rsidRPr="006B313A">
        <w:t xml:space="preserve">to engage in rituals or explorations </w:t>
      </w:r>
      <w:r w:rsidR="007C3977" w:rsidRPr="006B313A">
        <w:t>made available</w:t>
      </w:r>
      <w:r w:rsidR="00544115" w:rsidRPr="006B313A">
        <w:t xml:space="preserve"> </w:t>
      </w:r>
      <w:r w:rsidR="007C3977" w:rsidRPr="006B313A">
        <w:t>through</w:t>
      </w:r>
      <w:r w:rsidR="00544115" w:rsidRPr="006B313A">
        <w:t xml:space="preserve"> the teaching</w:t>
      </w:r>
      <w:r w:rsidR="00DD39FD">
        <w:t xml:space="preserve"> – </w:t>
      </w:r>
      <w:r w:rsidR="00544115" w:rsidRPr="006B313A">
        <w:t xml:space="preserve">can be considered, </w:t>
      </w:r>
      <w:proofErr w:type="spellStart"/>
      <w:r w:rsidR="00544115" w:rsidRPr="006B313A">
        <w:t>Nachlieli</w:t>
      </w:r>
      <w:proofErr w:type="spellEnd"/>
      <w:r w:rsidR="00544115" w:rsidRPr="006B313A">
        <w:t xml:space="preserve"> and </w:t>
      </w:r>
      <w:proofErr w:type="spellStart"/>
      <w:r w:rsidR="00544115" w:rsidRPr="006B313A">
        <w:t>Tabach</w:t>
      </w:r>
      <w:proofErr w:type="spellEnd"/>
      <w:r w:rsidR="00544115" w:rsidRPr="006B313A">
        <w:t xml:space="preserve"> (2019) suggest. </w:t>
      </w:r>
      <w:r w:rsidRPr="006B313A">
        <w:t xml:space="preserve">Since learners may choose to engage in an exploration even if the relevant part of the lesson invites a ritual, </w:t>
      </w:r>
      <w:proofErr w:type="spellStart"/>
      <w:r w:rsidRPr="006B313A">
        <w:t>Nachlieli</w:t>
      </w:r>
      <w:proofErr w:type="spellEnd"/>
      <w:r w:rsidRPr="006B313A">
        <w:t xml:space="preserve"> and </w:t>
      </w:r>
      <w:proofErr w:type="spellStart"/>
      <w:r w:rsidRPr="006B313A">
        <w:t>Tabach</w:t>
      </w:r>
      <w:proofErr w:type="spellEnd"/>
      <w:r w:rsidRPr="006B313A">
        <w:t xml:space="preserve"> refer to such situations as </w:t>
      </w:r>
      <w:proofErr w:type="gramStart"/>
      <w:r w:rsidRPr="006B313A">
        <w:rPr>
          <w:i/>
          <w:iCs/>
        </w:rPr>
        <w:t>ritual-enabling</w:t>
      </w:r>
      <w:proofErr w:type="gramEnd"/>
      <w:r w:rsidRPr="006B313A">
        <w:rPr>
          <w:i/>
          <w:iCs/>
        </w:rPr>
        <w:t xml:space="preserve"> </w:t>
      </w:r>
      <w:r w:rsidR="00FE37F1" w:rsidRPr="006B313A">
        <w:rPr>
          <w:i/>
          <w:iCs/>
        </w:rPr>
        <w:t>OTLs</w:t>
      </w:r>
      <w:r w:rsidRPr="006B313A">
        <w:t>, defined as “teachers’ actions that provide students with tasks that could be successfully performed by rigid application of a procedure that had been previously learned.” (</w:t>
      </w:r>
      <w:proofErr w:type="spellStart"/>
      <w:r w:rsidRPr="006B313A">
        <w:t>Nachlieli</w:t>
      </w:r>
      <w:proofErr w:type="spellEnd"/>
      <w:r w:rsidRPr="006B313A">
        <w:t xml:space="preserve"> &amp; </w:t>
      </w:r>
      <w:proofErr w:type="spellStart"/>
      <w:r w:rsidRPr="006B313A">
        <w:t>Tabach</w:t>
      </w:r>
      <w:proofErr w:type="spellEnd"/>
      <w:r w:rsidRPr="006B313A">
        <w:t xml:space="preserve">, 2019, p. 257). If, on the other hand, learners are not provided with a ritual to imitate, the lesson would require them to engage in an exploration, wherefore it is referred to as an </w:t>
      </w:r>
      <w:proofErr w:type="gramStart"/>
      <w:r w:rsidRPr="006B313A">
        <w:rPr>
          <w:i/>
          <w:iCs/>
        </w:rPr>
        <w:t>exploration-requiring</w:t>
      </w:r>
      <w:proofErr w:type="gramEnd"/>
      <w:r w:rsidRPr="006B313A">
        <w:rPr>
          <w:i/>
          <w:iCs/>
        </w:rPr>
        <w:t xml:space="preserve"> </w:t>
      </w:r>
      <w:r w:rsidR="00FE37F1" w:rsidRPr="006B313A">
        <w:rPr>
          <w:i/>
          <w:iCs/>
        </w:rPr>
        <w:t>OTL</w:t>
      </w:r>
      <w:r w:rsidRPr="006B313A">
        <w:t>, defined as “teachers’ actions that provide students with tasks that could not be successfully solved by performing a ritual” (</w:t>
      </w:r>
      <w:proofErr w:type="spellStart"/>
      <w:r w:rsidR="004136F4" w:rsidRPr="006B313A">
        <w:t>Nachlieli</w:t>
      </w:r>
      <w:proofErr w:type="spellEnd"/>
      <w:r w:rsidR="004136F4" w:rsidRPr="006B313A">
        <w:t xml:space="preserve"> &amp; </w:t>
      </w:r>
      <w:proofErr w:type="spellStart"/>
      <w:r w:rsidR="004136F4" w:rsidRPr="006B313A">
        <w:t>Tabach</w:t>
      </w:r>
      <w:proofErr w:type="spellEnd"/>
      <w:r w:rsidR="004136F4" w:rsidRPr="006B313A">
        <w:t>, 2019, p. 257</w:t>
      </w:r>
      <w:r w:rsidRPr="006B313A">
        <w:t>).</w:t>
      </w:r>
    </w:p>
    <w:p w14:paraId="583964A7" w14:textId="0F320618" w:rsidR="00544115" w:rsidRPr="006B313A" w:rsidRDefault="00EE2424" w:rsidP="00544115">
      <w:r w:rsidRPr="006B313A">
        <w:t>L</w:t>
      </w:r>
      <w:r w:rsidR="00544115" w:rsidRPr="006B313A">
        <w:t xml:space="preserve">earners often </w:t>
      </w:r>
      <w:proofErr w:type="gramStart"/>
      <w:r w:rsidR="00544115" w:rsidRPr="006B313A">
        <w:t>have to</w:t>
      </w:r>
      <w:proofErr w:type="gramEnd"/>
      <w:r w:rsidR="00544115" w:rsidRPr="006B313A">
        <w:t xml:space="preserve"> learn a routine as a ritual and gradually move from imitating the routine to focusing on how to reach the desired outcome, </w:t>
      </w:r>
      <w:r w:rsidR="008444EF">
        <w:t>that is</w:t>
      </w:r>
      <w:r w:rsidR="00343E58" w:rsidRPr="006B313A">
        <w:t>,</w:t>
      </w:r>
      <w:r w:rsidR="00544115" w:rsidRPr="006B313A">
        <w:t xml:space="preserve"> treating the routine as a narrative</w:t>
      </w:r>
      <w:r w:rsidR="00343E58" w:rsidRPr="006B313A">
        <w:t>;</w:t>
      </w:r>
      <w:r w:rsidR="00544115" w:rsidRPr="006B313A">
        <w:t xml:space="preserve"> this process is referred to as </w:t>
      </w:r>
      <w:proofErr w:type="spellStart"/>
      <w:r w:rsidR="00544115" w:rsidRPr="006B313A">
        <w:t>deritualisation</w:t>
      </w:r>
      <w:proofErr w:type="spellEnd"/>
      <w:r w:rsidR="00544115" w:rsidRPr="006B313A">
        <w:t xml:space="preserve"> (Lavie et al., 2019, in passim). This shift in discourse happens when learners take part in the discourse while exerting effort to shift attention to the outcomes of the routine (</w:t>
      </w:r>
      <w:proofErr w:type="spellStart"/>
      <w:r w:rsidR="00544115" w:rsidRPr="006B313A">
        <w:t>Sfard</w:t>
      </w:r>
      <w:proofErr w:type="spellEnd"/>
      <w:r w:rsidR="00544115" w:rsidRPr="006B313A">
        <w:t xml:space="preserve">, 2020). </w:t>
      </w:r>
      <w:proofErr w:type="spellStart"/>
      <w:r w:rsidR="00544115" w:rsidRPr="006B313A">
        <w:t>Deritualisation</w:t>
      </w:r>
      <w:proofErr w:type="spellEnd"/>
      <w:r w:rsidR="00544115" w:rsidRPr="006B313A">
        <w:t xml:space="preserve"> is characterised by increased flexibility, bondedness, applicability, performer </w:t>
      </w:r>
      <w:proofErr w:type="spellStart"/>
      <w:r w:rsidR="00544115" w:rsidRPr="006B313A">
        <w:t>agentivity</w:t>
      </w:r>
      <w:proofErr w:type="spellEnd"/>
      <w:r w:rsidR="00544115" w:rsidRPr="006B313A">
        <w:t xml:space="preserve">, objectification, and </w:t>
      </w:r>
      <w:proofErr w:type="spellStart"/>
      <w:r w:rsidR="00544115" w:rsidRPr="006B313A">
        <w:t>substantiability</w:t>
      </w:r>
      <w:proofErr w:type="spellEnd"/>
      <w:r w:rsidR="00544115" w:rsidRPr="006B313A">
        <w:t xml:space="preserve"> (Lavie et al., 2018).</w:t>
      </w:r>
    </w:p>
    <w:p w14:paraId="3FDDA5DB" w14:textId="71C32B0D" w:rsidR="00544115" w:rsidRPr="006B313A" w:rsidRDefault="00F64500" w:rsidP="00544115">
      <w:r w:rsidRPr="006B313A">
        <w:t xml:space="preserve">In the analysis </w:t>
      </w:r>
      <w:r w:rsidR="00E915DB" w:rsidRPr="006B313A">
        <w:t xml:space="preserve">of </w:t>
      </w:r>
      <w:r w:rsidR="00E23319" w:rsidRPr="006B313A">
        <w:t>Tamra</w:t>
      </w:r>
      <w:r w:rsidR="00E915DB" w:rsidRPr="006B313A">
        <w:t>’s lesson</w:t>
      </w:r>
      <w:r w:rsidRPr="006B313A">
        <w:t>, I focuse</w:t>
      </w:r>
      <w:r w:rsidR="00B75EB5" w:rsidRPr="006B313A">
        <w:t>d on the three latter of the</w:t>
      </w:r>
      <w:r w:rsidR="00D8459F" w:rsidRPr="006B313A">
        <w:t xml:space="preserve"> characteristics of </w:t>
      </w:r>
      <w:proofErr w:type="spellStart"/>
      <w:r w:rsidR="00D8459F" w:rsidRPr="006B313A">
        <w:t>deritualisation</w:t>
      </w:r>
      <w:proofErr w:type="spellEnd"/>
      <w:r w:rsidR="00B75EB5" w:rsidRPr="006B313A">
        <w:t xml:space="preserve">, from a teaching perspective. This means that </w:t>
      </w:r>
      <w:r w:rsidR="005F3DBA" w:rsidRPr="006B313A">
        <w:t xml:space="preserve">instead of focusing on the characteristics of </w:t>
      </w:r>
      <w:proofErr w:type="spellStart"/>
      <w:r w:rsidR="005F3DBA" w:rsidRPr="006B313A">
        <w:t>deritualisation</w:t>
      </w:r>
      <w:proofErr w:type="spellEnd"/>
      <w:r w:rsidR="005F3DBA" w:rsidRPr="006B313A">
        <w:t xml:space="preserve"> evident in the discourse of the learne</w:t>
      </w:r>
      <w:r w:rsidR="00FD65A6" w:rsidRPr="006B313A">
        <w:t>r</w:t>
      </w:r>
      <w:r w:rsidR="005F3DBA" w:rsidRPr="006B313A">
        <w:t xml:space="preserve">s, I </w:t>
      </w:r>
      <w:r w:rsidR="00B75EB5" w:rsidRPr="006B313A">
        <w:t xml:space="preserve">analysed </w:t>
      </w:r>
      <w:r w:rsidR="00E23319" w:rsidRPr="006B313A">
        <w:t>Tamra</w:t>
      </w:r>
      <w:r w:rsidR="00B75EB5" w:rsidRPr="006B313A">
        <w:t xml:space="preserve">’s interactions with the learners for invitations for learner </w:t>
      </w:r>
      <w:proofErr w:type="spellStart"/>
      <w:r w:rsidR="00B75EB5" w:rsidRPr="006B313A">
        <w:t>agentivity</w:t>
      </w:r>
      <w:proofErr w:type="spellEnd"/>
      <w:r w:rsidR="00B75EB5" w:rsidRPr="006B313A">
        <w:t xml:space="preserve"> and </w:t>
      </w:r>
      <w:proofErr w:type="spellStart"/>
      <w:r w:rsidR="00B75EB5" w:rsidRPr="006B313A">
        <w:t>substantiability</w:t>
      </w:r>
      <w:proofErr w:type="spellEnd"/>
      <w:r w:rsidR="00B75EB5" w:rsidRPr="006B313A">
        <w:t>, as well as the extent to which her discourse utili</w:t>
      </w:r>
      <w:r w:rsidR="004E7FB5">
        <w:t>s</w:t>
      </w:r>
      <w:r w:rsidR="00B75EB5" w:rsidRPr="006B313A">
        <w:t>ed mathematical objects.</w:t>
      </w:r>
      <w:r w:rsidR="007F5F5B" w:rsidRPr="006B313A">
        <w:t xml:space="preserve"> This allowed me to determine the extent to which </w:t>
      </w:r>
      <w:r w:rsidR="00E23319" w:rsidRPr="006B313A">
        <w:t>Tamra</w:t>
      </w:r>
      <w:r w:rsidR="007F5F5B" w:rsidRPr="006B313A">
        <w:t xml:space="preserve"> implement</w:t>
      </w:r>
      <w:r w:rsidR="00BF3D5F" w:rsidRPr="006B313A">
        <w:t>ed</w:t>
      </w:r>
      <w:r w:rsidR="007F5F5B" w:rsidRPr="006B313A">
        <w:t xml:space="preserve"> an </w:t>
      </w:r>
      <w:proofErr w:type="gramStart"/>
      <w:r w:rsidR="007F5F5B" w:rsidRPr="006B313A">
        <w:t>exploration-requiring</w:t>
      </w:r>
      <w:proofErr w:type="gramEnd"/>
      <w:r w:rsidR="007F5F5B" w:rsidRPr="006B313A">
        <w:t xml:space="preserve"> </w:t>
      </w:r>
      <w:r w:rsidR="00E2288A" w:rsidRPr="006B313A">
        <w:t>OTL</w:t>
      </w:r>
      <w:r w:rsidR="008014F0" w:rsidRPr="006B313A">
        <w:t xml:space="preserve"> (</w:t>
      </w:r>
      <w:r w:rsidR="00502768">
        <w:t>s</w:t>
      </w:r>
      <w:r w:rsidR="008014F0" w:rsidRPr="006B313A">
        <w:t>ee C</w:t>
      </w:r>
      <w:r w:rsidR="001C698D" w:rsidRPr="006B313A">
        <w:t>hristiansen et al., 2023</w:t>
      </w:r>
      <w:r w:rsidR="00B27568" w:rsidRPr="006B313A">
        <w:t xml:space="preserve"> for details on this approach</w:t>
      </w:r>
      <w:r w:rsidR="001C698D" w:rsidRPr="006B313A">
        <w:t>)</w:t>
      </w:r>
      <w:r w:rsidR="00502768">
        <w:t>.</w:t>
      </w:r>
    </w:p>
    <w:p w14:paraId="487D3DDA" w14:textId="3D7CD682" w:rsidR="00451D29" w:rsidRPr="006B313A" w:rsidRDefault="00176D10" w:rsidP="00FB1657">
      <w:r w:rsidRPr="006B313A">
        <w:t>T</w:t>
      </w:r>
      <w:r w:rsidR="00AD1D69" w:rsidRPr="006B313A">
        <w:t>h</w:t>
      </w:r>
      <w:r w:rsidR="004169E1" w:rsidRPr="006B313A">
        <w:t xml:space="preserve">e analysis of Tamra’s </w:t>
      </w:r>
      <w:r w:rsidR="004A2162" w:rsidRPr="006B313A">
        <w:t xml:space="preserve">lesson </w:t>
      </w:r>
      <w:r w:rsidR="00AD1D69" w:rsidRPr="006B313A">
        <w:t xml:space="preserve">served as a backdrop </w:t>
      </w:r>
      <w:r w:rsidR="00206897" w:rsidRPr="006B313A">
        <w:t xml:space="preserve">for </w:t>
      </w:r>
      <w:r w:rsidR="004E44A2" w:rsidRPr="006B313A">
        <w:t>identifying</w:t>
      </w:r>
      <w:r w:rsidR="00AD1D69" w:rsidRPr="006B313A">
        <w:t xml:space="preserve"> the choices </w:t>
      </w:r>
      <w:r w:rsidR="00502768">
        <w:t>she</w:t>
      </w:r>
      <w:r w:rsidR="00502768" w:rsidRPr="006B313A">
        <w:t xml:space="preserve"> </w:t>
      </w:r>
      <w:r w:rsidR="004E44A2" w:rsidRPr="006B313A">
        <w:t xml:space="preserve">made as the lesson progressed </w:t>
      </w:r>
      <w:r w:rsidR="00AD1D69" w:rsidRPr="006B313A">
        <w:t>and what informed them. For this purpose</w:t>
      </w:r>
      <w:r w:rsidR="00E915DB" w:rsidRPr="006B313A">
        <w:t xml:space="preserve">, interviews with </w:t>
      </w:r>
      <w:r w:rsidR="00E23319" w:rsidRPr="006B313A">
        <w:t>Tamra</w:t>
      </w:r>
      <w:r w:rsidR="00E915DB" w:rsidRPr="006B313A">
        <w:t xml:space="preserve"> were analysed for references to professional obligations</w:t>
      </w:r>
      <w:r w:rsidR="00D54D74" w:rsidRPr="006B313A">
        <w:t>.</w:t>
      </w:r>
      <w:r w:rsidR="00FB1657">
        <w:t xml:space="preserve"> </w:t>
      </w:r>
      <w:r w:rsidR="00D54D74" w:rsidRPr="006B313A">
        <w:t>Professional obligations are generated by the “hold of the environment on the position of the teacher” and Herbst and Chazan (2011; 2012) categorise</w:t>
      </w:r>
      <w:r w:rsidR="00F556C6">
        <w:t xml:space="preserve"> the</w:t>
      </w:r>
      <w:r w:rsidR="0069467C">
        <w:t xml:space="preserve">se </w:t>
      </w:r>
      <w:r w:rsidR="00D54D74" w:rsidRPr="006B313A">
        <w:t xml:space="preserve">according to their source: the </w:t>
      </w:r>
      <w:r w:rsidR="006441A7" w:rsidRPr="006B313A">
        <w:t xml:space="preserve">individual </w:t>
      </w:r>
      <w:r w:rsidR="00D54D74" w:rsidRPr="006B313A">
        <w:t xml:space="preserve">learner, the </w:t>
      </w:r>
      <w:r w:rsidR="006441A7" w:rsidRPr="006B313A">
        <w:t xml:space="preserve">socio-cultural </w:t>
      </w:r>
      <w:r w:rsidR="008B688A" w:rsidRPr="006B313A">
        <w:t>world</w:t>
      </w:r>
      <w:r w:rsidR="00D54D74" w:rsidRPr="006B313A">
        <w:t xml:space="preserve">, the institution, </w:t>
      </w:r>
      <w:r w:rsidR="008B688A" w:rsidRPr="006B313A">
        <w:t xml:space="preserve">and </w:t>
      </w:r>
      <w:r w:rsidR="00D54D74" w:rsidRPr="006B313A">
        <w:t>the discipline. The obligations shape the teacher</w:t>
      </w:r>
      <w:r w:rsidR="000E1166">
        <w:t>–</w:t>
      </w:r>
      <w:r w:rsidR="00D54D74" w:rsidRPr="006B313A">
        <w:t>learner relationship and operate on the norms of the teaching.</w:t>
      </w:r>
    </w:p>
    <w:p w14:paraId="1EADCCB6" w14:textId="7F408954" w:rsidR="00451D29" w:rsidRPr="006B313A" w:rsidRDefault="00451D29" w:rsidP="00451D29">
      <w:r w:rsidRPr="006B313A">
        <w:t>The teacher</w:t>
      </w:r>
      <w:r w:rsidR="000E1166">
        <w:t>–</w:t>
      </w:r>
      <w:r w:rsidRPr="006B313A">
        <w:t xml:space="preserve">learner relationship exists because the learners must acquire knowledge which the teacher has (or, within a participatory view on learning, because the learners are expected to increase their participation in the discourse of which the teacher is a more adept participant). But since this learning may not happen, the knowledge is “at stake” (Herbst &amp; Chazan, 2011; 2012). The teacher must enable learners’ mathematical work that can be “exchanged” for the knowledge at stake. Often, a particular norm has been established for the mathematics teaching in each classroom, and changing this norm requires renewed negotiation of practices and relationships. However, it is also </w:t>
      </w:r>
      <w:r w:rsidR="003474E1">
        <w:lastRenderedPageBreak/>
        <w:t>subject to</w:t>
      </w:r>
      <w:r w:rsidRPr="006B313A">
        <w:t xml:space="preserve"> the constraints of the institution, the curriculum</w:t>
      </w:r>
      <w:r w:rsidR="00A607AE">
        <w:t>,</w:t>
      </w:r>
      <w:r w:rsidRPr="006B313A">
        <w:t xml:space="preserve"> and mathematics itself. Therefore, negotiating the norms of the classroom takes place not just between teacher and learners but in relation to the professional obligations.</w:t>
      </w:r>
    </w:p>
    <w:p w14:paraId="50DCF54C" w14:textId="14A92BC8" w:rsidR="008679DD" w:rsidRPr="006B313A" w:rsidRDefault="00661D1D" w:rsidP="00451D29">
      <w:r w:rsidRPr="006B313A">
        <w:t xml:space="preserve">Obligations linked to </w:t>
      </w:r>
      <w:r w:rsidRPr="006B313A">
        <w:rPr>
          <w:i/>
          <w:iCs/>
        </w:rPr>
        <w:t>individual</w:t>
      </w:r>
      <w:r w:rsidRPr="006B313A">
        <w:t xml:space="preserve"> learners </w:t>
      </w:r>
      <w:r w:rsidR="0085216A" w:rsidRPr="006B313A">
        <w:t>can</w:t>
      </w:r>
      <w:r w:rsidR="008F245C">
        <w:t>,</w:t>
      </w:r>
      <w:r w:rsidR="0085216A" w:rsidRPr="006B313A">
        <w:t xml:space="preserve"> for instance</w:t>
      </w:r>
      <w:r w:rsidR="008F245C">
        <w:t>,</w:t>
      </w:r>
      <w:r w:rsidR="0085216A" w:rsidRPr="006B313A">
        <w:t xml:space="preserve"> be to consider the </w:t>
      </w:r>
      <w:r w:rsidR="004754E0" w:rsidRPr="006B313A">
        <w:t>unique strengths and needs of each learner, even as these are</w:t>
      </w:r>
      <w:r w:rsidR="00391737" w:rsidRPr="006B313A">
        <w:t xml:space="preserve"> represented by their </w:t>
      </w:r>
      <w:r w:rsidR="0002138E" w:rsidRPr="006B313A">
        <w:t xml:space="preserve">legal guardians (Herbst &amp; Chazan, 2012; </w:t>
      </w:r>
      <w:r w:rsidR="00F44CE8" w:rsidRPr="006B313A">
        <w:t>Schultz, 2022).</w:t>
      </w:r>
      <w:r w:rsidR="00DC4080" w:rsidRPr="006B313A">
        <w:t xml:space="preserve"> The teacher is also expected to represent the </w:t>
      </w:r>
      <w:r w:rsidR="00DC4080" w:rsidRPr="006B313A">
        <w:rPr>
          <w:i/>
          <w:iCs/>
        </w:rPr>
        <w:t>discipline</w:t>
      </w:r>
      <w:r w:rsidR="00DC4080" w:rsidRPr="006B313A">
        <w:t xml:space="preserve"> as </w:t>
      </w:r>
      <w:r w:rsidR="008E1AA9" w:rsidRPr="006B313A">
        <w:t xml:space="preserve">it is understood in the institutions of society. </w:t>
      </w:r>
      <w:r w:rsidR="00F118C4" w:rsidRPr="006B313A">
        <w:t xml:space="preserve">Teaching </w:t>
      </w:r>
      <w:r w:rsidR="00B04E3B" w:rsidRPr="006B313A">
        <w:t xml:space="preserve">is always taking place within a broader socio-cultural context with values, </w:t>
      </w:r>
      <w:r w:rsidR="00C11F88" w:rsidRPr="006B313A">
        <w:t>norms,</w:t>
      </w:r>
      <w:r w:rsidR="004D6183" w:rsidRPr="006B313A">
        <w:t xml:space="preserve"> and practices, and this constitutes </w:t>
      </w:r>
      <w:r w:rsidR="004D6183" w:rsidRPr="006B313A">
        <w:rPr>
          <w:i/>
          <w:iCs/>
        </w:rPr>
        <w:t>interpersonal</w:t>
      </w:r>
      <w:r w:rsidR="004D6183" w:rsidRPr="006B313A">
        <w:t xml:space="preserve"> obligations </w:t>
      </w:r>
      <w:r w:rsidR="006E7A16" w:rsidRPr="006B313A">
        <w:t xml:space="preserve">to create a socio-culturally appropriate classroom environment (Herbst &amp; Chazan, 2012; Schultz, 2022). Finally, </w:t>
      </w:r>
      <w:r w:rsidR="000D76BC" w:rsidRPr="006B313A">
        <w:t xml:space="preserve">there are </w:t>
      </w:r>
      <w:r w:rsidR="00F50BEB" w:rsidRPr="006B313A">
        <w:rPr>
          <w:i/>
          <w:iCs/>
        </w:rPr>
        <w:t>institutional</w:t>
      </w:r>
      <w:r w:rsidR="00F50BEB" w:rsidRPr="006B313A">
        <w:t xml:space="preserve"> obligations on teachers from curricula, policies, </w:t>
      </w:r>
      <w:r w:rsidR="00725D5A" w:rsidRPr="006B313A">
        <w:t>school rules</w:t>
      </w:r>
      <w:r w:rsidR="00D62EAB">
        <w:t>,</w:t>
      </w:r>
      <w:r w:rsidR="00725D5A" w:rsidRPr="006B313A">
        <w:t xml:space="preserve"> etc.</w:t>
      </w:r>
      <w:r w:rsidR="00A14CF4" w:rsidRPr="006B313A">
        <w:t>, which include fixed lesson times, rules about use of space, and so forth.</w:t>
      </w:r>
    </w:p>
    <w:p w14:paraId="68A9484F" w14:textId="2B509D18" w:rsidR="00DD3973" w:rsidRPr="006B313A" w:rsidRDefault="00960725" w:rsidP="00297292">
      <w:pPr>
        <w:pStyle w:val="Heading2"/>
      </w:pPr>
      <w:r w:rsidRPr="006B313A">
        <w:t>Methods</w:t>
      </w:r>
    </w:p>
    <w:p w14:paraId="4FBC128E" w14:textId="38703E1E" w:rsidR="00960725" w:rsidRPr="006B313A" w:rsidRDefault="00E23319" w:rsidP="003473E6">
      <w:pPr>
        <w:pStyle w:val="BodyText"/>
      </w:pPr>
      <w:r w:rsidRPr="006B313A">
        <w:t>Tamra</w:t>
      </w:r>
      <w:r w:rsidR="00960725" w:rsidRPr="006B313A">
        <w:t xml:space="preserve"> is a participant in the Swedish TRACE project which follows novice mathematics teachers in the first years of their profession. </w:t>
      </w:r>
      <w:r w:rsidR="00B9044A" w:rsidRPr="006B313A">
        <w:t xml:space="preserve">In the project, </w:t>
      </w:r>
      <w:r w:rsidR="006F2137" w:rsidRPr="006B313A">
        <w:t>eleven</w:t>
      </w:r>
      <w:r w:rsidR="00960725" w:rsidRPr="006B313A">
        <w:t xml:space="preserve"> of her lessons</w:t>
      </w:r>
      <w:r w:rsidR="00B9044A" w:rsidRPr="006B313A">
        <w:t xml:space="preserve"> </w:t>
      </w:r>
      <w:r w:rsidR="00B550D4">
        <w:t xml:space="preserve">were </w:t>
      </w:r>
      <w:r w:rsidR="00B9044A" w:rsidRPr="006B313A">
        <w:t>video-recorded</w:t>
      </w:r>
      <w:r w:rsidR="00960725" w:rsidRPr="006B313A">
        <w:t>, starting from two lesson</w:t>
      </w:r>
      <w:r w:rsidR="008C6265" w:rsidRPr="006B313A">
        <w:t>s during her teaching practice</w:t>
      </w:r>
      <w:r w:rsidR="008F7A86" w:rsidRPr="006B313A">
        <w:t xml:space="preserve"> in 2018</w:t>
      </w:r>
      <w:r w:rsidR="008C6265" w:rsidRPr="006B313A">
        <w:t xml:space="preserve">, </w:t>
      </w:r>
      <w:r w:rsidR="00B611F8" w:rsidRPr="006B313A">
        <w:t>and biannually with a one</w:t>
      </w:r>
      <w:r w:rsidR="00DF2F33" w:rsidRPr="006B313A">
        <w:t>-</w:t>
      </w:r>
      <w:r w:rsidR="00B611F8" w:rsidRPr="006B313A">
        <w:t>year interruption due to</w:t>
      </w:r>
      <w:r w:rsidR="008C6265" w:rsidRPr="006B313A">
        <w:t xml:space="preserve"> Covid-19 restrictions</w:t>
      </w:r>
      <w:r w:rsidR="00B611F8" w:rsidRPr="006B313A">
        <w:t>, until May of 2022</w:t>
      </w:r>
      <w:r w:rsidR="00960725" w:rsidRPr="006B313A">
        <w:t xml:space="preserve">. </w:t>
      </w:r>
      <w:r w:rsidR="00000252">
        <w:t>F</w:t>
      </w:r>
      <w:r w:rsidR="00B85F4B" w:rsidRPr="006B313A">
        <w:t>ive</w:t>
      </w:r>
      <w:r w:rsidR="00960725" w:rsidRPr="006B313A">
        <w:t> </w:t>
      </w:r>
      <w:r w:rsidR="008C6265" w:rsidRPr="006B313A">
        <w:t xml:space="preserve">interviews with </w:t>
      </w:r>
      <w:r w:rsidRPr="006B313A">
        <w:t>Tamra</w:t>
      </w:r>
      <w:r w:rsidR="00000252">
        <w:t xml:space="preserve"> were conducted</w:t>
      </w:r>
      <w:r w:rsidR="00D744CC">
        <w:t>:</w:t>
      </w:r>
      <w:r w:rsidR="00960725" w:rsidRPr="006B313A">
        <w:t xml:space="preserve"> </w:t>
      </w:r>
      <w:r w:rsidR="008C6265" w:rsidRPr="006B313A">
        <w:t>one about her impressions of her teacher education, three about a sequence of lessons observed</w:t>
      </w:r>
      <w:r w:rsidR="00B85F4B" w:rsidRPr="006B313A">
        <w:t xml:space="preserve">, and one looking back </w:t>
      </w:r>
      <w:r w:rsidR="005B5C2C" w:rsidRPr="006B313A">
        <w:t>over the period and her development</w:t>
      </w:r>
      <w:r w:rsidR="00960725" w:rsidRPr="006B313A">
        <w:t xml:space="preserve">. Lessons were video-recorded with a focus on </w:t>
      </w:r>
      <w:r w:rsidRPr="006B313A">
        <w:t>Tamra</w:t>
      </w:r>
      <w:r w:rsidR="00960725" w:rsidRPr="006B313A">
        <w:t>’s, not learners’ activity</w:t>
      </w:r>
      <w:r w:rsidR="008C6265" w:rsidRPr="006B313A">
        <w:t xml:space="preserve">, </w:t>
      </w:r>
      <w:r w:rsidR="00C55AB6">
        <w:t>and</w:t>
      </w:r>
      <w:r w:rsidR="00C55AB6" w:rsidRPr="006B313A">
        <w:t xml:space="preserve"> </w:t>
      </w:r>
      <w:r w:rsidR="008C6265" w:rsidRPr="006B313A">
        <w:t>interviews were audio-recorded</w:t>
      </w:r>
      <w:r w:rsidR="00960725" w:rsidRPr="006B313A">
        <w:t>.</w:t>
      </w:r>
      <w:r w:rsidR="00F03F9E" w:rsidRPr="006B313A">
        <w:t xml:space="preserve"> This study discusses Tamra’s first </w:t>
      </w:r>
      <w:r w:rsidR="009A77CA" w:rsidRPr="006B313A">
        <w:t>experiment</w:t>
      </w:r>
      <w:r w:rsidR="00F03F9E" w:rsidRPr="006B313A">
        <w:t xml:space="preserve"> with a</w:t>
      </w:r>
      <w:r w:rsidR="009A77CA" w:rsidRPr="006B313A">
        <w:t xml:space="preserve">n </w:t>
      </w:r>
      <w:proofErr w:type="gramStart"/>
      <w:r w:rsidR="009A77CA" w:rsidRPr="006B313A">
        <w:t>exploration-enabling</w:t>
      </w:r>
      <w:proofErr w:type="gramEnd"/>
      <w:r w:rsidR="009A77CA" w:rsidRPr="006B313A">
        <w:t xml:space="preserve"> OTL, a lesson on prime numbers</w:t>
      </w:r>
      <w:r w:rsidR="00CC5987" w:rsidRPr="006B313A">
        <w:t>.</w:t>
      </w:r>
    </w:p>
    <w:p w14:paraId="740E1DE5" w14:textId="2B1D6374" w:rsidR="00B75EB5" w:rsidRPr="006B313A" w:rsidRDefault="0073362B" w:rsidP="00960725">
      <w:r w:rsidRPr="006B313A">
        <w:t xml:space="preserve">For this study, I conducted two analyses. </w:t>
      </w:r>
      <w:r w:rsidR="008C6265" w:rsidRPr="006B313A">
        <w:t xml:space="preserve">The first analysis was of </w:t>
      </w:r>
      <w:r w:rsidR="009A77CA" w:rsidRPr="006B313A">
        <w:t>the lesson, and</w:t>
      </w:r>
      <w:r w:rsidR="008C6265" w:rsidRPr="006B313A">
        <w:t xml:space="preserve"> </w:t>
      </w:r>
      <w:r w:rsidR="0032501E" w:rsidRPr="006B313A">
        <w:t xml:space="preserve">it </w:t>
      </w:r>
      <w:r w:rsidR="008C6265" w:rsidRPr="006B313A">
        <w:t xml:space="preserve">allowed </w:t>
      </w:r>
      <w:r w:rsidR="00E915DB" w:rsidRPr="006B313A">
        <w:t>me</w:t>
      </w:r>
      <w:r w:rsidR="003C1484" w:rsidRPr="006B313A">
        <w:t xml:space="preserve"> to identify that the lesson m</w:t>
      </w:r>
      <w:r w:rsidR="008C6265" w:rsidRPr="006B313A">
        <w:t xml:space="preserve">oved from offering exploration-requiring </w:t>
      </w:r>
      <w:r w:rsidR="00E2288A" w:rsidRPr="006B313A">
        <w:t>OTL</w:t>
      </w:r>
      <w:r w:rsidR="00B314FF" w:rsidRPr="006B313A">
        <w:t>s</w:t>
      </w:r>
      <w:r w:rsidR="008C6265" w:rsidRPr="006B313A">
        <w:t xml:space="preserve">, in line with </w:t>
      </w:r>
      <w:r w:rsidR="00E23319" w:rsidRPr="006B313A">
        <w:t>Tamra</w:t>
      </w:r>
      <w:r w:rsidR="008C6265" w:rsidRPr="006B313A">
        <w:t xml:space="preserve">’s intentions, to offering ritual-enabling </w:t>
      </w:r>
      <w:r w:rsidR="00B314FF" w:rsidRPr="006B313A">
        <w:t>OTLs</w:t>
      </w:r>
      <w:r w:rsidR="008C6265" w:rsidRPr="006B313A">
        <w:t xml:space="preserve">. The lesson was first </w:t>
      </w:r>
      <w:r w:rsidR="00960725" w:rsidRPr="006B313A">
        <w:t>divided into units of analysis</w:t>
      </w:r>
      <w:r w:rsidR="008C6265" w:rsidRPr="006B313A">
        <w:t xml:space="preserve">, </w:t>
      </w:r>
      <w:r w:rsidR="00000252">
        <w:t>where each</w:t>
      </w:r>
      <w:r w:rsidR="008C6265" w:rsidRPr="006B313A">
        <w:t xml:space="preserve"> unit start</w:t>
      </w:r>
      <w:r w:rsidR="00537BA1">
        <w:t>ed with</w:t>
      </w:r>
      <w:r w:rsidR="008C6265" w:rsidRPr="006B313A">
        <w:t xml:space="preserve"> the initiation of a task by the teacher and ending </w:t>
      </w:r>
      <w:r w:rsidR="00537BA1">
        <w:t>with</w:t>
      </w:r>
      <w:r w:rsidR="00537BA1" w:rsidRPr="006B313A">
        <w:t xml:space="preserve"> </w:t>
      </w:r>
      <w:r w:rsidR="008C6265" w:rsidRPr="006B313A">
        <w:t xml:space="preserve">the closing of the task (following </w:t>
      </w:r>
      <w:proofErr w:type="spellStart"/>
      <w:r w:rsidR="00960725" w:rsidRPr="006B313A">
        <w:t>Nachlieli</w:t>
      </w:r>
      <w:proofErr w:type="spellEnd"/>
      <w:r w:rsidR="00960725" w:rsidRPr="006B313A">
        <w:t xml:space="preserve"> </w:t>
      </w:r>
      <w:r w:rsidR="008C6265" w:rsidRPr="006B313A">
        <w:t xml:space="preserve">&amp; </w:t>
      </w:r>
      <w:proofErr w:type="spellStart"/>
      <w:r w:rsidR="008C6265" w:rsidRPr="006B313A">
        <w:t>Tabach</w:t>
      </w:r>
      <w:proofErr w:type="spellEnd"/>
      <w:r w:rsidR="008C6265" w:rsidRPr="006B313A">
        <w:t xml:space="preserve">, </w:t>
      </w:r>
      <w:r w:rsidR="00960725" w:rsidRPr="006B313A">
        <w:t>2019)</w:t>
      </w:r>
      <w:r w:rsidR="00167AF9" w:rsidRPr="006B313A">
        <w:t xml:space="preserve">. Within these units, </w:t>
      </w:r>
      <w:r w:rsidR="00E23319" w:rsidRPr="006B313A">
        <w:t>Tamra</w:t>
      </w:r>
      <w:r w:rsidR="00167AF9" w:rsidRPr="006B313A">
        <w:t xml:space="preserve">’s utterances were coded for </w:t>
      </w:r>
      <w:r w:rsidR="00B75EB5" w:rsidRPr="006B313A">
        <w:t>three</w:t>
      </w:r>
      <w:r w:rsidR="00167AF9" w:rsidRPr="006B313A">
        <w:t xml:space="preserve"> indicators of exploration-enabling versus ritual-enabling </w:t>
      </w:r>
      <w:r w:rsidR="00B314FF" w:rsidRPr="006B313A">
        <w:t>OTLs</w:t>
      </w:r>
      <w:r w:rsidR="00167AF9" w:rsidRPr="006B313A">
        <w:t xml:space="preserve"> (following </w:t>
      </w:r>
      <w:r w:rsidR="000350F8" w:rsidRPr="006B313A">
        <w:t>Christiansen</w:t>
      </w:r>
      <w:r w:rsidR="00043EB6" w:rsidRPr="006B313A">
        <w:t xml:space="preserve"> et al., </w:t>
      </w:r>
      <w:r w:rsidR="000350F8" w:rsidRPr="006B313A">
        <w:t>2023</w:t>
      </w:r>
      <w:r w:rsidR="00043EB6" w:rsidRPr="006B313A">
        <w:t xml:space="preserve">). </w:t>
      </w:r>
      <w:r w:rsidR="001855C8">
        <w:t>Because</w:t>
      </w:r>
      <w:r w:rsidR="001855C8" w:rsidRPr="006B313A">
        <w:t xml:space="preserve"> </w:t>
      </w:r>
      <w:r w:rsidR="00B75EB5" w:rsidRPr="006B313A">
        <w:t xml:space="preserve">she generally referred to mathematical objects in her discourse, the analysis here focuses on the extent to which </w:t>
      </w:r>
      <w:r w:rsidR="00E23319" w:rsidRPr="006B313A">
        <w:t>Tamra</w:t>
      </w:r>
      <w:r w:rsidR="00B75EB5" w:rsidRPr="006B313A">
        <w:t xml:space="preserve"> invited learner </w:t>
      </w:r>
      <w:proofErr w:type="spellStart"/>
      <w:r w:rsidR="00FD65A6" w:rsidRPr="006B313A">
        <w:t>agentivity</w:t>
      </w:r>
      <w:proofErr w:type="spellEnd"/>
      <w:r w:rsidR="00B75EB5" w:rsidRPr="006B313A">
        <w:t xml:space="preserve"> and learner substantiations.</w:t>
      </w:r>
    </w:p>
    <w:p w14:paraId="052293FE" w14:textId="33CCCD9E" w:rsidR="00960725" w:rsidRPr="006B313A" w:rsidRDefault="00B9044A" w:rsidP="00960725">
      <w:r w:rsidRPr="006B313A">
        <w:t xml:space="preserve">I </w:t>
      </w:r>
      <w:r w:rsidR="00043EB6" w:rsidRPr="006B313A">
        <w:t xml:space="preserve">coded for overtures for learner agency by the openness of the teacher’s questions and invites for participation to learners (see also </w:t>
      </w:r>
      <w:proofErr w:type="spellStart"/>
      <w:r w:rsidR="00043EB6" w:rsidRPr="006B313A">
        <w:t>Sfard</w:t>
      </w:r>
      <w:proofErr w:type="spellEnd"/>
      <w:r w:rsidR="00043EB6" w:rsidRPr="006B313A">
        <w:t xml:space="preserve">, 2016). Invitations for substantiations were coded by </w:t>
      </w:r>
      <w:r w:rsidR="006F3613" w:rsidRPr="006B313A">
        <w:t>whether</w:t>
      </w:r>
      <w:r w:rsidR="00043EB6" w:rsidRPr="006B313A">
        <w:t xml:space="preserve"> </w:t>
      </w:r>
      <w:r w:rsidR="00E23319" w:rsidRPr="006B313A">
        <w:t>Tamra</w:t>
      </w:r>
      <w:r w:rsidR="00043EB6" w:rsidRPr="006B313A">
        <w:t xml:space="preserve"> encouraged learners to reproduce substantiations or follow steps of a procedure, </w:t>
      </w:r>
      <w:r w:rsidR="00000252">
        <w:t>alternatively</w:t>
      </w:r>
      <w:r w:rsidR="00043EB6" w:rsidRPr="006B313A">
        <w:t xml:space="preserve"> encouraged</w:t>
      </w:r>
      <w:r w:rsidR="00000252">
        <w:t xml:space="preserve"> them</w:t>
      </w:r>
      <w:r w:rsidR="00043EB6" w:rsidRPr="006B313A">
        <w:t xml:space="preserve"> to generate their own substantiations.</w:t>
      </w:r>
      <w:r w:rsidR="002519C3" w:rsidRPr="006B313A">
        <w:t xml:space="preserve"> Frequent overtures for learner </w:t>
      </w:r>
      <w:proofErr w:type="spellStart"/>
      <w:r w:rsidR="002519C3" w:rsidRPr="006B313A">
        <w:t>agentivity</w:t>
      </w:r>
      <w:proofErr w:type="spellEnd"/>
      <w:r w:rsidR="002519C3" w:rsidRPr="006B313A">
        <w:t xml:space="preserve"> combined with encouragement of learners’ own substantiations were </w:t>
      </w:r>
      <w:r w:rsidR="003177E9" w:rsidRPr="006B313A">
        <w:t xml:space="preserve">seen as indicative of exploration-requiring </w:t>
      </w:r>
      <w:r w:rsidR="00B314FF" w:rsidRPr="006B313A">
        <w:t>OTLs</w:t>
      </w:r>
      <w:r w:rsidR="003177E9" w:rsidRPr="006B313A">
        <w:t>, while the opposite</w:t>
      </w:r>
      <w:r w:rsidR="00BA489F" w:rsidRPr="006B313A">
        <w:t xml:space="preserve"> codes</w:t>
      </w:r>
      <w:r w:rsidR="003177E9" w:rsidRPr="006B313A">
        <w:t xml:space="preserve"> were seen as indicative of ritual-enabling </w:t>
      </w:r>
      <w:r w:rsidR="00B314FF" w:rsidRPr="006B313A">
        <w:t>OTLs</w:t>
      </w:r>
      <w:r w:rsidR="000B221C" w:rsidRPr="006B313A">
        <w:t xml:space="preserve"> (Christiansen et al., 2023 discuss</w:t>
      </w:r>
      <w:r w:rsidR="000B221C" w:rsidRPr="006B313A">
        <w:t xml:space="preserve"> </w:t>
      </w:r>
      <w:r w:rsidR="000B221C" w:rsidRPr="006B313A">
        <w:t>hybrids between these extremes)</w:t>
      </w:r>
      <w:r w:rsidR="002C6730">
        <w:t>.</w:t>
      </w:r>
    </w:p>
    <w:p w14:paraId="6F71F473" w14:textId="03BF74E0" w:rsidR="00960725" w:rsidRPr="006B313A" w:rsidRDefault="00043EB6" w:rsidP="00960725">
      <w:r w:rsidRPr="006B313A">
        <w:t xml:space="preserve">The second analysis </w:t>
      </w:r>
      <w:r w:rsidR="001776B5" w:rsidRPr="006B313A">
        <w:t>was</w:t>
      </w:r>
      <w:r w:rsidRPr="006B313A">
        <w:t xml:space="preserve"> a content analysis of the </w:t>
      </w:r>
      <w:r w:rsidR="00960725" w:rsidRPr="006B313A">
        <w:t xml:space="preserve">interviews with </w:t>
      </w:r>
      <w:r w:rsidR="00E23319" w:rsidRPr="006B313A">
        <w:t>Tamra</w:t>
      </w:r>
      <w:r w:rsidR="00960725" w:rsidRPr="006B313A">
        <w:t>, identify</w:t>
      </w:r>
      <w:r w:rsidRPr="006B313A">
        <w:t>ing</w:t>
      </w:r>
      <w:r w:rsidR="00960725" w:rsidRPr="006B313A">
        <w:t xml:space="preserve"> reference</w:t>
      </w:r>
      <w:r w:rsidR="00E8444B">
        <w:t>s</w:t>
      </w:r>
      <w:r w:rsidR="00960725" w:rsidRPr="006B313A">
        <w:t xml:space="preserve"> to professional obligations</w:t>
      </w:r>
      <w:r w:rsidRPr="006B313A">
        <w:t xml:space="preserve">. </w:t>
      </w:r>
      <w:r w:rsidR="00AB2EE4" w:rsidRPr="006B313A">
        <w:t xml:space="preserve">Since obligations are characterised as </w:t>
      </w:r>
      <w:r w:rsidR="00D67414" w:rsidRPr="006B313A">
        <w:t xml:space="preserve">a </w:t>
      </w:r>
      <w:r w:rsidR="00AB2EE4" w:rsidRPr="006B313A">
        <w:t xml:space="preserve">“hold of </w:t>
      </w:r>
      <w:r w:rsidR="00AB2EE4" w:rsidRPr="006B313A">
        <w:lastRenderedPageBreak/>
        <w:t>the environment on the position of the teacher”</w:t>
      </w:r>
      <w:r w:rsidR="00D67414" w:rsidRPr="006B313A">
        <w:t xml:space="preserve">, I </w:t>
      </w:r>
      <w:r w:rsidR="0096761A" w:rsidRPr="006B313A">
        <w:t>used content analysis to</w:t>
      </w:r>
      <w:r w:rsidR="00D67414" w:rsidRPr="006B313A">
        <w:t xml:space="preserve"> identif</w:t>
      </w:r>
      <w:r w:rsidR="0096761A" w:rsidRPr="006B313A">
        <w:t>y</w:t>
      </w:r>
      <w:r w:rsidR="00D67414" w:rsidRPr="006B313A">
        <w:t xml:space="preserve"> instances where Tamra referred to factors restricting her</w:t>
      </w:r>
      <w:r w:rsidR="006016CA" w:rsidRPr="006B313A">
        <w:t xml:space="preserve"> teaching in any way. Next,</w:t>
      </w:r>
      <w:r w:rsidR="00AB2EE4" w:rsidRPr="006B313A">
        <w:t xml:space="preserve"> </w:t>
      </w:r>
      <w:r w:rsidR="00B9044A" w:rsidRPr="006B313A">
        <w:t>I</w:t>
      </w:r>
      <w:r w:rsidR="00960725" w:rsidRPr="006B313A">
        <w:t xml:space="preserve"> coded </w:t>
      </w:r>
      <w:r w:rsidR="006016CA" w:rsidRPr="006B313A">
        <w:t>these</w:t>
      </w:r>
      <w:r w:rsidR="00960725" w:rsidRPr="006B313A">
        <w:t xml:space="preserve"> obligations with reference to (a) individual learners</w:t>
      </w:r>
      <w:r w:rsidR="003B0B48" w:rsidRPr="006B313A">
        <w:t xml:space="preserve"> or their parents</w:t>
      </w:r>
      <w:r w:rsidR="00960725" w:rsidRPr="006B313A">
        <w:t xml:space="preserve">, (b) the class </w:t>
      </w:r>
      <w:r w:rsidR="00ED6252" w:rsidRPr="006B313A">
        <w:t>environment</w:t>
      </w:r>
      <w:r w:rsidR="00960725" w:rsidRPr="006B313A">
        <w:t xml:space="preserve">, (c) mathematics, (d) institutional factors such as the curriculum, lesson time, or school rules, and (e) other. </w:t>
      </w:r>
      <w:r w:rsidR="00B9044A" w:rsidRPr="006B313A">
        <w:t>I</w:t>
      </w:r>
      <w:r w:rsidR="00960725" w:rsidRPr="006B313A">
        <w:t xml:space="preserve"> also noted when </w:t>
      </w:r>
      <w:r w:rsidR="00E23319" w:rsidRPr="006B313A">
        <w:t>Tamra</w:t>
      </w:r>
      <w:r w:rsidR="00960725" w:rsidRPr="006B313A">
        <w:t xml:space="preserve"> referred to norms or beliefs she had to confront or change in the process of adjusting her teaching.</w:t>
      </w:r>
    </w:p>
    <w:p w14:paraId="70F846D2" w14:textId="53729E22" w:rsidR="0096761A" w:rsidRPr="006B313A" w:rsidRDefault="009766D1" w:rsidP="00960725">
      <w:r w:rsidRPr="006B313A">
        <w:t xml:space="preserve">In this paper, I focus on the obligations </w:t>
      </w:r>
      <w:r w:rsidR="009B57F6" w:rsidRPr="006B313A">
        <w:t xml:space="preserve">Tamra </w:t>
      </w:r>
      <w:r w:rsidRPr="006B313A">
        <w:t>experienced, but I relate these to how the lesson progressed</w:t>
      </w:r>
      <w:r w:rsidR="00DF1A46" w:rsidRPr="006B313A">
        <w:t>. Therefore, the next section presents the lesson and my analysis thereof, as a backdrop to the results section.</w:t>
      </w:r>
    </w:p>
    <w:p w14:paraId="47E9FE60" w14:textId="20A89CC0" w:rsidR="008C319E" w:rsidRPr="006B313A" w:rsidRDefault="00E23319" w:rsidP="00297292">
      <w:pPr>
        <w:pStyle w:val="Heading2"/>
      </w:pPr>
      <w:r w:rsidRPr="006B313A">
        <w:t>Tamra</w:t>
      </w:r>
      <w:r w:rsidR="00A62A55" w:rsidRPr="006B313A">
        <w:t>’s lesson on prime numbers</w:t>
      </w:r>
    </w:p>
    <w:p w14:paraId="730A10C5" w14:textId="489DC125" w:rsidR="00481B18" w:rsidRPr="006B313A" w:rsidRDefault="00481B18" w:rsidP="004666F2">
      <w:pPr>
        <w:pStyle w:val="BodyText"/>
      </w:pPr>
      <w:r w:rsidRPr="006B313A">
        <w:t>When asked what she wanted to achieve with the lesson, Tamra s</w:t>
      </w:r>
      <w:r w:rsidR="008B0971">
        <w:t>aid</w:t>
      </w:r>
      <w:r w:rsidRPr="006B313A">
        <w:t xml:space="preserve"> that she wanted learners to identify prime numbers</w:t>
      </w:r>
      <w:r w:rsidR="001A6819" w:rsidRPr="006B313A">
        <w:t xml:space="preserve"> (</w:t>
      </w:r>
      <w:r w:rsidR="00874EE9" w:rsidRPr="006B313A">
        <w:t>a new mathematical object</w:t>
      </w:r>
      <w:r w:rsidR="00454B1D" w:rsidRPr="006B313A">
        <w:t xml:space="preserve"> used in an exploration</w:t>
      </w:r>
      <w:r w:rsidR="00874EE9" w:rsidRPr="006B313A">
        <w:t>)</w:t>
      </w:r>
      <w:r w:rsidRPr="006B313A">
        <w:t>, factorise</w:t>
      </w:r>
      <w:r w:rsidR="00874EE9" w:rsidRPr="006B313A">
        <w:t xml:space="preserve"> (</w:t>
      </w:r>
      <w:r w:rsidR="00A8219D" w:rsidRPr="006B313A">
        <w:t xml:space="preserve">a new </w:t>
      </w:r>
      <w:r w:rsidR="008F47A3" w:rsidRPr="006B313A">
        <w:t>routine)</w:t>
      </w:r>
      <w:r w:rsidRPr="006B313A">
        <w:t>, use divisibility rules</w:t>
      </w:r>
      <w:r w:rsidR="008F47A3" w:rsidRPr="006B313A">
        <w:t xml:space="preserve"> (utilise previous routines in explorations)</w:t>
      </w:r>
      <w:r w:rsidRPr="006B313A">
        <w:t>, cement concepts of even and odd</w:t>
      </w:r>
      <w:r w:rsidR="008B0971">
        <w:t>,</w:t>
      </w:r>
      <w:r w:rsidRPr="006B313A">
        <w:t xml:space="preserve"> and use </w:t>
      </w:r>
      <w:r w:rsidR="00051F7E">
        <w:t>the even/odd distinction</w:t>
      </w:r>
      <w:r w:rsidRPr="006B313A">
        <w:t xml:space="preserve"> in checking for divisibility</w:t>
      </w:r>
      <w:r w:rsidR="007F1B62" w:rsidRPr="006B313A">
        <w:t xml:space="preserve"> (utilise previous routines)</w:t>
      </w:r>
      <w:r w:rsidRPr="006B313A">
        <w:t xml:space="preserve">. </w:t>
      </w:r>
    </w:p>
    <w:p w14:paraId="7A32B8D7" w14:textId="40DC69E8" w:rsidR="00A62A55" w:rsidRPr="006B313A" w:rsidRDefault="00A62A55" w:rsidP="00481B18">
      <w:r w:rsidRPr="006B313A">
        <w:t xml:space="preserve">The lesson </w:t>
      </w:r>
      <w:r w:rsidR="00CA0399" w:rsidRPr="006B313A">
        <w:t>had</w:t>
      </w:r>
      <w:r w:rsidRPr="006B313A">
        <w:t xml:space="preserve"> three distinct parts, as well as a</w:t>
      </w:r>
      <w:r w:rsidR="00CA0399" w:rsidRPr="006B313A">
        <w:t>n almost eleven</w:t>
      </w:r>
      <w:r w:rsidR="004774EA">
        <w:t>-</w:t>
      </w:r>
      <w:r w:rsidR="00CA0399" w:rsidRPr="006B313A">
        <w:t xml:space="preserve">minute </w:t>
      </w:r>
      <w:r w:rsidRPr="006B313A">
        <w:t>period spent on organising groups</w:t>
      </w:r>
      <w:r w:rsidR="00CA0399" w:rsidRPr="006B313A">
        <w:t xml:space="preserve">, about which </w:t>
      </w:r>
      <w:r w:rsidR="00E23319" w:rsidRPr="006B313A">
        <w:t>Tamra</w:t>
      </w:r>
      <w:r w:rsidR="00CA0399" w:rsidRPr="006B313A">
        <w:t xml:space="preserve"> later expressed frustration</w:t>
      </w:r>
      <w:r w:rsidRPr="006B313A">
        <w:t xml:space="preserve">. </w:t>
      </w:r>
      <w:r w:rsidR="00CA0399" w:rsidRPr="006B313A">
        <w:t>The first part of the lesson was</w:t>
      </w:r>
      <w:r w:rsidRPr="006B313A">
        <w:t xml:space="preserve"> organi</w:t>
      </w:r>
      <w:r w:rsidR="004774EA">
        <w:t>s</w:t>
      </w:r>
      <w:r w:rsidRPr="006B313A">
        <w:t xml:space="preserve">ed as whole-class teaching, </w:t>
      </w:r>
      <w:r w:rsidR="00CA0399" w:rsidRPr="006B313A">
        <w:t xml:space="preserve">with </w:t>
      </w:r>
      <w:r w:rsidR="00E23319" w:rsidRPr="006B313A">
        <w:t>Tamra</w:t>
      </w:r>
      <w:r w:rsidR="00CA0399" w:rsidRPr="006B313A">
        <w:t xml:space="preserve"> stating the definition of prime numbers after which learners identified</w:t>
      </w:r>
      <w:r w:rsidRPr="006B313A">
        <w:t xml:space="preserve"> </w:t>
      </w:r>
      <w:r w:rsidR="00CA0399" w:rsidRPr="006B313A">
        <w:t xml:space="preserve">small </w:t>
      </w:r>
      <w:r w:rsidRPr="006B313A">
        <w:t xml:space="preserve">prime numbers by inspection. </w:t>
      </w:r>
      <w:r w:rsidR="00DB2EC0" w:rsidRPr="006B313A">
        <w:t>T</w:t>
      </w:r>
      <w:r w:rsidR="00CA0399" w:rsidRPr="006B313A">
        <w:t>he second part of the lesson was</w:t>
      </w:r>
      <w:r w:rsidRPr="006B313A">
        <w:t xml:space="preserve"> also whole-class teaching, </w:t>
      </w:r>
      <w:r w:rsidR="00CA0399" w:rsidRPr="006B313A">
        <w:t>where the teacher guided</w:t>
      </w:r>
      <w:r w:rsidRPr="006B313A">
        <w:t xml:space="preserve"> learners through factorisations of 24. </w:t>
      </w:r>
      <w:r w:rsidR="00CA0399" w:rsidRPr="006B313A">
        <w:t>T</w:t>
      </w:r>
      <w:r w:rsidRPr="006B313A">
        <w:t xml:space="preserve">he last 19 minutes of the lesson </w:t>
      </w:r>
      <w:r w:rsidR="00CA0399" w:rsidRPr="006B313A">
        <w:t xml:space="preserve">constituted the announced </w:t>
      </w:r>
      <w:r w:rsidRPr="006B313A">
        <w:t xml:space="preserve">exploration, and </w:t>
      </w:r>
      <w:r w:rsidR="00DB2EC0" w:rsidRPr="006B313A">
        <w:t>my</w:t>
      </w:r>
      <w:r w:rsidR="00CA0399" w:rsidRPr="006B313A">
        <w:t xml:space="preserve"> analysis confirmed that</w:t>
      </w:r>
      <w:r w:rsidRPr="006B313A">
        <w:t xml:space="preserve"> </w:t>
      </w:r>
      <w:r w:rsidR="00CA0399" w:rsidRPr="006B313A">
        <w:t xml:space="preserve">it started </w:t>
      </w:r>
      <w:r w:rsidRPr="006B313A">
        <w:t xml:space="preserve">out as an </w:t>
      </w:r>
      <w:proofErr w:type="gramStart"/>
      <w:r w:rsidRPr="006B313A">
        <w:t>exploration-requiring</w:t>
      </w:r>
      <w:proofErr w:type="gramEnd"/>
      <w:r w:rsidRPr="006B313A">
        <w:t xml:space="preserve"> </w:t>
      </w:r>
      <w:r w:rsidR="00B314FF" w:rsidRPr="006B313A">
        <w:t>OTL</w:t>
      </w:r>
      <w:r w:rsidRPr="006B313A">
        <w:t>.</w:t>
      </w:r>
      <w:r w:rsidR="00C50802" w:rsidRPr="006B313A">
        <w:t xml:space="preserve"> “</w:t>
      </w:r>
      <w:r w:rsidRPr="006B313A">
        <w:t>Ca</w:t>
      </w:r>
      <w:r w:rsidR="00CA0399" w:rsidRPr="006B313A">
        <w:t xml:space="preserve">n you find factors?”, </w:t>
      </w:r>
      <w:r w:rsidR="00E23319" w:rsidRPr="006B313A">
        <w:t>Tamra</w:t>
      </w:r>
      <w:r w:rsidR="00CA0399" w:rsidRPr="006B313A">
        <w:t xml:space="preserve"> asked</w:t>
      </w:r>
      <w:r w:rsidRPr="006B313A">
        <w:t xml:space="preserve"> repeatedly</w:t>
      </w:r>
      <w:r w:rsidR="00081FE6" w:rsidRPr="006B313A">
        <w:rPr>
          <w:rStyle w:val="FootnoteReference"/>
        </w:rPr>
        <w:footnoteReference w:id="1"/>
      </w:r>
      <w:r w:rsidRPr="006B313A">
        <w:t>. There is n</w:t>
      </w:r>
      <w:r w:rsidR="00CA0399" w:rsidRPr="006B313A">
        <w:t>o indication that she wanted learners</w:t>
      </w:r>
      <w:r w:rsidRPr="006B313A">
        <w:t xml:space="preserve"> to follow a particular procedure.</w:t>
      </w:r>
    </w:p>
    <w:p w14:paraId="6EF57FA8" w14:textId="39224122" w:rsidR="001048ED" w:rsidRPr="006B313A" w:rsidRDefault="001048ED" w:rsidP="00885944">
      <w:pPr>
        <w:pStyle w:val="FigTitle"/>
        <w:rPr>
          <w:lang w:eastAsia="sv-SE"/>
        </w:rPr>
      </w:pPr>
    </w:p>
    <w:tbl>
      <w:tblPr>
        <w:tblW w:w="9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4368"/>
        <w:gridCol w:w="1775"/>
        <w:gridCol w:w="2070"/>
      </w:tblGrid>
      <w:tr w:rsidR="00885944" w:rsidRPr="006B313A" w14:paraId="00E97BBC" w14:textId="77777777" w:rsidTr="00FB1657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F3C4D" w14:textId="77777777" w:rsidR="001048ED" w:rsidRPr="006B313A" w:rsidRDefault="001048ED" w:rsidP="00491E4E">
            <w:pPr>
              <w:pStyle w:val="FigText"/>
              <w:spacing w:before="0" w:line="240" w:lineRule="auto"/>
              <w:ind w:firstLine="0"/>
              <w:rPr>
                <w:b/>
                <w:sz w:val="24"/>
                <w:szCs w:val="24"/>
                <w:lang w:eastAsia="sv-SE"/>
              </w:rPr>
            </w:pPr>
            <w:r w:rsidRPr="006B313A">
              <w:rPr>
                <w:b/>
                <w:sz w:val="24"/>
                <w:szCs w:val="24"/>
                <w:lang w:eastAsia="sv-SE"/>
              </w:rPr>
              <w:t>Time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941F2" w14:textId="77777777" w:rsidR="001048ED" w:rsidRPr="006B313A" w:rsidRDefault="001048ED" w:rsidP="00491E4E">
            <w:pPr>
              <w:pStyle w:val="FigText"/>
              <w:spacing w:before="0" w:line="240" w:lineRule="auto"/>
              <w:ind w:firstLine="0"/>
              <w:rPr>
                <w:b/>
                <w:sz w:val="24"/>
                <w:szCs w:val="24"/>
                <w:lang w:eastAsia="sv-SE"/>
              </w:rPr>
            </w:pPr>
            <w:r w:rsidRPr="006B313A">
              <w:rPr>
                <w:b/>
                <w:sz w:val="24"/>
                <w:szCs w:val="24"/>
                <w:lang w:eastAsia="sv-SE"/>
              </w:rPr>
              <w:t>Focus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3B0F0" w14:textId="5F549AE8" w:rsidR="001048ED" w:rsidRPr="006B313A" w:rsidRDefault="001048ED" w:rsidP="00491E4E">
            <w:pPr>
              <w:pStyle w:val="FigText"/>
              <w:spacing w:before="0" w:line="240" w:lineRule="auto"/>
              <w:ind w:firstLine="0"/>
              <w:rPr>
                <w:b/>
                <w:sz w:val="24"/>
                <w:szCs w:val="24"/>
                <w:lang w:eastAsia="sv-SE"/>
              </w:rPr>
            </w:pPr>
            <w:r w:rsidRPr="006B313A">
              <w:rPr>
                <w:b/>
                <w:sz w:val="24"/>
                <w:szCs w:val="24"/>
                <w:lang w:eastAsia="sv-SE"/>
              </w:rPr>
              <w:t>Overtures</w:t>
            </w:r>
            <w:r w:rsidR="004D33D5" w:rsidRPr="006B313A">
              <w:rPr>
                <w:b/>
                <w:sz w:val="24"/>
                <w:szCs w:val="24"/>
                <w:lang w:eastAsia="sv-SE"/>
              </w:rPr>
              <w:t xml:space="preserve"> for learner agency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7C0BB" w14:textId="77777777" w:rsidR="001048ED" w:rsidRPr="006B313A" w:rsidRDefault="001048ED" w:rsidP="00491E4E">
            <w:pPr>
              <w:pStyle w:val="FigText"/>
              <w:spacing w:before="0" w:line="240" w:lineRule="auto"/>
              <w:ind w:firstLine="0"/>
              <w:rPr>
                <w:b/>
                <w:sz w:val="24"/>
                <w:szCs w:val="24"/>
                <w:lang w:eastAsia="sv-SE"/>
              </w:rPr>
            </w:pPr>
            <w:r w:rsidRPr="006B313A">
              <w:rPr>
                <w:b/>
                <w:sz w:val="24"/>
                <w:szCs w:val="24"/>
                <w:lang w:eastAsia="sv-SE"/>
              </w:rPr>
              <w:t>Invited substantiations</w:t>
            </w:r>
          </w:p>
        </w:tc>
      </w:tr>
      <w:tr w:rsidR="00885944" w:rsidRPr="006B313A" w14:paraId="0DBAC45C" w14:textId="77777777" w:rsidTr="00FB1657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C9ECF" w14:textId="45247A9E" w:rsidR="001048ED" w:rsidRPr="006B313A" w:rsidRDefault="001048ED" w:rsidP="00491E4E">
            <w:pPr>
              <w:pStyle w:val="FigText"/>
              <w:spacing w:before="0" w:line="240" w:lineRule="auto"/>
              <w:ind w:firstLine="0"/>
              <w:jc w:val="left"/>
              <w:rPr>
                <w:sz w:val="24"/>
                <w:szCs w:val="24"/>
                <w:lang w:eastAsia="sv-SE"/>
              </w:rPr>
            </w:pPr>
            <w:r w:rsidRPr="006B313A">
              <w:rPr>
                <w:sz w:val="24"/>
                <w:szCs w:val="24"/>
                <w:lang w:eastAsia="sv-SE"/>
              </w:rPr>
              <w:t>02:02</w:t>
            </w:r>
            <w:r w:rsidR="00885944" w:rsidRPr="006B313A">
              <w:rPr>
                <w:sz w:val="24"/>
                <w:szCs w:val="24"/>
              </w:rPr>
              <w:t>–</w:t>
            </w:r>
            <w:r w:rsidRPr="006B313A">
              <w:rPr>
                <w:sz w:val="24"/>
                <w:szCs w:val="24"/>
                <w:lang w:eastAsia="sv-SE"/>
              </w:rPr>
              <w:t>09:41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537ED" w14:textId="7F5963C6" w:rsidR="001048ED" w:rsidRPr="006B313A" w:rsidRDefault="00E7644E" w:rsidP="00491E4E">
            <w:pPr>
              <w:pStyle w:val="FigText"/>
              <w:spacing w:before="0" w:line="240" w:lineRule="auto"/>
              <w:ind w:firstLine="0"/>
              <w:jc w:val="left"/>
              <w:rPr>
                <w:sz w:val="24"/>
                <w:szCs w:val="24"/>
                <w:lang w:eastAsia="sv-SE"/>
              </w:rPr>
            </w:pPr>
            <w:r>
              <w:rPr>
                <w:sz w:val="24"/>
                <w:szCs w:val="24"/>
                <w:lang w:eastAsia="sv-SE"/>
              </w:rPr>
              <w:t>Whole-class i</w:t>
            </w:r>
            <w:r w:rsidR="001048ED" w:rsidRPr="006B313A">
              <w:rPr>
                <w:sz w:val="24"/>
                <w:szCs w:val="24"/>
                <w:lang w:eastAsia="sv-SE"/>
              </w:rPr>
              <w:t xml:space="preserve">nteraction, with learners being tasked with identifying </w:t>
            </w:r>
            <w:r w:rsidR="002C7C58">
              <w:rPr>
                <w:sz w:val="24"/>
                <w:szCs w:val="24"/>
                <w:lang w:eastAsia="sv-SE"/>
              </w:rPr>
              <w:t>whether</w:t>
            </w:r>
            <w:r w:rsidR="002C7C58" w:rsidRPr="006B313A">
              <w:rPr>
                <w:sz w:val="24"/>
                <w:szCs w:val="24"/>
                <w:lang w:eastAsia="sv-SE"/>
              </w:rPr>
              <w:t xml:space="preserve"> </w:t>
            </w:r>
            <w:r w:rsidR="001048ED" w:rsidRPr="006B313A">
              <w:rPr>
                <w:sz w:val="24"/>
                <w:szCs w:val="24"/>
                <w:lang w:eastAsia="sv-SE"/>
              </w:rPr>
              <w:t>2, 3, 4, 5, … 10 are prime or composite.</w:t>
            </w:r>
          </w:p>
          <w:p w14:paraId="255F6471" w14:textId="745E0662" w:rsidR="001048ED" w:rsidRPr="006B313A" w:rsidRDefault="001048ED" w:rsidP="00491E4E">
            <w:pPr>
              <w:pStyle w:val="FigText"/>
              <w:spacing w:before="0" w:line="240" w:lineRule="auto"/>
              <w:ind w:firstLine="0"/>
              <w:jc w:val="left"/>
              <w:rPr>
                <w:sz w:val="24"/>
                <w:szCs w:val="24"/>
                <w:lang w:eastAsia="sv-SE"/>
              </w:rPr>
            </w:pPr>
            <w:r w:rsidRPr="006B313A">
              <w:rPr>
                <w:sz w:val="24"/>
                <w:szCs w:val="24"/>
                <w:lang w:eastAsia="sv-SE"/>
              </w:rPr>
              <w:t xml:space="preserve">At the end of this part, </w:t>
            </w:r>
            <w:r w:rsidR="00E23319" w:rsidRPr="006B313A">
              <w:rPr>
                <w:sz w:val="24"/>
                <w:szCs w:val="24"/>
                <w:lang w:eastAsia="sv-SE"/>
              </w:rPr>
              <w:t>Tamra</w:t>
            </w:r>
            <w:r w:rsidRPr="006B313A">
              <w:rPr>
                <w:sz w:val="24"/>
                <w:szCs w:val="24"/>
                <w:lang w:eastAsia="sv-SE"/>
              </w:rPr>
              <w:t xml:space="preserve"> refers to previously learned rules for divisibility.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CFD0B" w14:textId="457CBB2A" w:rsidR="001048ED" w:rsidRPr="006B313A" w:rsidRDefault="00645A97" w:rsidP="00491E4E">
            <w:pPr>
              <w:pStyle w:val="FigText"/>
              <w:spacing w:before="0" w:line="240" w:lineRule="auto"/>
              <w:ind w:firstLine="0"/>
              <w:rPr>
                <w:sz w:val="24"/>
                <w:szCs w:val="24"/>
                <w:lang w:eastAsia="sv-SE"/>
              </w:rPr>
            </w:pPr>
            <w:r w:rsidRPr="006B313A">
              <w:rPr>
                <w:sz w:val="24"/>
                <w:szCs w:val="24"/>
                <w:lang w:eastAsia="sv-SE"/>
              </w:rPr>
              <w:t>Open and closed questions interspersed.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47F77" w14:textId="1853CC7A" w:rsidR="001048ED" w:rsidRPr="006B313A" w:rsidRDefault="001048ED" w:rsidP="00491E4E">
            <w:pPr>
              <w:pStyle w:val="FigText"/>
              <w:spacing w:before="0" w:line="240" w:lineRule="auto"/>
              <w:ind w:firstLine="0"/>
              <w:rPr>
                <w:sz w:val="24"/>
                <w:szCs w:val="24"/>
                <w:lang w:eastAsia="sv-SE"/>
              </w:rPr>
            </w:pPr>
            <w:r w:rsidRPr="006B313A">
              <w:rPr>
                <w:sz w:val="24"/>
                <w:szCs w:val="24"/>
                <w:lang w:eastAsia="sv-SE"/>
              </w:rPr>
              <w:t>Learners</w:t>
            </w:r>
            <w:r w:rsidR="00645A97" w:rsidRPr="006B313A">
              <w:rPr>
                <w:sz w:val="24"/>
                <w:szCs w:val="24"/>
                <w:lang w:eastAsia="sv-SE"/>
              </w:rPr>
              <w:t xml:space="preserve"> are asked to explain their answers</w:t>
            </w:r>
            <w:r w:rsidRPr="006B313A">
              <w:rPr>
                <w:sz w:val="24"/>
                <w:szCs w:val="24"/>
                <w:lang w:eastAsia="sv-SE"/>
              </w:rPr>
              <w:t>.</w:t>
            </w:r>
          </w:p>
        </w:tc>
      </w:tr>
      <w:tr w:rsidR="00885944" w:rsidRPr="006B313A" w14:paraId="5EB7D3CA" w14:textId="77777777" w:rsidTr="00FB1657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BC5E0" w14:textId="2784BADB" w:rsidR="001048ED" w:rsidRPr="006B313A" w:rsidRDefault="00885944" w:rsidP="00491E4E">
            <w:pPr>
              <w:pStyle w:val="FigText"/>
              <w:spacing w:before="0" w:line="240" w:lineRule="auto"/>
              <w:ind w:firstLine="0"/>
              <w:jc w:val="left"/>
              <w:rPr>
                <w:sz w:val="24"/>
                <w:szCs w:val="24"/>
                <w:lang w:eastAsia="sv-SE"/>
              </w:rPr>
            </w:pPr>
            <w:r w:rsidRPr="006B313A">
              <w:rPr>
                <w:sz w:val="24"/>
                <w:szCs w:val="24"/>
                <w:lang w:eastAsia="sv-SE"/>
              </w:rPr>
              <w:t>09:42</w:t>
            </w:r>
            <w:r w:rsidRPr="006B313A">
              <w:rPr>
                <w:sz w:val="24"/>
                <w:szCs w:val="24"/>
              </w:rPr>
              <w:t>–</w:t>
            </w:r>
            <w:r w:rsidR="001048ED" w:rsidRPr="006B313A">
              <w:rPr>
                <w:sz w:val="24"/>
                <w:szCs w:val="24"/>
                <w:lang w:eastAsia="sv-SE"/>
              </w:rPr>
              <w:t>14:44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31504" w14:textId="23A76EF3" w:rsidR="001048ED" w:rsidRPr="006B313A" w:rsidRDefault="001048ED" w:rsidP="00491E4E">
            <w:pPr>
              <w:pStyle w:val="FigText"/>
              <w:spacing w:before="0" w:line="240" w:lineRule="auto"/>
              <w:ind w:firstLine="0"/>
              <w:jc w:val="left"/>
              <w:rPr>
                <w:sz w:val="24"/>
                <w:szCs w:val="24"/>
                <w:lang w:eastAsia="sv-SE"/>
              </w:rPr>
            </w:pPr>
            <w:r w:rsidRPr="006B313A">
              <w:rPr>
                <w:sz w:val="24"/>
                <w:szCs w:val="24"/>
                <w:lang w:eastAsia="sv-SE"/>
              </w:rPr>
              <w:t xml:space="preserve">Learners are </w:t>
            </w:r>
            <w:r w:rsidR="00E7644E">
              <w:rPr>
                <w:sz w:val="24"/>
                <w:szCs w:val="24"/>
                <w:lang w:eastAsia="sv-SE"/>
              </w:rPr>
              <w:t>asked to</w:t>
            </w:r>
            <w:r w:rsidRPr="006B313A">
              <w:rPr>
                <w:sz w:val="24"/>
                <w:szCs w:val="24"/>
                <w:lang w:eastAsia="sv-SE"/>
              </w:rPr>
              <w:t xml:space="preserve"> identify </w:t>
            </w:r>
            <w:r w:rsidR="00966696">
              <w:rPr>
                <w:sz w:val="24"/>
                <w:szCs w:val="24"/>
                <w:lang w:eastAsia="sv-SE"/>
              </w:rPr>
              <w:t>whether</w:t>
            </w:r>
            <w:r w:rsidR="00966696" w:rsidRPr="006B313A">
              <w:rPr>
                <w:sz w:val="24"/>
                <w:szCs w:val="24"/>
                <w:lang w:eastAsia="sv-SE"/>
              </w:rPr>
              <w:t xml:space="preserve"> </w:t>
            </w:r>
            <w:r w:rsidRPr="006B313A">
              <w:rPr>
                <w:sz w:val="24"/>
                <w:szCs w:val="24"/>
                <w:lang w:eastAsia="sv-SE"/>
              </w:rPr>
              <w:t xml:space="preserve">24 is prime or composite, but </w:t>
            </w:r>
            <w:r w:rsidR="00966696">
              <w:rPr>
                <w:sz w:val="24"/>
                <w:szCs w:val="24"/>
                <w:lang w:eastAsia="sv-SE"/>
              </w:rPr>
              <w:t>because</w:t>
            </w:r>
            <w:r w:rsidR="00966696" w:rsidRPr="006B313A">
              <w:rPr>
                <w:sz w:val="24"/>
                <w:szCs w:val="24"/>
                <w:lang w:eastAsia="sv-SE"/>
              </w:rPr>
              <w:t xml:space="preserve"> </w:t>
            </w:r>
            <w:r w:rsidRPr="006B313A">
              <w:rPr>
                <w:sz w:val="24"/>
                <w:szCs w:val="24"/>
                <w:lang w:eastAsia="sv-SE"/>
              </w:rPr>
              <w:t>learners suggest different initial factorisations (4x6, 2x12, 3x8), this evolves into three subroutines of factorising and a question about similarities between factorisations.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A10D9" w14:textId="636B75AE" w:rsidR="001048ED" w:rsidRPr="006B313A" w:rsidRDefault="00645A97" w:rsidP="00491E4E">
            <w:pPr>
              <w:pStyle w:val="FigText"/>
              <w:spacing w:before="0" w:line="240" w:lineRule="auto"/>
              <w:ind w:firstLine="0"/>
              <w:rPr>
                <w:sz w:val="24"/>
                <w:szCs w:val="24"/>
                <w:lang w:eastAsia="sv-SE"/>
              </w:rPr>
            </w:pPr>
            <w:r w:rsidRPr="006B313A">
              <w:rPr>
                <w:sz w:val="24"/>
                <w:szCs w:val="24"/>
                <w:lang w:eastAsia="sv-SE"/>
              </w:rPr>
              <w:t>Open and closed questions interspersed.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518DE" w14:textId="3CF4D5A5" w:rsidR="001048ED" w:rsidRPr="006B313A" w:rsidRDefault="00645A97" w:rsidP="00491E4E">
            <w:pPr>
              <w:pStyle w:val="FigText"/>
              <w:spacing w:before="0" w:line="240" w:lineRule="auto"/>
              <w:ind w:firstLine="0"/>
              <w:rPr>
                <w:sz w:val="24"/>
                <w:szCs w:val="24"/>
                <w:lang w:eastAsia="sv-SE"/>
              </w:rPr>
            </w:pPr>
            <w:r w:rsidRPr="006B313A">
              <w:rPr>
                <w:sz w:val="24"/>
                <w:szCs w:val="24"/>
                <w:lang w:eastAsia="sv-SE"/>
              </w:rPr>
              <w:t>Learners are asked to explain their answers</w:t>
            </w:r>
            <w:r w:rsidR="001048ED" w:rsidRPr="006B313A">
              <w:rPr>
                <w:sz w:val="24"/>
                <w:szCs w:val="24"/>
                <w:lang w:eastAsia="sv-SE"/>
              </w:rPr>
              <w:t>.</w:t>
            </w:r>
          </w:p>
        </w:tc>
      </w:tr>
      <w:tr w:rsidR="00885944" w:rsidRPr="006B313A" w14:paraId="66A5EA2B" w14:textId="77777777" w:rsidTr="00FB1657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4CFBD" w14:textId="325CD13A" w:rsidR="001048ED" w:rsidRPr="006B313A" w:rsidRDefault="00885944" w:rsidP="00491E4E">
            <w:pPr>
              <w:pStyle w:val="FigText"/>
              <w:spacing w:before="0" w:line="240" w:lineRule="auto"/>
              <w:ind w:firstLine="0"/>
              <w:jc w:val="left"/>
              <w:rPr>
                <w:sz w:val="24"/>
                <w:szCs w:val="24"/>
                <w:lang w:eastAsia="sv-SE"/>
              </w:rPr>
            </w:pPr>
            <w:r w:rsidRPr="006B313A">
              <w:rPr>
                <w:sz w:val="24"/>
                <w:szCs w:val="24"/>
                <w:lang w:eastAsia="sv-SE"/>
              </w:rPr>
              <w:lastRenderedPageBreak/>
              <w:t>14:45</w:t>
            </w:r>
            <w:r w:rsidRPr="006B313A">
              <w:rPr>
                <w:sz w:val="24"/>
                <w:szCs w:val="24"/>
              </w:rPr>
              <w:t>–</w:t>
            </w:r>
            <w:r w:rsidR="001048ED" w:rsidRPr="006B313A">
              <w:rPr>
                <w:sz w:val="24"/>
                <w:szCs w:val="24"/>
                <w:lang w:eastAsia="sv-SE"/>
              </w:rPr>
              <w:t>25:29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259F4" w14:textId="7F98CE3B" w:rsidR="001048ED" w:rsidRPr="006B313A" w:rsidRDefault="001048ED" w:rsidP="00491E4E">
            <w:pPr>
              <w:pStyle w:val="FigText"/>
              <w:spacing w:before="0" w:line="240" w:lineRule="auto"/>
              <w:ind w:firstLine="0"/>
              <w:jc w:val="left"/>
              <w:rPr>
                <w:sz w:val="24"/>
                <w:szCs w:val="24"/>
                <w:lang w:eastAsia="sv-SE"/>
              </w:rPr>
            </w:pPr>
            <w:r w:rsidRPr="006B313A">
              <w:rPr>
                <w:sz w:val="24"/>
                <w:szCs w:val="24"/>
                <w:lang w:eastAsia="sv-SE"/>
              </w:rPr>
              <w:t>Dividing learners into groups and distributing paper and coloured pens.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1CCBD" w14:textId="77777777" w:rsidR="001048ED" w:rsidRPr="006B313A" w:rsidRDefault="001048ED" w:rsidP="00491E4E">
            <w:pPr>
              <w:pStyle w:val="FigText"/>
              <w:spacing w:before="0" w:line="240" w:lineRule="auto"/>
              <w:ind w:firstLine="0"/>
              <w:rPr>
                <w:sz w:val="24"/>
                <w:szCs w:val="24"/>
                <w:lang w:eastAsia="sv-SE"/>
              </w:rPr>
            </w:pPr>
            <w:r w:rsidRPr="006B313A">
              <w:rPr>
                <w:sz w:val="24"/>
                <w:szCs w:val="24"/>
                <w:lang w:eastAsia="sv-SE"/>
              </w:rPr>
              <w:t>None.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86C77" w14:textId="77777777" w:rsidR="001048ED" w:rsidRPr="006B313A" w:rsidRDefault="001048ED" w:rsidP="00491E4E">
            <w:pPr>
              <w:pStyle w:val="FigText"/>
              <w:spacing w:before="0" w:line="240" w:lineRule="auto"/>
              <w:ind w:firstLine="0"/>
              <w:rPr>
                <w:sz w:val="24"/>
                <w:szCs w:val="24"/>
                <w:lang w:eastAsia="sv-SE"/>
              </w:rPr>
            </w:pPr>
            <w:r w:rsidRPr="006B313A">
              <w:rPr>
                <w:sz w:val="24"/>
                <w:szCs w:val="24"/>
                <w:lang w:eastAsia="sv-SE"/>
              </w:rPr>
              <w:t>None.</w:t>
            </w:r>
          </w:p>
        </w:tc>
      </w:tr>
      <w:tr w:rsidR="00885944" w:rsidRPr="006B313A" w14:paraId="3108A9CB" w14:textId="77777777" w:rsidTr="00FB1657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564C4" w14:textId="358C812B" w:rsidR="001048ED" w:rsidRPr="006B313A" w:rsidRDefault="00885944" w:rsidP="00491E4E">
            <w:pPr>
              <w:pStyle w:val="FigText"/>
              <w:spacing w:before="0" w:line="240" w:lineRule="auto"/>
              <w:ind w:firstLine="0"/>
              <w:jc w:val="left"/>
              <w:rPr>
                <w:sz w:val="24"/>
                <w:szCs w:val="24"/>
                <w:lang w:eastAsia="sv-SE"/>
              </w:rPr>
            </w:pPr>
            <w:r w:rsidRPr="006B313A">
              <w:rPr>
                <w:sz w:val="24"/>
                <w:szCs w:val="24"/>
                <w:lang w:eastAsia="sv-SE"/>
              </w:rPr>
              <w:t>25:30</w:t>
            </w:r>
            <w:r w:rsidRPr="006B313A">
              <w:rPr>
                <w:sz w:val="24"/>
                <w:szCs w:val="24"/>
              </w:rPr>
              <w:t>–</w:t>
            </w:r>
            <w:r w:rsidR="001048ED" w:rsidRPr="006B313A">
              <w:rPr>
                <w:sz w:val="24"/>
                <w:szCs w:val="24"/>
                <w:lang w:eastAsia="sv-SE"/>
              </w:rPr>
              <w:t>44:30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77151" w14:textId="4603C31E" w:rsidR="001048ED" w:rsidRPr="006B313A" w:rsidRDefault="001048ED" w:rsidP="00491E4E">
            <w:pPr>
              <w:pStyle w:val="FigText"/>
              <w:spacing w:before="0" w:line="240" w:lineRule="auto"/>
              <w:ind w:firstLine="0"/>
              <w:jc w:val="left"/>
              <w:rPr>
                <w:sz w:val="24"/>
                <w:szCs w:val="24"/>
                <w:lang w:eastAsia="sv-SE"/>
              </w:rPr>
            </w:pPr>
            <w:r w:rsidRPr="006B313A">
              <w:rPr>
                <w:sz w:val="24"/>
                <w:szCs w:val="24"/>
                <w:lang w:eastAsia="sv-SE"/>
              </w:rPr>
              <w:t xml:space="preserve">Learners work in groups deciding </w:t>
            </w:r>
            <w:r w:rsidR="00FE480D">
              <w:rPr>
                <w:sz w:val="24"/>
                <w:szCs w:val="24"/>
                <w:lang w:eastAsia="sv-SE"/>
              </w:rPr>
              <w:t>whether</w:t>
            </w:r>
            <w:r w:rsidRPr="006B313A">
              <w:rPr>
                <w:sz w:val="24"/>
                <w:szCs w:val="24"/>
                <w:lang w:eastAsia="sv-SE"/>
              </w:rPr>
              <w:t xml:space="preserve"> the natural numbers in</w:t>
            </w:r>
            <w:r w:rsidR="00401E47" w:rsidRPr="006B313A">
              <w:rPr>
                <w:sz w:val="24"/>
                <w:szCs w:val="24"/>
                <w:lang w:eastAsia="sv-SE"/>
              </w:rPr>
              <w:t xml:space="preserve"> different intervals (e.g., 200</w:t>
            </w:r>
            <w:r w:rsidR="00401E47" w:rsidRPr="006B313A">
              <w:rPr>
                <w:sz w:val="24"/>
                <w:szCs w:val="24"/>
              </w:rPr>
              <w:t>–</w:t>
            </w:r>
            <w:r w:rsidRPr="006B313A">
              <w:rPr>
                <w:sz w:val="24"/>
                <w:szCs w:val="24"/>
                <w:lang w:eastAsia="sv-SE"/>
              </w:rPr>
              <w:t>250) are odd, even, prime</w:t>
            </w:r>
            <w:r w:rsidR="0014170B">
              <w:rPr>
                <w:sz w:val="24"/>
                <w:szCs w:val="24"/>
                <w:lang w:eastAsia="sv-SE"/>
              </w:rPr>
              <w:t>,</w:t>
            </w:r>
            <w:r w:rsidRPr="006B313A">
              <w:rPr>
                <w:sz w:val="24"/>
                <w:szCs w:val="24"/>
                <w:lang w:eastAsia="sv-SE"/>
              </w:rPr>
              <w:t xml:space="preserve"> and/or composite. The class gets rowdy and </w:t>
            </w:r>
            <w:proofErr w:type="gramStart"/>
            <w:r w:rsidRPr="006B313A">
              <w:rPr>
                <w:sz w:val="24"/>
                <w:szCs w:val="24"/>
                <w:lang w:eastAsia="sv-SE"/>
              </w:rPr>
              <w:t>has to</w:t>
            </w:r>
            <w:proofErr w:type="gramEnd"/>
            <w:r w:rsidRPr="006B313A">
              <w:rPr>
                <w:sz w:val="24"/>
                <w:szCs w:val="24"/>
                <w:lang w:eastAsia="sv-SE"/>
              </w:rPr>
              <w:t xml:space="preserve"> be calmed before the nine</w:t>
            </w:r>
            <w:r w:rsidR="00DD39BC" w:rsidRPr="006B313A">
              <w:rPr>
                <w:sz w:val="24"/>
                <w:szCs w:val="24"/>
                <w:lang w:eastAsia="sv-SE"/>
              </w:rPr>
              <w:t>-</w:t>
            </w:r>
            <w:r w:rsidRPr="006B313A">
              <w:rPr>
                <w:sz w:val="24"/>
                <w:szCs w:val="24"/>
                <w:lang w:eastAsia="sv-SE"/>
              </w:rPr>
              <w:t xml:space="preserve">minute </w:t>
            </w:r>
            <w:r w:rsidR="003952BA" w:rsidRPr="006B313A">
              <w:rPr>
                <w:sz w:val="24"/>
                <w:szCs w:val="24"/>
                <w:lang w:eastAsia="sv-SE"/>
              </w:rPr>
              <w:t>report back</w:t>
            </w:r>
            <w:r w:rsidRPr="006B313A">
              <w:rPr>
                <w:sz w:val="24"/>
                <w:szCs w:val="24"/>
                <w:lang w:eastAsia="sv-SE"/>
              </w:rPr>
              <w:t xml:space="preserve"> at the end of the lesson.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32084" w14:textId="77777777" w:rsidR="001048ED" w:rsidRPr="006B313A" w:rsidRDefault="001048ED" w:rsidP="00491E4E">
            <w:pPr>
              <w:pStyle w:val="FigText"/>
              <w:spacing w:before="0" w:line="240" w:lineRule="auto"/>
              <w:ind w:firstLine="0"/>
              <w:jc w:val="left"/>
              <w:rPr>
                <w:sz w:val="24"/>
                <w:szCs w:val="24"/>
                <w:lang w:eastAsia="sv-SE"/>
              </w:rPr>
            </w:pPr>
            <w:r w:rsidRPr="006B313A">
              <w:rPr>
                <w:sz w:val="24"/>
                <w:szCs w:val="24"/>
                <w:lang w:eastAsia="sv-SE"/>
              </w:rPr>
              <w:t>First few questions are open, the remainder closed.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35DF6" w14:textId="48BB7897" w:rsidR="001048ED" w:rsidRPr="006B313A" w:rsidRDefault="001048ED" w:rsidP="00491E4E">
            <w:pPr>
              <w:pStyle w:val="FigText"/>
              <w:spacing w:before="0" w:line="240" w:lineRule="auto"/>
              <w:ind w:firstLine="0"/>
              <w:jc w:val="left"/>
              <w:rPr>
                <w:sz w:val="24"/>
                <w:szCs w:val="24"/>
                <w:lang w:eastAsia="sv-SE"/>
              </w:rPr>
            </w:pPr>
            <w:r w:rsidRPr="006B313A">
              <w:rPr>
                <w:sz w:val="24"/>
                <w:szCs w:val="24"/>
                <w:lang w:eastAsia="sv-SE"/>
              </w:rPr>
              <w:t xml:space="preserve">First invitations are for learners’ substantiations, </w:t>
            </w:r>
            <w:r w:rsidR="00FB1657">
              <w:rPr>
                <w:sz w:val="24"/>
                <w:szCs w:val="24"/>
                <w:lang w:eastAsia="sv-SE"/>
              </w:rPr>
              <w:t>the remainer</w:t>
            </w:r>
            <w:r w:rsidR="00D50819" w:rsidRPr="006B313A">
              <w:rPr>
                <w:sz w:val="24"/>
                <w:szCs w:val="24"/>
                <w:lang w:eastAsia="sv-SE"/>
              </w:rPr>
              <w:t xml:space="preserve"> </w:t>
            </w:r>
            <w:r w:rsidRPr="006B313A">
              <w:rPr>
                <w:sz w:val="24"/>
                <w:szCs w:val="24"/>
                <w:lang w:eastAsia="sv-SE"/>
              </w:rPr>
              <w:t xml:space="preserve">requests to follow </w:t>
            </w:r>
            <w:r w:rsidR="00E23319" w:rsidRPr="006B313A">
              <w:rPr>
                <w:sz w:val="24"/>
                <w:szCs w:val="24"/>
                <w:lang w:eastAsia="sv-SE"/>
              </w:rPr>
              <w:t>Tamra</w:t>
            </w:r>
            <w:r w:rsidRPr="006B313A">
              <w:rPr>
                <w:sz w:val="24"/>
                <w:szCs w:val="24"/>
                <w:lang w:eastAsia="sv-SE"/>
              </w:rPr>
              <w:t>’s procedure.</w:t>
            </w:r>
          </w:p>
        </w:tc>
      </w:tr>
    </w:tbl>
    <w:p w14:paraId="54B74956" w14:textId="6B61BB42" w:rsidR="001048ED" w:rsidRPr="006B313A" w:rsidRDefault="00956683" w:rsidP="00956683">
      <w:pPr>
        <w:pStyle w:val="Headtable"/>
        <w:rPr>
          <w:lang w:eastAsia="sv-SE"/>
        </w:rPr>
      </w:pPr>
      <w:r w:rsidRPr="006B313A">
        <w:rPr>
          <w:lang w:eastAsia="sv-SE"/>
        </w:rPr>
        <w:t xml:space="preserve">Table 1: </w:t>
      </w:r>
      <w:r w:rsidR="00E23319" w:rsidRPr="006B313A">
        <w:rPr>
          <w:lang w:eastAsia="sv-SE"/>
        </w:rPr>
        <w:t>Tamra</w:t>
      </w:r>
      <w:r w:rsidRPr="006B313A">
        <w:rPr>
          <w:lang w:eastAsia="sv-SE"/>
        </w:rPr>
        <w:t xml:space="preserve">’s lesson on prime numbers </w:t>
      </w:r>
      <w:r w:rsidR="00410D95" w:rsidRPr="006B313A">
        <w:rPr>
          <w:lang w:eastAsia="sv-SE"/>
        </w:rPr>
        <w:t>and</w:t>
      </w:r>
      <w:r w:rsidRPr="006B313A">
        <w:rPr>
          <w:lang w:eastAsia="sv-SE"/>
        </w:rPr>
        <w:t xml:space="preserve"> coding of overtures for learner agency (open/closed) and invited substantiations (learner generated/given).</w:t>
      </w:r>
    </w:p>
    <w:p w14:paraId="42626D4F" w14:textId="77777777" w:rsidR="00956683" w:rsidRPr="006B313A" w:rsidRDefault="00956683" w:rsidP="00A62A55"/>
    <w:p w14:paraId="34FCE5A1" w14:textId="3BC00000" w:rsidR="00C661B2" w:rsidRPr="006B313A" w:rsidRDefault="00FB1657" w:rsidP="008257EA">
      <w:pPr>
        <w:pStyle w:val="BodyText"/>
      </w:pPr>
      <w:r>
        <w:t>Shortly</w:t>
      </w:r>
      <w:r w:rsidR="00CA0399" w:rsidRPr="006B313A">
        <w:t xml:space="preserve"> after the groups </w:t>
      </w:r>
      <w:r>
        <w:t>started</w:t>
      </w:r>
      <w:r w:rsidR="00CA0399" w:rsidRPr="006B313A">
        <w:t xml:space="preserve"> to work, </w:t>
      </w:r>
      <w:r w:rsidR="002C6DDD" w:rsidRPr="006B313A">
        <w:t xml:space="preserve">while Tamra circulated, </w:t>
      </w:r>
      <w:r w:rsidR="00CA0399" w:rsidRPr="006B313A">
        <w:t xml:space="preserve">the lesson took a turn. </w:t>
      </w:r>
      <w:r w:rsidR="00A62A55" w:rsidRPr="006B313A">
        <w:t xml:space="preserve">In one group, </w:t>
      </w:r>
      <w:r w:rsidR="00E23319" w:rsidRPr="006B313A">
        <w:t>Tamra</w:t>
      </w:r>
      <w:r w:rsidR="00A62A55" w:rsidRPr="006B313A">
        <w:t xml:space="preserve"> </w:t>
      </w:r>
      <w:r w:rsidR="00CA0399" w:rsidRPr="006B313A">
        <w:t>engaged the learners as she had previously in the lesson:</w:t>
      </w:r>
      <w:r w:rsidR="00A62A55" w:rsidRPr="006B313A">
        <w:t xml:space="preserve"> “Are there two numbers we can multiply to </w:t>
      </w:r>
      <w:r w:rsidR="00051F7E">
        <w:t>get</w:t>
      </w:r>
      <w:r w:rsidR="00A62A55" w:rsidRPr="006B313A">
        <w:t xml:space="preserve"> thirteen?” </w:t>
      </w:r>
      <w:r w:rsidR="00CA0399" w:rsidRPr="006B313A">
        <w:t>However, the next group she approached w</w:t>
      </w:r>
      <w:r w:rsidR="00CD08A1">
        <w:t>as</w:t>
      </w:r>
      <w:r w:rsidR="00CA0399" w:rsidRPr="006B313A">
        <w:t xml:space="preserve"> exploring larger numbers, and </w:t>
      </w:r>
      <w:r w:rsidR="00E23319" w:rsidRPr="006B313A">
        <w:t>Tamra</w:t>
      </w:r>
      <w:r w:rsidR="00CA0399" w:rsidRPr="006B313A">
        <w:t xml:space="preserve"> instead asked </w:t>
      </w:r>
      <w:r w:rsidR="0038451A">
        <w:t>whether</w:t>
      </w:r>
      <w:r w:rsidR="0038451A" w:rsidRPr="006B313A">
        <w:t xml:space="preserve"> </w:t>
      </w:r>
      <w:r w:rsidR="00A62A55" w:rsidRPr="006B313A">
        <w:t xml:space="preserve">the number in question </w:t>
      </w:r>
      <w:r w:rsidR="007461A0" w:rsidRPr="006B313A">
        <w:t xml:space="preserve">at the time </w:t>
      </w:r>
      <w:r w:rsidR="00CA0399" w:rsidRPr="006B313A">
        <w:t>could</w:t>
      </w:r>
      <w:r w:rsidR="00A62A55" w:rsidRPr="006B313A">
        <w:t xml:space="preserve"> be div</w:t>
      </w:r>
      <w:r w:rsidR="00CA0399" w:rsidRPr="006B313A">
        <w:t>ided by 2, 3</w:t>
      </w:r>
      <w:r w:rsidR="00CD08A1">
        <w:t>,</w:t>
      </w:r>
      <w:r w:rsidR="00CA0399" w:rsidRPr="006B313A">
        <w:t xml:space="preserve"> or 5. She also used</w:t>
      </w:r>
      <w:r w:rsidR="00A62A55" w:rsidRPr="006B313A">
        <w:t xml:space="preserve"> this to identify an even number which the learners ha</w:t>
      </w:r>
      <w:r w:rsidR="00CA0399" w:rsidRPr="006B313A">
        <w:t>d categorised as prime. She used</w:t>
      </w:r>
      <w:r w:rsidR="00A62A55" w:rsidRPr="006B313A">
        <w:t xml:space="preserve"> the same strategy with </w:t>
      </w:r>
      <w:r w:rsidR="00C43356" w:rsidRPr="006B313A">
        <w:t>the next</w:t>
      </w:r>
      <w:r w:rsidR="00A62A55" w:rsidRPr="006B313A">
        <w:t xml:space="preserve"> group </w:t>
      </w:r>
      <w:r w:rsidR="00C43356" w:rsidRPr="006B313A">
        <w:t xml:space="preserve">she visited, where learners were </w:t>
      </w:r>
      <w:r w:rsidR="00A62A55" w:rsidRPr="006B313A">
        <w:t xml:space="preserve">struggling to categorise 151. </w:t>
      </w:r>
      <w:r w:rsidR="00CA0399" w:rsidRPr="006B313A">
        <w:t>She did not go back to asking the more open question</w:t>
      </w:r>
      <w:r w:rsidR="00321053">
        <w:t xml:space="preserve"> –</w:t>
      </w:r>
      <w:r w:rsidR="00CA0399" w:rsidRPr="006B313A">
        <w:t xml:space="preserve"> whether learners could find factors.</w:t>
      </w:r>
    </w:p>
    <w:p w14:paraId="121DB715" w14:textId="186AB5C2" w:rsidR="00A62A55" w:rsidRPr="006B313A" w:rsidRDefault="00A62A55" w:rsidP="00A62A55">
      <w:r w:rsidRPr="006B313A">
        <w:t>The routine of checking for divisibility by 2, 3</w:t>
      </w:r>
      <w:r w:rsidR="00321053">
        <w:t>,</w:t>
      </w:r>
      <w:r w:rsidRPr="006B313A">
        <w:t xml:space="preserve"> and 5 replace</w:t>
      </w:r>
      <w:r w:rsidR="00330C9D" w:rsidRPr="006B313A">
        <w:t>d</w:t>
      </w:r>
      <w:r w:rsidRPr="006B313A">
        <w:t xml:space="preserve"> the previous approach</w:t>
      </w:r>
      <w:r w:rsidR="00AA71BB" w:rsidRPr="006B313A">
        <w:t xml:space="preserve"> of</w:t>
      </w:r>
      <w:r w:rsidRPr="006B313A">
        <w:t xml:space="preserve"> inspection by recognitio</w:t>
      </w:r>
      <w:r w:rsidR="00A61891" w:rsidRPr="006B313A">
        <w:t>n (which failed</w:t>
      </w:r>
      <w:r w:rsidRPr="006B313A">
        <w:t xml:space="preserve"> the learners working with numbers </w:t>
      </w:r>
      <w:r w:rsidR="00A61891" w:rsidRPr="006B313A">
        <w:t xml:space="preserve">larger than 100 </w:t>
      </w:r>
      <w:r w:rsidR="00357161" w:rsidRPr="006B313A">
        <w:t>and</w:t>
      </w:r>
      <w:r w:rsidR="00A61891" w:rsidRPr="006B313A">
        <w:t xml:space="preserve"> learners who did</w:t>
      </w:r>
      <w:r w:rsidRPr="006B313A">
        <w:t xml:space="preserve"> not recogni</w:t>
      </w:r>
      <w:r w:rsidR="00321053">
        <w:t>s</w:t>
      </w:r>
      <w:r w:rsidRPr="006B313A">
        <w:t xml:space="preserve">e </w:t>
      </w:r>
      <w:r w:rsidR="00DE7137" w:rsidRPr="006B313A">
        <w:t xml:space="preserve">products from the </w:t>
      </w:r>
      <w:r w:rsidR="00051F7E">
        <w:t xml:space="preserve">multiplication </w:t>
      </w:r>
      <w:r w:rsidR="00DE7137" w:rsidRPr="006B313A">
        <w:t>tables</w:t>
      </w:r>
      <w:r w:rsidR="00A61891" w:rsidRPr="006B313A">
        <w:t xml:space="preserve"> below 100</w:t>
      </w:r>
      <w:r w:rsidRPr="006B313A">
        <w:t xml:space="preserve">). </w:t>
      </w:r>
      <w:r w:rsidR="00861E3D" w:rsidRPr="006B313A">
        <w:t>I</w:t>
      </w:r>
      <w:r w:rsidRPr="006B313A">
        <w:t>n the report-back session from</w:t>
      </w:r>
      <w:r w:rsidR="00A61891" w:rsidRPr="006B313A">
        <w:t xml:space="preserve"> the groups</w:t>
      </w:r>
      <w:r w:rsidR="00405A7C">
        <w:t>,</w:t>
      </w:r>
      <w:r w:rsidR="00A61891" w:rsidRPr="006B313A">
        <w:t xml:space="preserve"> </w:t>
      </w:r>
      <w:r w:rsidR="00E23319" w:rsidRPr="006B313A">
        <w:t>Tamra</w:t>
      </w:r>
      <w:r w:rsidR="00A61891" w:rsidRPr="006B313A">
        <w:t xml:space="preserve"> </w:t>
      </w:r>
      <w:r w:rsidR="00DD73EA" w:rsidRPr="006B313A">
        <w:t>verified or rejected</w:t>
      </w:r>
      <w:r w:rsidRPr="006B313A">
        <w:t xml:space="preserve"> the </w:t>
      </w:r>
      <w:r w:rsidR="00A61891" w:rsidRPr="006B313A">
        <w:t xml:space="preserve">prime </w:t>
      </w:r>
      <w:r w:rsidRPr="006B313A">
        <w:t>numbers</w:t>
      </w:r>
      <w:r w:rsidR="00A61891" w:rsidRPr="006B313A">
        <w:t xml:space="preserve"> suggested by learners</w:t>
      </w:r>
      <w:r w:rsidRPr="006B313A">
        <w:t xml:space="preserve"> only </w:t>
      </w:r>
      <w:r w:rsidR="00700E9B" w:rsidRPr="006B313A">
        <w:t xml:space="preserve">by </w:t>
      </w:r>
      <w:r w:rsidRPr="006B313A">
        <w:t>inspect</w:t>
      </w:r>
      <w:r w:rsidR="00700E9B" w:rsidRPr="006B313A">
        <w:t>ing</w:t>
      </w:r>
      <w:r w:rsidR="00A61891" w:rsidRPr="006B313A">
        <w:t xml:space="preserve"> </w:t>
      </w:r>
      <w:r w:rsidRPr="006B313A">
        <w:t>for divisibility by 2, 3</w:t>
      </w:r>
      <w:r w:rsidR="00D9255A">
        <w:t>,</w:t>
      </w:r>
      <w:r w:rsidRPr="006B313A">
        <w:t xml:space="preserve"> and 5.</w:t>
      </w:r>
    </w:p>
    <w:p w14:paraId="1905680A" w14:textId="39A327B8" w:rsidR="00A62A55" w:rsidRPr="006B313A" w:rsidRDefault="00A62A55" w:rsidP="00A62A55">
      <w:r w:rsidRPr="006B313A">
        <w:t xml:space="preserve">Insisting on a particular procedure, taking control over when the task is </w:t>
      </w:r>
      <w:r w:rsidR="00A61891" w:rsidRPr="006B313A">
        <w:t>complete, and using closed questions, changed</w:t>
      </w:r>
      <w:r w:rsidRPr="006B313A">
        <w:t xml:space="preserve"> the situation from an exploration-requiring to a ritual-enabling OTL.</w:t>
      </w:r>
      <w:r w:rsidR="00A61891" w:rsidRPr="006B313A">
        <w:t xml:space="preserve"> It is easy to find fault with </w:t>
      </w:r>
      <w:r w:rsidR="00E23319" w:rsidRPr="006B313A">
        <w:t>Tamra</w:t>
      </w:r>
      <w:r w:rsidR="00A61891" w:rsidRPr="006B313A">
        <w:t>’s actions, her decision to take control over the choice of procedure and the closing conditions of the task. However,</w:t>
      </w:r>
    </w:p>
    <w:p w14:paraId="0D84F8AB" w14:textId="7E7682FE" w:rsidR="00A61891" w:rsidRPr="006B313A" w:rsidRDefault="00A61891" w:rsidP="00454EEB">
      <w:pPr>
        <w:pStyle w:val="Citat1"/>
      </w:pPr>
      <w:r w:rsidRPr="006B313A">
        <w:t xml:space="preserve">we could think of </w:t>
      </w:r>
      <w:r w:rsidR="00461C42">
        <w:t>‘</w:t>
      </w:r>
      <w:r w:rsidRPr="006B313A">
        <w:t>error</w:t>
      </w:r>
      <w:r w:rsidR="00461C42">
        <w:t>’</w:t>
      </w:r>
      <w:r w:rsidRPr="006B313A">
        <w:t xml:space="preserve"> in instruction—really teaching </w:t>
      </w:r>
      <w:r w:rsidR="0071562D" w:rsidRPr="006B313A">
        <w:t>that deviates</w:t>
      </w:r>
      <w:r w:rsidRPr="006B313A">
        <w:t xml:space="preserve"> from what might be deemed desirable—not as an indication of misfit, ill will, or lack of knowledge, on the part of the practitioner. Rather, we should think of this </w:t>
      </w:r>
      <w:r w:rsidR="008D1747">
        <w:t>‘</w:t>
      </w:r>
      <w:r w:rsidRPr="006B313A">
        <w:t>error</w:t>
      </w:r>
      <w:r w:rsidR="008D1747">
        <w:t>’</w:t>
      </w:r>
      <w:r w:rsidRPr="006B313A">
        <w:t xml:space="preserve"> as an indication of the possible presence of some knowledge, knowledge of what to do, which is subject to a practical rationality that justifies it. </w:t>
      </w:r>
      <w:r w:rsidR="00401E47" w:rsidRPr="006B313A">
        <w:t>(Herbst &amp; Chazan, 2011, pp. 428–</w:t>
      </w:r>
      <w:r w:rsidRPr="006B313A">
        <w:t>9)</w:t>
      </w:r>
    </w:p>
    <w:p w14:paraId="0528F2BF" w14:textId="7B580C37" w:rsidR="00A61891" w:rsidRPr="006B313A" w:rsidRDefault="00A61891" w:rsidP="00454EEB">
      <w:pPr>
        <w:pStyle w:val="BodyText"/>
      </w:pPr>
      <w:r w:rsidRPr="006B313A">
        <w:t xml:space="preserve">What made </w:t>
      </w:r>
      <w:r w:rsidR="00E23319" w:rsidRPr="006B313A">
        <w:t>Tamra</w:t>
      </w:r>
      <w:r w:rsidRPr="006B313A">
        <w:t xml:space="preserve"> change the exploration in which she had so wanted the learners to engage? </w:t>
      </w:r>
      <w:r w:rsidR="00D7412D">
        <w:t xml:space="preserve">To answer </w:t>
      </w:r>
      <w:r w:rsidRPr="006B313A">
        <w:t>this</w:t>
      </w:r>
      <w:r w:rsidR="000968E5">
        <w:t>,</w:t>
      </w:r>
      <w:r w:rsidRPr="006B313A">
        <w:t xml:space="preserve"> </w:t>
      </w:r>
      <w:r w:rsidR="00B9044A" w:rsidRPr="006B313A">
        <w:t xml:space="preserve">I </w:t>
      </w:r>
      <w:r w:rsidRPr="006B313A">
        <w:t xml:space="preserve">turn to the results of </w:t>
      </w:r>
      <w:r w:rsidR="00B9044A" w:rsidRPr="006B313A">
        <w:t>my</w:t>
      </w:r>
      <w:r w:rsidRPr="006B313A">
        <w:t xml:space="preserve"> analysis of the interviews with </w:t>
      </w:r>
      <w:r w:rsidR="00E23319" w:rsidRPr="006B313A">
        <w:t>Tamra</w:t>
      </w:r>
      <w:r w:rsidRPr="006B313A">
        <w:t>.</w:t>
      </w:r>
    </w:p>
    <w:p w14:paraId="02E5F55E" w14:textId="0CE6FDF9" w:rsidR="00A61891" w:rsidRPr="006B313A" w:rsidRDefault="008C6265" w:rsidP="00297292">
      <w:pPr>
        <w:pStyle w:val="Heading2"/>
      </w:pPr>
      <w:r w:rsidRPr="006B313A">
        <w:t xml:space="preserve">Results: Obligations experienced by </w:t>
      </w:r>
      <w:r w:rsidR="00E23319" w:rsidRPr="006B313A">
        <w:t>Tamra</w:t>
      </w:r>
    </w:p>
    <w:p w14:paraId="7E8D7F20" w14:textId="448E5F5A" w:rsidR="002F2F71" w:rsidRPr="006B313A" w:rsidRDefault="00A61891" w:rsidP="00CF1626">
      <w:pPr>
        <w:pStyle w:val="BodyText"/>
      </w:pPr>
      <w:r w:rsidRPr="006B313A">
        <w:t xml:space="preserve">The view on learners and mathematics teaching which </w:t>
      </w:r>
      <w:r w:rsidR="00E23319" w:rsidRPr="006B313A">
        <w:t>Tamra</w:t>
      </w:r>
      <w:r w:rsidRPr="006B313A">
        <w:t xml:space="preserve"> sa</w:t>
      </w:r>
      <w:r w:rsidR="00694356">
        <w:t>id</w:t>
      </w:r>
      <w:r w:rsidRPr="006B313A">
        <w:t xml:space="preserve"> dominates at her school is to focus on the </w:t>
      </w:r>
      <w:r w:rsidR="008303AC" w:rsidRPr="006B313A">
        <w:t>“</w:t>
      </w:r>
      <w:r w:rsidRPr="006B313A">
        <w:t>weaker</w:t>
      </w:r>
      <w:r w:rsidR="008303AC" w:rsidRPr="006B313A">
        <w:t>”</w:t>
      </w:r>
      <w:r w:rsidRPr="006B313A">
        <w:t xml:space="preserve"> learners, reduce the number of at-risk learners, and give everyone the opportunity to pass. </w:t>
      </w:r>
      <w:r w:rsidR="002F2F71" w:rsidRPr="006B313A">
        <w:t xml:space="preserve">This </w:t>
      </w:r>
      <w:r w:rsidR="007E21AB" w:rsidRPr="006B313A">
        <w:t xml:space="preserve">is in line with the expectations on teachers </w:t>
      </w:r>
      <w:r w:rsidR="007E21AB" w:rsidRPr="006B313A">
        <w:lastRenderedPageBreak/>
        <w:t xml:space="preserve">in Sweden generally, and so </w:t>
      </w:r>
      <w:r w:rsidR="001A2F0A" w:rsidRPr="006B313A">
        <w:t xml:space="preserve">was coded as an </w:t>
      </w:r>
      <w:r w:rsidR="001A2F0A" w:rsidRPr="006B313A">
        <w:rPr>
          <w:i/>
          <w:iCs/>
        </w:rPr>
        <w:t>interpersonal</w:t>
      </w:r>
      <w:r w:rsidR="001A2F0A" w:rsidRPr="006B313A">
        <w:t xml:space="preserve"> obligation. </w:t>
      </w:r>
      <w:r w:rsidR="0000013C" w:rsidRPr="006B313A">
        <w:t>It</w:t>
      </w:r>
      <w:r w:rsidR="007E21AB" w:rsidRPr="006B313A">
        <w:t xml:space="preserve"> </w:t>
      </w:r>
      <w:r w:rsidR="002F2F71" w:rsidRPr="006B313A">
        <w:t>is not unrelated to the socio-economic context of the school</w:t>
      </w:r>
      <w:r w:rsidR="00004CEA">
        <w:t xml:space="preserve"> –</w:t>
      </w:r>
      <w:r w:rsidR="002F2F71" w:rsidRPr="006B313A">
        <w:t xml:space="preserve"> </w:t>
      </w:r>
      <w:r w:rsidR="00E23319" w:rsidRPr="006B313A">
        <w:t>Tamra</w:t>
      </w:r>
      <w:r w:rsidR="002F2F71" w:rsidRPr="006B313A">
        <w:t xml:space="preserve"> deals with learners who have given up on school, learners with challenging home situations, and even drug abuse.</w:t>
      </w:r>
    </w:p>
    <w:p w14:paraId="2EBEEE14" w14:textId="24DFA8FA" w:rsidR="00A61891" w:rsidRPr="006B313A" w:rsidRDefault="00E23319" w:rsidP="008C6265">
      <w:r w:rsidRPr="006B313A">
        <w:t>Tamra</w:t>
      </w:r>
      <w:r w:rsidR="00A61891" w:rsidRPr="006B313A">
        <w:t xml:space="preserve"> also talks about the </w:t>
      </w:r>
      <w:r w:rsidR="000420D0">
        <w:t>pressure</w:t>
      </w:r>
      <w:r w:rsidR="000420D0" w:rsidRPr="006B313A">
        <w:t xml:space="preserve"> </w:t>
      </w:r>
      <w:r w:rsidR="00A61891" w:rsidRPr="006B313A">
        <w:t xml:space="preserve">she feels from some parents to pay special attention to their child and help the child achieve well. This obligation towards </w:t>
      </w:r>
      <w:r w:rsidR="00A61891" w:rsidRPr="006B313A">
        <w:rPr>
          <w:i/>
          <w:iCs/>
        </w:rPr>
        <w:t>individual</w:t>
      </w:r>
      <w:r w:rsidR="00A61891" w:rsidRPr="006B313A">
        <w:t xml:space="preserve"> learners</w:t>
      </w:r>
      <w:proofErr w:type="gramStart"/>
      <w:r w:rsidR="00A61891" w:rsidRPr="006B313A">
        <w:t>, and in particular</w:t>
      </w:r>
      <w:proofErr w:type="gramEnd"/>
      <w:r w:rsidR="00A61891" w:rsidRPr="006B313A">
        <w:t xml:space="preserve"> those who are identified as at-risk, creates tensions for </w:t>
      </w:r>
      <w:r w:rsidRPr="006B313A">
        <w:t>Tamra</w:t>
      </w:r>
      <w:r w:rsidR="00A61891" w:rsidRPr="006B313A">
        <w:t xml:space="preserve"> when it meets the </w:t>
      </w:r>
      <w:r w:rsidR="00807DC1" w:rsidRPr="006B313A">
        <w:rPr>
          <w:i/>
          <w:iCs/>
        </w:rPr>
        <w:t>institutional</w:t>
      </w:r>
      <w:r w:rsidR="00807DC1" w:rsidRPr="006B313A">
        <w:t xml:space="preserve"> </w:t>
      </w:r>
      <w:r w:rsidR="00A61891" w:rsidRPr="006B313A">
        <w:t>obligation to teach to and “cover” the curriculum.</w:t>
      </w:r>
      <w:r w:rsidR="00B6517D" w:rsidRPr="006B313A">
        <w:t xml:space="preserve"> When asked </w:t>
      </w:r>
      <w:r w:rsidR="002F2F71" w:rsidRPr="006B313A">
        <w:t>about the</w:t>
      </w:r>
      <w:r w:rsidR="00B6517D" w:rsidRPr="006B313A">
        <w:t xml:space="preserve"> challenge</w:t>
      </w:r>
      <w:r w:rsidR="002F2F71" w:rsidRPr="006B313A">
        <w:t>s she experiences</w:t>
      </w:r>
      <w:r w:rsidR="00B6517D" w:rsidRPr="006B313A">
        <w:t xml:space="preserve">, she </w:t>
      </w:r>
      <w:r w:rsidR="002F2F71" w:rsidRPr="006B313A">
        <w:t>starts listing these</w:t>
      </w:r>
      <w:r w:rsidR="00B6517D" w:rsidRPr="006B313A">
        <w:t>:</w:t>
      </w:r>
    </w:p>
    <w:p w14:paraId="368D48CD" w14:textId="44DC8D95" w:rsidR="00B6517D" w:rsidRPr="006B313A" w:rsidRDefault="00E23319" w:rsidP="00146B28">
      <w:pPr>
        <w:pStyle w:val="Transcript"/>
      </w:pPr>
      <w:r w:rsidRPr="006B313A">
        <w:t>Tamra</w:t>
      </w:r>
      <w:r w:rsidR="00B6517D" w:rsidRPr="006B313A">
        <w:t>:</w:t>
      </w:r>
      <w:r w:rsidR="00B6517D" w:rsidRPr="006B313A">
        <w:tab/>
        <w:t>To adapt the teaching so that it suits and reaches everyone. With which pacing must I teach that fits with the content and plan of the curriculum</w:t>
      </w:r>
      <w:r w:rsidR="004B0A5F">
        <w:t>?</w:t>
      </w:r>
      <w:r w:rsidR="00B6517D" w:rsidRPr="006B313A">
        <w:t xml:space="preserve"> </w:t>
      </w:r>
      <w:r w:rsidR="004B0A5F">
        <w:t>The g</w:t>
      </w:r>
      <w:r w:rsidR="00B6517D" w:rsidRPr="006B313A">
        <w:t xml:space="preserve">reatest challenges so far have been how I can engage learners with drug problems and </w:t>
      </w:r>
      <w:r w:rsidR="009F4611" w:rsidRPr="006B313A">
        <w:t>for</w:t>
      </w:r>
      <w:r w:rsidR="00B6517D" w:rsidRPr="006B313A">
        <w:t xml:space="preserve"> whom school has no importan</w:t>
      </w:r>
      <w:r w:rsidR="009F4611" w:rsidRPr="006B313A">
        <w:t>ce</w:t>
      </w:r>
      <w:r w:rsidR="0040736B">
        <w:t>;</w:t>
      </w:r>
      <w:r w:rsidR="00B6517D" w:rsidRPr="006B313A">
        <w:t xml:space="preserve"> I still work on that to help the learners.</w:t>
      </w:r>
    </w:p>
    <w:p w14:paraId="08BC8602" w14:textId="5EFF4C2C" w:rsidR="009C2D67" w:rsidRPr="006B313A" w:rsidRDefault="00E23319" w:rsidP="00583ED6">
      <w:pPr>
        <w:pStyle w:val="BodyText"/>
      </w:pPr>
      <w:r w:rsidRPr="006B313A">
        <w:t>Tamra</w:t>
      </w:r>
      <w:r w:rsidR="00B6517D" w:rsidRPr="006B313A">
        <w:t xml:space="preserve"> want</w:t>
      </w:r>
      <w:r w:rsidR="00E848C3" w:rsidRPr="006B313A">
        <w:t>s</w:t>
      </w:r>
      <w:r w:rsidR="00B6517D" w:rsidRPr="006B313A">
        <w:t xml:space="preserve"> the learners to engage in an exploration leading to separating positive integers </w:t>
      </w:r>
      <w:r w:rsidR="00401E47" w:rsidRPr="006B313A">
        <w:t>below 250</w:t>
      </w:r>
      <w:r w:rsidR="009C2D67" w:rsidRPr="006B313A">
        <w:t xml:space="preserve"> </w:t>
      </w:r>
      <w:r w:rsidR="00B6517D" w:rsidRPr="006B313A">
        <w:t>into prime and composite numbers</w:t>
      </w:r>
      <w:r w:rsidR="009C1C1A" w:rsidRPr="006B313A">
        <w:t xml:space="preserve"> (an obligation to </w:t>
      </w:r>
      <w:r w:rsidR="009C1C1A" w:rsidRPr="006B313A">
        <w:rPr>
          <w:i/>
          <w:iCs/>
        </w:rPr>
        <w:t>mathematics</w:t>
      </w:r>
      <w:r w:rsidR="009C1C1A" w:rsidRPr="006B313A">
        <w:t>)</w:t>
      </w:r>
      <w:r w:rsidR="009C2D67" w:rsidRPr="006B313A">
        <w:t>. At the same time, she is under obligation</w:t>
      </w:r>
      <w:r w:rsidR="00DB20C7" w:rsidRPr="006B313A">
        <w:t xml:space="preserve">, </w:t>
      </w:r>
      <w:r w:rsidR="00EA62F7">
        <w:t>from</w:t>
      </w:r>
      <w:r w:rsidR="00EA62F7" w:rsidRPr="006B313A">
        <w:t xml:space="preserve"> </w:t>
      </w:r>
      <w:r w:rsidR="00524132" w:rsidRPr="006B313A">
        <w:t>the curriculum</w:t>
      </w:r>
      <w:r w:rsidR="008F333D" w:rsidRPr="006B313A">
        <w:t xml:space="preserve"> (</w:t>
      </w:r>
      <w:r w:rsidR="008F333D" w:rsidRPr="006B313A">
        <w:rPr>
          <w:i/>
          <w:iCs/>
        </w:rPr>
        <w:t>institutional</w:t>
      </w:r>
      <w:r w:rsidR="008F333D" w:rsidRPr="006B313A">
        <w:t>)</w:t>
      </w:r>
      <w:r w:rsidR="00524132" w:rsidRPr="006B313A">
        <w:t xml:space="preserve">, </w:t>
      </w:r>
      <w:r w:rsidR="009C2D67" w:rsidRPr="006B313A">
        <w:t>to ensure that each learner can utili</w:t>
      </w:r>
      <w:r w:rsidR="003958B7">
        <w:t>s</w:t>
      </w:r>
      <w:r w:rsidR="009C2D67" w:rsidRPr="006B313A">
        <w:t>e the divisibility rules for 2, 3, 4, 5, 6, 8, 9</w:t>
      </w:r>
      <w:r w:rsidR="003958B7">
        <w:t>,</w:t>
      </w:r>
      <w:r w:rsidR="009C2D67" w:rsidRPr="006B313A">
        <w:t xml:space="preserve"> and 10 </w:t>
      </w:r>
      <w:r w:rsidR="00524132" w:rsidRPr="006B313A">
        <w:t xml:space="preserve">which </w:t>
      </w:r>
      <w:r w:rsidR="009C2D67" w:rsidRPr="006B313A">
        <w:t xml:space="preserve">they have learned in a previous lesson, and </w:t>
      </w:r>
      <w:r w:rsidR="00524132" w:rsidRPr="006B313A">
        <w:t xml:space="preserve">she </w:t>
      </w:r>
      <w:r w:rsidR="009C2D67" w:rsidRPr="006B313A">
        <w:t>expects the learners to bring that into play in the exploration. However, this was not made clear to the learners; there was no negotiation of task in this</w:t>
      </w:r>
      <w:r w:rsidR="003958B7">
        <w:t xml:space="preserve"> – </w:t>
      </w:r>
      <w:r w:rsidR="00E021E0" w:rsidRPr="006B313A">
        <w:t>for Tamra</w:t>
      </w:r>
      <w:r w:rsidR="006D2E02" w:rsidRPr="006B313A">
        <w:t xml:space="preserve"> and her learners</w:t>
      </w:r>
      <w:r w:rsidR="0099273F">
        <w:t xml:space="preserve"> – </w:t>
      </w:r>
      <w:r w:rsidR="00E021E0" w:rsidRPr="006B313A">
        <w:t xml:space="preserve">novel </w:t>
      </w:r>
      <w:r w:rsidR="009C2D67" w:rsidRPr="006B313A">
        <w:t>organi</w:t>
      </w:r>
      <w:r w:rsidR="0099273F">
        <w:t>s</w:t>
      </w:r>
      <w:r w:rsidR="009C2D67" w:rsidRPr="006B313A">
        <w:t>ation of the classroom activity.</w:t>
      </w:r>
      <w:r w:rsidR="0068575C" w:rsidRPr="006B313A">
        <w:t xml:space="preserve"> At the same time, the disallowance of calculators may facilitate the relevance of using divisibility rules, but it makes it harder for learners to quickly test a hypothesis about a number</w:t>
      </w:r>
      <w:r w:rsidR="0099273F">
        <w:t xml:space="preserve"> – </w:t>
      </w:r>
      <w:r w:rsidR="0068575C" w:rsidRPr="006B313A">
        <w:t xml:space="preserve">such as whether 151 is divisible by </w:t>
      </w:r>
      <w:r w:rsidR="0099273F">
        <w:t>seven</w:t>
      </w:r>
      <w:r w:rsidR="0068575C" w:rsidRPr="006B313A">
        <w:t xml:space="preserve"> or not.</w:t>
      </w:r>
    </w:p>
    <w:p w14:paraId="78C7CF57" w14:textId="0D42A55B" w:rsidR="001C415B" w:rsidRPr="006B313A" w:rsidRDefault="001C415B" w:rsidP="00B6517D">
      <w:r w:rsidRPr="006B313A">
        <w:t xml:space="preserve">Retrospectively, </w:t>
      </w:r>
      <w:r w:rsidR="00E23319" w:rsidRPr="006B313A">
        <w:t>Tamra</w:t>
      </w:r>
      <w:r w:rsidRPr="006B313A">
        <w:t xml:space="preserve"> acknowledges that the many learning objectives for the lesson were </w:t>
      </w:r>
      <w:r w:rsidR="009D74FA" w:rsidRPr="006B313A">
        <w:t>counterproductive</w:t>
      </w:r>
      <w:r w:rsidRPr="006B313A">
        <w:t>, particular</w:t>
      </w:r>
      <w:r w:rsidR="009D74FA" w:rsidRPr="006B313A">
        <w:t>ly</w:t>
      </w:r>
      <w:r w:rsidRPr="006B313A">
        <w:t xml:space="preserve"> for a class where many learners dislike or have given up on mathematics</w:t>
      </w:r>
      <w:r w:rsidR="00F73A8E" w:rsidRPr="006B313A">
        <w:t xml:space="preserve"> (</w:t>
      </w:r>
      <w:r w:rsidR="006D4428" w:rsidRPr="006B313A">
        <w:t xml:space="preserve">obligations to the </w:t>
      </w:r>
      <w:r w:rsidR="006D4428" w:rsidRPr="006B313A">
        <w:rPr>
          <w:i/>
          <w:iCs/>
        </w:rPr>
        <w:t>individual</w:t>
      </w:r>
      <w:r w:rsidR="006D4428" w:rsidRPr="006B313A">
        <w:t>)</w:t>
      </w:r>
      <w:r w:rsidRPr="006B313A">
        <w:t>.</w:t>
      </w:r>
    </w:p>
    <w:p w14:paraId="69F9E9D7" w14:textId="4053E19E" w:rsidR="001C415B" w:rsidRPr="006B313A" w:rsidRDefault="00E23319" w:rsidP="001C415B">
      <w:pPr>
        <w:pStyle w:val="Transcript"/>
      </w:pPr>
      <w:r w:rsidRPr="006B313A">
        <w:t>Tamra</w:t>
      </w:r>
      <w:r w:rsidR="001C415B" w:rsidRPr="006B313A">
        <w:t>:</w:t>
      </w:r>
      <w:r w:rsidR="001C415B" w:rsidRPr="006B313A">
        <w:tab/>
        <w:t>The thought was that maybe they can cement their knowledge about even and odd numbers and that [the exploration] could help them apply divisibility rules. But it was too much for such a group, which contains many [learners] who do not have strong foundations in their mathematics and have short concentration spans.</w:t>
      </w:r>
      <w:r w:rsidR="009C2A88" w:rsidRPr="006B313A">
        <w:t xml:space="preserve"> </w:t>
      </w:r>
    </w:p>
    <w:p w14:paraId="1D69B1C9" w14:textId="72C5979F" w:rsidR="00677521" w:rsidRPr="006B313A" w:rsidRDefault="00E23319" w:rsidP="0050655A">
      <w:pPr>
        <w:pStyle w:val="BodyText"/>
      </w:pPr>
      <w:r w:rsidRPr="006B313A">
        <w:t>Tamra</w:t>
      </w:r>
      <w:r w:rsidR="00677521" w:rsidRPr="006B313A">
        <w:t xml:space="preserve"> had 45 minutes for the lesson. She needed to first introduce the definition of prime and composite numbers and ensure that learners understood. In this process</w:t>
      </w:r>
      <w:r w:rsidR="004005D3">
        <w:t>,</w:t>
      </w:r>
      <w:r w:rsidR="00677521" w:rsidRPr="006B313A">
        <w:t xml:space="preserve"> she got into different factorisations of 24, and an extended </w:t>
      </w:r>
      <w:proofErr w:type="gramStart"/>
      <w:r w:rsidR="00677521" w:rsidRPr="006B313A">
        <w:t>period of time</w:t>
      </w:r>
      <w:proofErr w:type="gramEnd"/>
      <w:r w:rsidR="00677521" w:rsidRPr="006B313A">
        <w:t xml:space="preserve"> was spent organi</w:t>
      </w:r>
      <w:r w:rsidR="004005D3">
        <w:t>s</w:t>
      </w:r>
      <w:r w:rsidR="00677521" w:rsidRPr="006B313A">
        <w:t>ing the group work</w:t>
      </w:r>
      <w:r w:rsidR="00677521" w:rsidRPr="006B313A">
        <w:t xml:space="preserve">. The group work </w:t>
      </w:r>
      <w:r w:rsidR="00677521" w:rsidRPr="006B313A">
        <w:t xml:space="preserve">progressed very slowly, and because </w:t>
      </w:r>
      <w:r w:rsidRPr="006B313A">
        <w:t>Tamra</w:t>
      </w:r>
      <w:r w:rsidR="00677521" w:rsidRPr="006B313A">
        <w:t xml:space="preserve"> wanted a report-back/sharing phase at the end, only 10 minutes were left for the exploration</w:t>
      </w:r>
      <w:r w:rsidR="00E66C43" w:rsidRPr="006B313A">
        <w:t xml:space="preserve"> which </w:t>
      </w:r>
      <w:r w:rsidR="006757E1">
        <w:t>she</w:t>
      </w:r>
      <w:r w:rsidR="006757E1" w:rsidRPr="006B313A">
        <w:t xml:space="preserve"> </w:t>
      </w:r>
      <w:r w:rsidR="00E66C43" w:rsidRPr="006B313A">
        <w:t xml:space="preserve">had declared to be the </w:t>
      </w:r>
      <w:proofErr w:type="gramStart"/>
      <w:r w:rsidR="00E66C43" w:rsidRPr="006B313A">
        <w:t>main focus</w:t>
      </w:r>
      <w:proofErr w:type="gramEnd"/>
      <w:r w:rsidR="00677521" w:rsidRPr="006B313A">
        <w:t xml:space="preserve">. The time frame is part of the </w:t>
      </w:r>
      <w:r w:rsidR="00677521" w:rsidRPr="006B313A">
        <w:rPr>
          <w:i/>
          <w:iCs/>
        </w:rPr>
        <w:t>institutional</w:t>
      </w:r>
      <w:r w:rsidR="00677521" w:rsidRPr="006B313A">
        <w:t xml:space="preserve"> obligation to which </w:t>
      </w:r>
      <w:r w:rsidRPr="006B313A">
        <w:t>Tamra</w:t>
      </w:r>
      <w:r w:rsidR="00677521" w:rsidRPr="006B313A">
        <w:t xml:space="preserve"> must adhere. Yet she </w:t>
      </w:r>
      <w:r w:rsidR="00051F7E">
        <w:t>addressed</w:t>
      </w:r>
      <w:r w:rsidR="00677521" w:rsidRPr="006B313A">
        <w:t xml:space="preserve"> different ways of factori</w:t>
      </w:r>
      <w:r w:rsidR="006757E1">
        <w:t>s</w:t>
      </w:r>
      <w:r w:rsidR="00677521" w:rsidRPr="006B313A">
        <w:t>ing because she want</w:t>
      </w:r>
      <w:r w:rsidR="006757E1">
        <w:t>ed</w:t>
      </w:r>
      <w:r w:rsidR="00677521" w:rsidRPr="006B313A">
        <w:t xml:space="preserve"> to pick up on learners’ questions.</w:t>
      </w:r>
    </w:p>
    <w:p w14:paraId="2F0ADB0E" w14:textId="2E533882" w:rsidR="00677521" w:rsidRPr="006B313A" w:rsidRDefault="00E23319" w:rsidP="00677521">
      <w:pPr>
        <w:pStyle w:val="Transcript"/>
      </w:pPr>
      <w:r w:rsidRPr="006B313A">
        <w:t>Tamra</w:t>
      </w:r>
      <w:r w:rsidR="00677521" w:rsidRPr="006B313A">
        <w:t>:</w:t>
      </w:r>
      <w:r w:rsidR="00677521" w:rsidRPr="006B313A">
        <w:tab/>
        <w:t>I did it just because [different factorisations] occurre</w:t>
      </w:r>
      <w:r w:rsidR="005F06B7" w:rsidRPr="006B313A">
        <w:t xml:space="preserve">d to the learners, as I have an ability to make spontaneous changes during the time of the </w:t>
      </w:r>
      <w:r w:rsidR="005F06B7" w:rsidRPr="006B313A">
        <w:lastRenderedPageBreak/>
        <w:t>lesson based on what learners ask, and sometimes their questions awaken ideas which lead to a better result.</w:t>
      </w:r>
    </w:p>
    <w:p w14:paraId="2C14544F" w14:textId="12216103" w:rsidR="00D86F35" w:rsidRPr="006B313A" w:rsidRDefault="00D86F35" w:rsidP="0050655A">
      <w:pPr>
        <w:pStyle w:val="BodyText"/>
      </w:pPr>
      <w:r w:rsidRPr="006B313A">
        <w:t xml:space="preserve">This is one way in which </w:t>
      </w:r>
      <w:r w:rsidR="00E23319" w:rsidRPr="006B313A">
        <w:t>Tamra</w:t>
      </w:r>
      <w:r w:rsidRPr="006B313A">
        <w:t xml:space="preserve"> handles the </w:t>
      </w:r>
      <w:r w:rsidRPr="006B313A">
        <w:rPr>
          <w:i/>
          <w:iCs/>
        </w:rPr>
        <w:t>interpersonal</w:t>
      </w:r>
      <w:r w:rsidRPr="006B313A">
        <w:t xml:space="preserve"> obligation towards ensuring fruitful conversations with and between learners</w:t>
      </w:r>
      <w:r w:rsidR="00BE207F">
        <w:t>;</w:t>
      </w:r>
      <w:r w:rsidRPr="006B313A">
        <w:t xml:space="preserve"> but in this case</w:t>
      </w:r>
      <w:r w:rsidR="001A5D1E" w:rsidRPr="006B313A">
        <w:t>,</w:t>
      </w:r>
      <w:r w:rsidRPr="006B313A">
        <w:t xml:space="preserve"> it is at tension with the institutional obligation to complete the lesson within 45 minutes, because tomorrow’s lesson must be about something else</w:t>
      </w:r>
      <w:r w:rsidR="003016A4">
        <w:t xml:space="preserve"> – </w:t>
      </w:r>
      <w:r w:rsidR="00B23A3E" w:rsidRPr="006B313A">
        <w:t xml:space="preserve">as Tamra </w:t>
      </w:r>
      <w:r w:rsidR="00477915" w:rsidRPr="006B313A">
        <w:t>laments</w:t>
      </w:r>
      <w:r w:rsidR="00376CF4" w:rsidRPr="006B313A">
        <w:t xml:space="preserve"> after the lesson</w:t>
      </w:r>
      <w:r w:rsidRPr="006B313A">
        <w:t xml:space="preserve">. In a way, </w:t>
      </w:r>
      <w:r w:rsidR="00E23319" w:rsidRPr="006B313A">
        <w:t>Tamra</w:t>
      </w:r>
      <w:r w:rsidRPr="006B313A">
        <w:t>’s norm of adjust</w:t>
      </w:r>
      <w:r w:rsidR="00376CF4" w:rsidRPr="006B313A">
        <w:t>ing</w:t>
      </w:r>
      <w:r w:rsidRPr="006B313A">
        <w:t xml:space="preserve"> the lesson when constructive opportunities arise </w:t>
      </w:r>
      <w:r w:rsidR="00376CF4" w:rsidRPr="006B313A">
        <w:t xml:space="preserve">for </w:t>
      </w:r>
      <w:r w:rsidR="00726574" w:rsidRPr="006B313A">
        <w:t xml:space="preserve">engaging a mathematical narrative beyond the lesson objectives (here the fundamental theorem of arithmetic) </w:t>
      </w:r>
      <w:r w:rsidRPr="006B313A">
        <w:t xml:space="preserve">clashes with her intention of giving learners time for exploration. It is </w:t>
      </w:r>
      <w:r w:rsidR="00C472E7" w:rsidRPr="006B313A">
        <w:t xml:space="preserve">hence </w:t>
      </w:r>
      <w:r w:rsidRPr="006B313A">
        <w:t>no wonder she chooses to “</w:t>
      </w:r>
      <w:r w:rsidRPr="006B313A">
        <w:rPr>
          <w:i/>
          <w:iCs/>
        </w:rPr>
        <w:t>default to an instructional situation</w:t>
      </w:r>
      <w:r w:rsidRPr="006B313A">
        <w:t>, namely by framing the exchange according to norms that have framed other exchanges” (</w:t>
      </w:r>
      <w:r w:rsidR="00401E47" w:rsidRPr="006B313A">
        <w:t>Herbst &amp; Chazan, 2012, p. 606) –</w:t>
      </w:r>
      <w:r w:rsidRPr="006B313A">
        <w:t xml:space="preserve"> in this case by introducing a procedure.</w:t>
      </w:r>
    </w:p>
    <w:p w14:paraId="6FB83CB5" w14:textId="7C7E5373" w:rsidR="00D86F35" w:rsidRPr="006B313A" w:rsidRDefault="00D86F35" w:rsidP="00297292">
      <w:pPr>
        <w:pStyle w:val="Heading2"/>
      </w:pPr>
      <w:r w:rsidRPr="006B313A">
        <w:t>Discussion</w:t>
      </w:r>
    </w:p>
    <w:p w14:paraId="5B177864" w14:textId="526C2C8B" w:rsidR="00091CE7" w:rsidRPr="006B313A" w:rsidRDefault="00E23319" w:rsidP="0050655A">
      <w:pPr>
        <w:pStyle w:val="BodyText"/>
      </w:pPr>
      <w:r w:rsidRPr="006B313A">
        <w:t>Tamra</w:t>
      </w:r>
      <w:r w:rsidR="00014DCE" w:rsidRPr="006B313A">
        <w:t xml:space="preserve"> had two main </w:t>
      </w:r>
      <w:r w:rsidR="006C5AA1" w:rsidRPr="006B313A">
        <w:t>objectives</w:t>
      </w:r>
      <w:r w:rsidR="00014DCE" w:rsidRPr="006B313A">
        <w:t xml:space="preserve"> for the lesson</w:t>
      </w:r>
      <w:r w:rsidR="0074599E">
        <w:t xml:space="preserve"> –</w:t>
      </w:r>
      <w:r w:rsidR="00014DCE" w:rsidRPr="006B313A">
        <w:t xml:space="preserve"> to engage learners in an exploration</w:t>
      </w:r>
      <w:r w:rsidR="003E4BCA" w:rsidRPr="006B313A">
        <w:t xml:space="preserve"> of the mathematical objects of prime and </w:t>
      </w:r>
      <w:r w:rsidR="007C5966" w:rsidRPr="006B313A">
        <w:t>composite numbers, and t</w:t>
      </w:r>
      <w:r w:rsidR="00D61F22" w:rsidRPr="006B313A">
        <w:t xml:space="preserve">hat they should do so using </w:t>
      </w:r>
      <w:r w:rsidR="00101804" w:rsidRPr="006B313A">
        <w:t xml:space="preserve">previously introduced routines for checking divisibility. </w:t>
      </w:r>
      <w:r w:rsidR="00091CE7" w:rsidRPr="006B313A">
        <w:t>It appears that mathematics is sacrificed to carry the lesson through to completion, in two ways. First, the exploration-requiring OTL is transformed into a ritual-enabling OTL, reflecting a particular way for learners to engage mathematically. Second, the procedure of checking for divisibility of only 2, 3</w:t>
      </w:r>
      <w:r w:rsidR="005341CF">
        <w:t>,</w:t>
      </w:r>
      <w:r w:rsidR="00091CE7" w:rsidRPr="006B313A">
        <w:t xml:space="preserve"> and 5 has the potential to generate incorrect categori</w:t>
      </w:r>
      <w:r w:rsidR="0072794C">
        <w:t>s</w:t>
      </w:r>
      <w:r w:rsidR="00091CE7" w:rsidRPr="006B313A">
        <w:t>ation of composite numbers as prime (though it does not happen in the lesson).</w:t>
      </w:r>
    </w:p>
    <w:p w14:paraId="1E2251ED" w14:textId="0C877D3B" w:rsidR="00BC5B2D" w:rsidRPr="006B313A" w:rsidRDefault="006C5AA1" w:rsidP="00825D95">
      <w:r w:rsidRPr="006B313A">
        <w:t>In the paper, I tried to unpack Tamra’s reasons for her instructional choices in the lesson</w:t>
      </w:r>
      <w:r w:rsidR="008209F7" w:rsidRPr="006B313A">
        <w:t xml:space="preserve"> using the lens of professional rationality</w:t>
      </w:r>
      <w:r w:rsidRPr="006B313A">
        <w:t xml:space="preserve">. </w:t>
      </w:r>
      <w:r w:rsidR="00E77017" w:rsidRPr="006B313A">
        <w:t xml:space="preserve">The two </w:t>
      </w:r>
      <w:r w:rsidRPr="006B313A">
        <w:t>objectives</w:t>
      </w:r>
      <w:r w:rsidR="00E77017" w:rsidRPr="006B313A">
        <w:t xml:space="preserve"> are not in themselves in conflict. </w:t>
      </w:r>
      <w:r w:rsidR="00736757" w:rsidRPr="006B313A">
        <w:t>However, they become so</w:t>
      </w:r>
      <w:r w:rsidR="00A950FE">
        <w:t xml:space="preserve"> – </w:t>
      </w:r>
      <w:r w:rsidR="00736757" w:rsidRPr="006B313A">
        <w:t>as in the study of Thomas and Yoon (2014)</w:t>
      </w:r>
      <w:r w:rsidR="00F10DA8">
        <w:t xml:space="preserve"> –</w:t>
      </w:r>
      <w:r w:rsidR="00736757" w:rsidRPr="006B313A">
        <w:t>because of the institutional constraints of time</w:t>
      </w:r>
      <w:r w:rsidR="00FE05D6" w:rsidRPr="006B313A">
        <w:t xml:space="preserve">, together with the obligation to individual learners and </w:t>
      </w:r>
      <w:r w:rsidR="00902A74" w:rsidRPr="006B313A">
        <w:t xml:space="preserve">the interpersonal obligations of </w:t>
      </w:r>
      <w:r w:rsidR="00041B3F" w:rsidRPr="006B313A">
        <w:t>not letting learners fail.</w:t>
      </w:r>
      <w:r w:rsidR="00825D95" w:rsidRPr="006B313A">
        <w:t xml:space="preserve"> </w:t>
      </w:r>
      <w:r w:rsidR="00B9044A" w:rsidRPr="006B313A">
        <w:t xml:space="preserve">Through identifying the obligations that reflect “the hold of the environment” on </w:t>
      </w:r>
      <w:r w:rsidR="00E23319" w:rsidRPr="006B313A">
        <w:t>Tamra</w:t>
      </w:r>
      <w:r w:rsidR="00B9044A" w:rsidRPr="006B313A">
        <w:t xml:space="preserve"> as a teacher, I have aimed to map the borders of the space in which she can exercise </w:t>
      </w:r>
      <w:r w:rsidR="00691474" w:rsidRPr="006B313A">
        <w:t xml:space="preserve">her </w:t>
      </w:r>
      <w:r w:rsidR="00B9044A" w:rsidRPr="006B313A">
        <w:t>rationality.</w:t>
      </w:r>
      <w:r w:rsidR="00691474" w:rsidRPr="006B313A">
        <w:t xml:space="preserve"> My analysis shows how Tamra’s own views and efficacy, the long-term desired outcomes of teaching vis-à-vis the curriculum, the learners, and the institutional routines create tensions which inform the choices Tamra could and did make.</w:t>
      </w:r>
      <w:r w:rsidR="00BE3246" w:rsidRPr="006B313A">
        <w:t xml:space="preserve"> This is in line with previous research.</w:t>
      </w:r>
      <w:r w:rsidR="00895631" w:rsidRPr="006B313A">
        <w:t xml:space="preserve"> </w:t>
      </w:r>
      <w:r w:rsidR="00687E40">
        <w:t>What is u</w:t>
      </w:r>
      <w:r w:rsidR="00895631" w:rsidRPr="006B313A">
        <w:t>nique about Tamra’s case, however, is that she is an early career teacher deliberately trying to change her teaching</w:t>
      </w:r>
      <w:r w:rsidR="00BC5B2D" w:rsidRPr="006B313A">
        <w:t>.</w:t>
      </w:r>
    </w:p>
    <w:p w14:paraId="0EB81744" w14:textId="2942339F" w:rsidR="00413D72" w:rsidRPr="006B313A" w:rsidRDefault="00413D72" w:rsidP="00BB0DF2">
      <w:r w:rsidRPr="006B313A">
        <w:t xml:space="preserve">The lesson can be seen not just as a didactical situation between Tamra and her learners in a particular instance of space and time, but as part of Tamra’s journey to develop her teaching. </w:t>
      </w:r>
      <w:r w:rsidR="00BC5B2D" w:rsidRPr="006B313A">
        <w:t>While Tamra’s norms for teaching are still being established</w:t>
      </w:r>
      <w:r w:rsidRPr="006B313A">
        <w:t>, the lesson constitutes a personal breaching experiment (the idea of which is often ascribed to Garfinkel, e.g., 1964). By immersing herself in an instance of a practice that alters her usual teaching, she provides herself</w:t>
      </w:r>
      <w:r w:rsidR="00675B62">
        <w:t xml:space="preserve"> – </w:t>
      </w:r>
      <w:r w:rsidRPr="006B313A">
        <w:t>and the research team</w:t>
      </w:r>
      <w:r w:rsidR="00675B62">
        <w:t xml:space="preserve"> – </w:t>
      </w:r>
      <w:r w:rsidRPr="006B313A">
        <w:t xml:space="preserve">with an opportunity to see how she repairs the breaches with </w:t>
      </w:r>
      <w:r w:rsidR="00675B62">
        <w:t>the</w:t>
      </w:r>
      <w:r w:rsidR="00675B62" w:rsidRPr="006B313A">
        <w:t xml:space="preserve"> </w:t>
      </w:r>
      <w:r w:rsidRPr="006B313A">
        <w:t>norms she deliberately makes.</w:t>
      </w:r>
    </w:p>
    <w:p w14:paraId="0D00651C" w14:textId="4C75C7D1" w:rsidR="009674D9" w:rsidRPr="006B313A" w:rsidRDefault="00137109" w:rsidP="009674D9">
      <w:r w:rsidRPr="006B313A">
        <w:lastRenderedPageBreak/>
        <w:t xml:space="preserve">As shown above, when </w:t>
      </w:r>
      <w:r w:rsidR="00E726C8" w:rsidRPr="006B313A">
        <w:t xml:space="preserve">confronted with tensions, Tamra chooses to default to </w:t>
      </w:r>
      <w:r w:rsidR="00AA698F" w:rsidRPr="006B313A">
        <w:t xml:space="preserve">a more ritual-enabling OTL. </w:t>
      </w:r>
      <w:r w:rsidR="00253F46" w:rsidRPr="006B313A">
        <w:t>She start</w:t>
      </w:r>
      <w:r w:rsidR="00F85CC0">
        <w:t>ed</w:t>
      </w:r>
      <w:r w:rsidR="00253F46" w:rsidRPr="006B313A">
        <w:t xml:space="preserve"> by explaining to learners that this was going to be a different lesson, </w:t>
      </w:r>
      <w:r w:rsidR="00B14B39" w:rsidRPr="006B313A">
        <w:t xml:space="preserve">but as this description does not </w:t>
      </w:r>
      <w:r w:rsidR="008E253F" w:rsidRPr="006B313A">
        <w:t xml:space="preserve">clarify the different activity expected from learners, it does not constitute a negotiation of the didactical contract, as proposed by </w:t>
      </w:r>
      <w:r w:rsidR="00AA698F" w:rsidRPr="006B313A">
        <w:t>Herbst and Chazan (2012)</w:t>
      </w:r>
      <w:r w:rsidR="001239E0" w:rsidRPr="006B313A">
        <w:t xml:space="preserve">. </w:t>
      </w:r>
      <w:r w:rsidR="00726E11" w:rsidRPr="006B313A">
        <w:t xml:space="preserve">In the interview about the lesson, Tamra </w:t>
      </w:r>
      <w:r w:rsidR="00BB0DF2" w:rsidRPr="006B313A">
        <w:t>feels that her instructions to learners should have been clearer, but this does not capture the difference between explorative</w:t>
      </w:r>
      <w:r w:rsidR="00A5454C" w:rsidRPr="006B313A">
        <w:t xml:space="preserve"> and ritual routines</w:t>
      </w:r>
      <w:r w:rsidR="009674D9" w:rsidRPr="006B313A">
        <w:t>:</w:t>
      </w:r>
    </w:p>
    <w:p w14:paraId="6333991E" w14:textId="1B08A2AE" w:rsidR="009674D9" w:rsidRPr="006B313A" w:rsidRDefault="009674D9" w:rsidP="009674D9">
      <w:pPr>
        <w:pStyle w:val="Transcript"/>
      </w:pPr>
      <w:r w:rsidRPr="006B313A">
        <w:t>Tamra:</w:t>
      </w:r>
      <w:r w:rsidRPr="006B313A">
        <w:tab/>
        <w:t xml:space="preserve">I think that we teachers choose and through the choices we determine </w:t>
      </w:r>
      <w:r w:rsidR="00D7774C">
        <w:t>what</w:t>
      </w:r>
      <w:r w:rsidR="00D7774C" w:rsidRPr="006B313A">
        <w:t xml:space="preserve"> </w:t>
      </w:r>
      <w:r w:rsidRPr="006B313A">
        <w:t>the classroom environment becomes. [...]So the instruction was lacking a bit, my instructions to them, besides that it was, no, more was needed, it should have been well</w:t>
      </w:r>
      <w:r w:rsidR="00D7774C">
        <w:t xml:space="preserve"> </w:t>
      </w:r>
      <w:r w:rsidRPr="006B313A">
        <w:t>planned, it wasn’t well</w:t>
      </w:r>
      <w:r w:rsidR="00D7774C">
        <w:t xml:space="preserve"> </w:t>
      </w:r>
      <w:r w:rsidRPr="006B313A">
        <w:t>planned. It was planned but not really thought-through planned.</w:t>
      </w:r>
    </w:p>
    <w:p w14:paraId="0F0F5AFA" w14:textId="22A6A3E0" w:rsidR="00FF5D61" w:rsidRPr="006B313A" w:rsidRDefault="00235301" w:rsidP="00235301">
      <w:pPr>
        <w:pStyle w:val="BodyText"/>
      </w:pPr>
      <w:r w:rsidRPr="006B313A">
        <w:t xml:space="preserve">Still, Tamra does not just see this as her shortcoming; she is aware of the expectations, the hold of the environment, on her. </w:t>
      </w:r>
      <w:r w:rsidR="00743DDD" w:rsidRPr="006B313A">
        <w:t>In</w:t>
      </w:r>
      <w:r w:rsidRPr="006B313A">
        <w:t xml:space="preserve"> her own words, she must be a mathematics teacher, a special needs teacher, a psychologist, </w:t>
      </w:r>
      <w:r w:rsidR="00743DDD" w:rsidRPr="006B313A">
        <w:t xml:space="preserve">and </w:t>
      </w:r>
      <w:r w:rsidRPr="006B313A">
        <w:t>a researcher/practice developer.</w:t>
      </w:r>
    </w:p>
    <w:p w14:paraId="640646E0" w14:textId="610D30ED" w:rsidR="00D048ED" w:rsidRPr="006B313A" w:rsidRDefault="00B15AFA" w:rsidP="00D86F35">
      <w:r w:rsidRPr="006B313A">
        <w:t xml:space="preserve">What can the case offer </w:t>
      </w:r>
      <w:r w:rsidR="00224687" w:rsidRPr="006B313A">
        <w:t xml:space="preserve">mathematics education research, </w:t>
      </w:r>
      <w:r w:rsidR="00CD58DB" w:rsidRPr="006B313A">
        <w:t>teachers,</w:t>
      </w:r>
      <w:r w:rsidR="00224687" w:rsidRPr="006B313A">
        <w:t xml:space="preserve"> and teacher educators</w:t>
      </w:r>
      <w:r w:rsidR="00CD58DB">
        <w:t>?</w:t>
      </w:r>
      <w:r w:rsidR="00224687" w:rsidRPr="006B313A">
        <w:t xml:space="preserve"> </w:t>
      </w:r>
      <w:r w:rsidR="001E59CC" w:rsidRPr="006B313A">
        <w:t>I</w:t>
      </w:r>
      <w:r w:rsidR="00224687" w:rsidRPr="006B313A">
        <w:t xml:space="preserve">t reminds </w:t>
      </w:r>
      <w:r w:rsidR="00A44735" w:rsidRPr="006B313A">
        <w:t xml:space="preserve">researchers to keep in mind </w:t>
      </w:r>
      <w:r w:rsidR="00FC1340" w:rsidRPr="006B313A">
        <w:t xml:space="preserve">the constraints under which teachers </w:t>
      </w:r>
      <w:r w:rsidR="002106A2" w:rsidRPr="006B313A">
        <w:t>operate and</w:t>
      </w:r>
      <w:r w:rsidR="00FC1340" w:rsidRPr="006B313A">
        <w:t xml:space="preserve"> illustrates the relevance of the notion of practical rationality in doing so. </w:t>
      </w:r>
      <w:r w:rsidR="00224687" w:rsidRPr="006B313A">
        <w:t xml:space="preserve">Did she indeed sacrifice the mathematics? Is that the best way to </w:t>
      </w:r>
      <w:r w:rsidR="00051F7E">
        <w:t>describe</w:t>
      </w:r>
      <w:r w:rsidR="00224687" w:rsidRPr="006B313A">
        <w:t xml:space="preserve"> her choice? Or did she make a choice which enabled her to “repair” the deviation both from her normal practice and from her intended lesson, so that she could draw the lesson to a close, sufficiently cover a part of the curriculum, and leave the majority of the learners with some – even if incomplete – idea of what prime numbers </w:t>
      </w:r>
      <w:proofErr w:type="gramStart"/>
      <w:r w:rsidR="00224687" w:rsidRPr="006B313A">
        <w:t>are</w:t>
      </w:r>
      <w:proofErr w:type="gramEnd"/>
      <w:r w:rsidR="00224687" w:rsidRPr="006B313A">
        <w:t xml:space="preserve"> and how to identify them? After all, there is a day after this one, and a year after this one, in which it is up to Tamra</w:t>
      </w:r>
      <w:r w:rsidR="00C206E5">
        <w:t xml:space="preserve"> – </w:t>
      </w:r>
      <w:r w:rsidR="00224687" w:rsidRPr="006B313A">
        <w:t>and her learners</w:t>
      </w:r>
      <w:r w:rsidR="00C206E5">
        <w:t xml:space="preserve"> – </w:t>
      </w:r>
      <w:r w:rsidR="00224687" w:rsidRPr="006B313A">
        <w:t>to correct, adjust</w:t>
      </w:r>
      <w:r w:rsidR="00C206E5">
        <w:t>,</w:t>
      </w:r>
      <w:r w:rsidR="00224687" w:rsidRPr="006B313A">
        <w:t xml:space="preserve"> and expand concepts; and in which Tamra can work to correct, adjust</w:t>
      </w:r>
      <w:r w:rsidR="00C206E5">
        <w:t>,</w:t>
      </w:r>
      <w:r w:rsidR="00224687" w:rsidRPr="006B313A">
        <w:t xml:space="preserve"> and expand her teaching.</w:t>
      </w:r>
    </w:p>
    <w:p w14:paraId="4907B67C" w14:textId="4BAE7040" w:rsidR="00D361D3" w:rsidRPr="006B313A" w:rsidRDefault="001E59CC" w:rsidP="005365BF">
      <w:r w:rsidRPr="006B313A">
        <w:t xml:space="preserve">Teachers and teacher educators can utilise the </w:t>
      </w:r>
      <w:r w:rsidR="000F6D32" w:rsidRPr="006B313A">
        <w:t xml:space="preserve">discursive concepts of commognition to more precisely describe different </w:t>
      </w:r>
      <w:r w:rsidR="00FB24AD" w:rsidRPr="006B313A">
        <w:t xml:space="preserve">opportunities to learn and what this means to the activity expected from learners. </w:t>
      </w:r>
      <w:r w:rsidR="00614C21" w:rsidRPr="006B313A">
        <w:t xml:space="preserve">Together with the notion of the didactical contract and negotiation of </w:t>
      </w:r>
      <w:r w:rsidR="00BF5FC5" w:rsidRPr="006B313A">
        <w:t xml:space="preserve">the same, this becomes more than an analytical tool, it becomes a practical tool </w:t>
      </w:r>
      <w:r w:rsidR="00B75FC6" w:rsidRPr="006B313A">
        <w:t xml:space="preserve">to utilise when wanting to implement </w:t>
      </w:r>
      <w:proofErr w:type="gramStart"/>
      <w:r w:rsidR="00B75FC6" w:rsidRPr="006B313A">
        <w:t>exploration-enabling</w:t>
      </w:r>
      <w:proofErr w:type="gramEnd"/>
      <w:r w:rsidR="00B75FC6" w:rsidRPr="006B313A">
        <w:t xml:space="preserve"> OTLs.</w:t>
      </w:r>
      <w:r w:rsidR="00CF4838" w:rsidRPr="006B313A">
        <w:t xml:space="preserve"> Instead of despairing at</w:t>
      </w:r>
      <w:r w:rsidR="00CC2A65" w:rsidRPr="006B313A">
        <w:t xml:space="preserve"> the discrepancy between visions of good teaching and practice, </w:t>
      </w:r>
      <w:r w:rsidR="00855C48" w:rsidRPr="006B313A">
        <w:t xml:space="preserve">defaulting to </w:t>
      </w:r>
      <w:r w:rsidR="0073498C" w:rsidRPr="006B313A">
        <w:t xml:space="preserve">deliberately chosen aspects of instructional situations and negotiation of </w:t>
      </w:r>
      <w:r w:rsidR="004672C9" w:rsidRPr="006B313A">
        <w:t xml:space="preserve">the didactical contract can </w:t>
      </w:r>
      <w:r w:rsidR="00E045BA" w:rsidRPr="006B313A">
        <w:t xml:space="preserve">move practice in desired directions. </w:t>
      </w:r>
      <w:r w:rsidR="00AF6911" w:rsidRPr="006B313A">
        <w:t>A</w:t>
      </w:r>
      <w:r w:rsidR="00E405AC">
        <w:t>n a</w:t>
      </w:r>
      <w:r w:rsidR="00E045BA" w:rsidRPr="006B313A">
        <w:t xml:space="preserve">wareness of the professional obligations which </w:t>
      </w:r>
      <w:r w:rsidR="004253D3" w:rsidRPr="006B313A">
        <w:t>positions the teacher as a broker</w:t>
      </w:r>
      <w:r w:rsidR="00AF6911" w:rsidRPr="006B313A">
        <w:t xml:space="preserve"> may </w:t>
      </w:r>
      <w:r w:rsidR="000772CC" w:rsidRPr="006B313A">
        <w:t xml:space="preserve">assist in conscious decision-making. And </w:t>
      </w:r>
      <w:r w:rsidR="00D04DB0" w:rsidRPr="006B313A">
        <w:t xml:space="preserve">knowledge of the dimensions of </w:t>
      </w:r>
      <w:proofErr w:type="spellStart"/>
      <w:r w:rsidR="00D04DB0" w:rsidRPr="006B313A">
        <w:t>deritualisation</w:t>
      </w:r>
      <w:proofErr w:type="spellEnd"/>
      <w:r w:rsidR="00D04DB0" w:rsidRPr="006B313A">
        <w:t xml:space="preserve"> and related teaching move can guide the negotiations of the didactical contract as well as</w:t>
      </w:r>
      <w:r w:rsidR="00D361D3" w:rsidRPr="006B313A">
        <w:t xml:space="preserve"> inform instructional choices.</w:t>
      </w:r>
      <w:r w:rsidR="005365BF" w:rsidRPr="006B313A">
        <w:t xml:space="preserve"> </w:t>
      </w:r>
      <w:r w:rsidR="00D361D3" w:rsidRPr="006B313A">
        <w:t xml:space="preserve">There is much for teacher education to </w:t>
      </w:r>
      <w:r w:rsidR="005365BF" w:rsidRPr="006B313A">
        <w:t>work with here.</w:t>
      </w:r>
    </w:p>
    <w:p w14:paraId="25A57AF7" w14:textId="6BB345DD" w:rsidR="00292577" w:rsidRPr="006B313A" w:rsidRDefault="00292577" w:rsidP="00297292">
      <w:pPr>
        <w:pStyle w:val="Heading2"/>
      </w:pPr>
      <w:r w:rsidRPr="006B313A">
        <w:t>Acknowledgment</w:t>
      </w:r>
      <w:r w:rsidR="00376B9E" w:rsidRPr="006B313A">
        <w:t>s</w:t>
      </w:r>
    </w:p>
    <w:p w14:paraId="586B2E5F" w14:textId="44178A5E" w:rsidR="00292577" w:rsidRPr="006B313A" w:rsidRDefault="009B1C53" w:rsidP="00F41844">
      <w:pPr>
        <w:pStyle w:val="BodyText"/>
      </w:pPr>
      <w:r w:rsidRPr="006B313A">
        <w:t xml:space="preserve">Thank you to </w:t>
      </w:r>
      <w:r w:rsidR="00E23319" w:rsidRPr="006B313A">
        <w:t>Tamra</w:t>
      </w:r>
      <w:r w:rsidRPr="006B313A">
        <w:t xml:space="preserve">, </w:t>
      </w:r>
      <w:r w:rsidR="0083650A" w:rsidRPr="006B313A">
        <w:t>colleagues,</w:t>
      </w:r>
      <w:r w:rsidRPr="006B313A">
        <w:t xml:space="preserve"> </w:t>
      </w:r>
      <w:r w:rsidR="007F5BD2" w:rsidRPr="006B313A">
        <w:t>and reviewers</w:t>
      </w:r>
      <w:r w:rsidRPr="006B313A">
        <w:t xml:space="preserve">. This study is part of the </w:t>
      </w:r>
      <w:hyperlink r:id="rId8" w:history="1">
        <w:r w:rsidRPr="006B313A">
          <w:rPr>
            <w:rStyle w:val="Hyperlink"/>
          </w:rPr>
          <w:t>TRACE project</w:t>
        </w:r>
      </w:hyperlink>
      <w:r w:rsidRPr="006B313A">
        <w:t xml:space="preserve"> supported by the Swedish National Research Foundation,</w:t>
      </w:r>
      <w:r w:rsidR="00401E47" w:rsidRPr="006B313A">
        <w:t xml:space="preserve"> grant number 017–</w:t>
      </w:r>
      <w:r w:rsidRPr="006B313A">
        <w:t>03614.</w:t>
      </w:r>
    </w:p>
    <w:p w14:paraId="22DEC7C8" w14:textId="3229B7D0" w:rsidR="003740B8" w:rsidRPr="006B313A" w:rsidRDefault="00D22AAF" w:rsidP="00297292">
      <w:pPr>
        <w:pStyle w:val="Heading2"/>
      </w:pPr>
      <w:r w:rsidRPr="006B313A">
        <w:lastRenderedPageBreak/>
        <w:t>References</w:t>
      </w:r>
    </w:p>
    <w:p w14:paraId="7CB8119D" w14:textId="77777777" w:rsidR="00CB191B" w:rsidRPr="00CB191B" w:rsidRDefault="00CB191B" w:rsidP="00585CA4">
      <w:pPr>
        <w:pStyle w:val="References"/>
        <w:rPr>
          <w:szCs w:val="24"/>
        </w:rPr>
      </w:pPr>
      <w:r w:rsidRPr="00CB191B">
        <w:rPr>
          <w:color w:val="000000"/>
          <w:szCs w:val="24"/>
        </w:rPr>
        <w:t xml:space="preserve">Blackley, C., Redmond, P., &amp; Peel, K. (2021). Teacher decision-making in the classroom: the influence of cognitive load and teacher affect. </w:t>
      </w:r>
      <w:r w:rsidRPr="00CB191B">
        <w:rPr>
          <w:i/>
          <w:iCs/>
          <w:color w:val="000000"/>
          <w:szCs w:val="24"/>
        </w:rPr>
        <w:t>Journal of Education for Teaching, 47</w:t>
      </w:r>
      <w:r w:rsidRPr="00CB191B">
        <w:rPr>
          <w:color w:val="000000"/>
          <w:szCs w:val="24"/>
        </w:rPr>
        <w:t>(4), 548–561.</w:t>
      </w:r>
      <w:hyperlink r:id="rId9" w:history="1">
        <w:r w:rsidRPr="00CB191B">
          <w:rPr>
            <w:rStyle w:val="Hyperlink"/>
            <w:color w:val="1155CC"/>
            <w:szCs w:val="24"/>
          </w:rPr>
          <w:t xml:space="preserve"> https://doi.org/10.1080/02607476.2021.1902748</w:t>
        </w:r>
      </w:hyperlink>
      <w:r w:rsidRPr="00CB191B">
        <w:rPr>
          <w:szCs w:val="24"/>
        </w:rPr>
        <w:t xml:space="preserve"> </w:t>
      </w:r>
    </w:p>
    <w:p w14:paraId="7C82E28C" w14:textId="3F355985" w:rsidR="00F62250" w:rsidRDefault="00F62250" w:rsidP="00585CA4">
      <w:pPr>
        <w:pStyle w:val="References"/>
      </w:pPr>
      <w:r>
        <w:t xml:space="preserve">Christiansen, I. M., Corriveau, C., &amp; Pettersson, K. (2023). Hybrids between rituals and explorative routines: opportunities to learn through guided and recreated exploration. </w:t>
      </w:r>
      <w:r>
        <w:rPr>
          <w:i/>
          <w:iCs/>
        </w:rPr>
        <w:t>Educational Studies in Mathematics</w:t>
      </w:r>
      <w:r>
        <w:t xml:space="preserve">, </w:t>
      </w:r>
      <w:r>
        <w:rPr>
          <w:i/>
          <w:iCs/>
        </w:rPr>
        <w:t>112</w:t>
      </w:r>
      <w:r>
        <w:t>(1), 49-72.</w:t>
      </w:r>
      <w:r w:rsidR="009539FB">
        <w:t xml:space="preserve"> </w:t>
      </w:r>
      <w:hyperlink r:id="rId10" w:history="1">
        <w:r w:rsidR="009539FB" w:rsidRPr="00606B28">
          <w:rPr>
            <w:rStyle w:val="Hyperlink"/>
          </w:rPr>
          <w:t>https://doi.org/10.1007/s10649-022-10167-z</w:t>
        </w:r>
      </w:hyperlink>
      <w:r w:rsidR="009539FB">
        <w:rPr>
          <w:rStyle w:val="c-bibliographic-informationvalue"/>
        </w:rPr>
        <w:t xml:space="preserve"> </w:t>
      </w:r>
    </w:p>
    <w:p w14:paraId="2E343CDE" w14:textId="77777777" w:rsidR="00197CF6" w:rsidRDefault="00C646E5" w:rsidP="00197CF6">
      <w:pPr>
        <w:pStyle w:val="References"/>
        <w:rPr>
          <w:color w:val="000000"/>
          <w:szCs w:val="24"/>
        </w:rPr>
      </w:pPr>
      <w:r w:rsidRPr="00C646E5">
        <w:rPr>
          <w:color w:val="000000"/>
          <w:szCs w:val="24"/>
        </w:rPr>
        <w:t xml:space="preserve">Ebbelind, A. (2020). </w:t>
      </w:r>
      <w:r w:rsidRPr="00C646E5">
        <w:rPr>
          <w:i/>
          <w:iCs/>
          <w:color w:val="000000"/>
          <w:szCs w:val="24"/>
        </w:rPr>
        <w:t>Becoming recognised as mathematically proficient: The role of a primary school teacher education programme</w:t>
      </w:r>
      <w:r w:rsidRPr="00C646E5">
        <w:rPr>
          <w:color w:val="000000"/>
          <w:szCs w:val="24"/>
        </w:rPr>
        <w:t xml:space="preserve"> [Doctoral dissertation, Linnaeus University]. Linnaeus University Press.</w:t>
      </w:r>
    </w:p>
    <w:p w14:paraId="0FE35986" w14:textId="140F68CD" w:rsidR="00C73CF2" w:rsidRPr="00197CF6" w:rsidRDefault="00C73CF2" w:rsidP="00197CF6">
      <w:pPr>
        <w:pStyle w:val="References"/>
        <w:rPr>
          <w:color w:val="000000"/>
          <w:szCs w:val="24"/>
        </w:rPr>
      </w:pPr>
      <w:r w:rsidRPr="00C73CF2">
        <w:rPr>
          <w:color w:val="222222"/>
          <w:szCs w:val="24"/>
          <w:shd w:val="clear" w:color="auto" w:fill="FFFFFF"/>
        </w:rPr>
        <w:t xml:space="preserve">Erickson, A., Herbst, P., Ko, I., &amp; </w:t>
      </w:r>
      <w:proofErr w:type="spellStart"/>
      <w:r w:rsidRPr="00C73CF2">
        <w:rPr>
          <w:color w:val="222222"/>
          <w:szCs w:val="24"/>
          <w:shd w:val="clear" w:color="auto" w:fill="FFFFFF"/>
        </w:rPr>
        <w:t>Dimmel</w:t>
      </w:r>
      <w:proofErr w:type="spellEnd"/>
      <w:r w:rsidRPr="00C73CF2">
        <w:rPr>
          <w:color w:val="222222"/>
          <w:szCs w:val="24"/>
          <w:shd w:val="clear" w:color="auto" w:fill="FFFFFF"/>
        </w:rPr>
        <w:t>, J. (2021). When what routinely happens conflicts with what ought to be done: A scenario-based assessment of secondary mathematics teachers’ decisions. </w:t>
      </w:r>
      <w:r w:rsidRPr="00C73CF2">
        <w:rPr>
          <w:i/>
          <w:iCs/>
          <w:color w:val="222222"/>
          <w:szCs w:val="24"/>
          <w:shd w:val="clear" w:color="auto" w:fill="FFFFFF"/>
        </w:rPr>
        <w:t>Research in Mathematics Education</w:t>
      </w:r>
      <w:r w:rsidRPr="00C73CF2">
        <w:rPr>
          <w:color w:val="222222"/>
          <w:szCs w:val="24"/>
          <w:shd w:val="clear" w:color="auto" w:fill="FFFFFF"/>
        </w:rPr>
        <w:t>, </w:t>
      </w:r>
      <w:r w:rsidRPr="00C73CF2">
        <w:rPr>
          <w:i/>
          <w:iCs/>
          <w:color w:val="222222"/>
          <w:szCs w:val="24"/>
          <w:shd w:val="clear" w:color="auto" w:fill="FFFFFF"/>
        </w:rPr>
        <w:t>23</w:t>
      </w:r>
      <w:r w:rsidRPr="00C73CF2">
        <w:rPr>
          <w:color w:val="222222"/>
          <w:szCs w:val="24"/>
          <w:shd w:val="clear" w:color="auto" w:fill="FFFFFF"/>
        </w:rPr>
        <w:t>(2), 188-207.</w:t>
      </w:r>
      <w:r w:rsidR="004806D0">
        <w:rPr>
          <w:color w:val="222222"/>
          <w:szCs w:val="24"/>
          <w:shd w:val="clear" w:color="auto" w:fill="FFFFFF"/>
        </w:rPr>
        <w:t xml:space="preserve"> </w:t>
      </w:r>
      <w:hyperlink r:id="rId11" w:history="1">
        <w:r w:rsidR="004806D0">
          <w:rPr>
            <w:rStyle w:val="Hyperlink"/>
            <w:rFonts w:ascii="Open Sans" w:hAnsi="Open Sans" w:cs="Open Sans"/>
            <w:color w:val="006DB4"/>
            <w:sz w:val="20"/>
            <w:szCs w:val="20"/>
          </w:rPr>
          <w:t>https://doi.org/10.1080/14794802.2020.1855600</w:t>
        </w:r>
      </w:hyperlink>
    </w:p>
    <w:p w14:paraId="0B4A2F16" w14:textId="3D28EB2D" w:rsidR="00401E47" w:rsidRPr="004D33D5" w:rsidRDefault="00401E47" w:rsidP="00585CA4">
      <w:pPr>
        <w:pStyle w:val="References"/>
      </w:pPr>
      <w:r w:rsidRPr="004D33D5">
        <w:t xml:space="preserve">Garfinkel, H. (1964). Studies of the routine grounds of everyday activities. </w:t>
      </w:r>
      <w:r w:rsidRPr="004D33D5">
        <w:rPr>
          <w:i/>
        </w:rPr>
        <w:t>Social problems</w:t>
      </w:r>
      <w:r w:rsidRPr="004D33D5">
        <w:t xml:space="preserve">, </w:t>
      </w:r>
      <w:r w:rsidRPr="004D33D5">
        <w:rPr>
          <w:i/>
        </w:rPr>
        <w:t>11</w:t>
      </w:r>
      <w:r w:rsidRPr="004D33D5">
        <w:t>(3), 225–250.</w:t>
      </w:r>
    </w:p>
    <w:p w14:paraId="25D476D0" w14:textId="420A3519" w:rsidR="009B1C53" w:rsidRPr="004D33D5" w:rsidRDefault="009B1C53" w:rsidP="00585CA4">
      <w:pPr>
        <w:pStyle w:val="References"/>
      </w:pPr>
      <w:r w:rsidRPr="004D33D5">
        <w:t xml:space="preserve">Herbst, P., &amp; Chazan, D. (2011). Research on practical rationality: Studying the justification of actions in mathematics teaching. </w:t>
      </w:r>
      <w:r w:rsidRPr="004D33D5">
        <w:rPr>
          <w:i/>
        </w:rPr>
        <w:t>The Mathematics Enthusiast, 8</w:t>
      </w:r>
      <w:r w:rsidRPr="004D33D5">
        <w:t>(3), 405</w:t>
      </w:r>
      <w:r w:rsidR="00B6517D" w:rsidRPr="004D33D5">
        <w:t>–</w:t>
      </w:r>
      <w:r w:rsidRPr="004D33D5">
        <w:t>462.</w:t>
      </w:r>
      <w:r w:rsidR="009539FB" w:rsidRPr="009539FB">
        <w:t xml:space="preserve"> </w:t>
      </w:r>
      <w:hyperlink r:id="rId12" w:history="1">
        <w:r w:rsidR="009539FB" w:rsidRPr="00606B28">
          <w:rPr>
            <w:rStyle w:val="Hyperlink"/>
          </w:rPr>
          <w:t>https://doi.org/10.54870/1551-3440.1225</w:t>
        </w:r>
      </w:hyperlink>
      <w:r w:rsidR="009539FB">
        <w:t xml:space="preserve"> </w:t>
      </w:r>
    </w:p>
    <w:p w14:paraId="5467811F" w14:textId="4601F1E9" w:rsidR="00DD3973" w:rsidRPr="004D33D5" w:rsidRDefault="00DD3973" w:rsidP="00585CA4">
      <w:pPr>
        <w:pStyle w:val="References"/>
      </w:pPr>
      <w:r w:rsidRPr="004D33D5">
        <w:t xml:space="preserve">Herbst, P., &amp; Chazan, D. (2012). On the instructional triangle and sources of justification for actions in mathematics teaching. </w:t>
      </w:r>
      <w:r w:rsidRPr="004D33D5">
        <w:rPr>
          <w:i/>
        </w:rPr>
        <w:t>ZDM</w:t>
      </w:r>
      <w:r w:rsidR="009539FB">
        <w:rPr>
          <w:i/>
        </w:rPr>
        <w:t xml:space="preserve"> Mathematics Education</w:t>
      </w:r>
      <w:r w:rsidRPr="004D33D5">
        <w:rPr>
          <w:i/>
        </w:rPr>
        <w:t>, 44</w:t>
      </w:r>
      <w:r w:rsidRPr="004D33D5">
        <w:t>(5), 601</w:t>
      </w:r>
      <w:r w:rsidR="00B6517D" w:rsidRPr="004D33D5">
        <w:t>–</w:t>
      </w:r>
      <w:r w:rsidRPr="004D33D5">
        <w:t>612.</w:t>
      </w:r>
      <w:r w:rsidR="009539FB">
        <w:t xml:space="preserve"> </w:t>
      </w:r>
      <w:hyperlink r:id="rId13" w:history="1">
        <w:r w:rsidR="009539FB" w:rsidRPr="00606B28">
          <w:rPr>
            <w:rStyle w:val="Hyperlink"/>
          </w:rPr>
          <w:t>https://doi.org/10.1007/s11858-012-0438-6</w:t>
        </w:r>
      </w:hyperlink>
      <w:r w:rsidR="009539FB">
        <w:rPr>
          <w:rStyle w:val="c-bibliographic-informationvalue"/>
        </w:rPr>
        <w:t xml:space="preserve"> </w:t>
      </w:r>
    </w:p>
    <w:p w14:paraId="5612E446" w14:textId="081ECB59" w:rsidR="00765768" w:rsidRPr="008F0F7D" w:rsidRDefault="009B1C53" w:rsidP="00511804">
      <w:pPr>
        <w:pStyle w:val="References"/>
        <w:rPr>
          <w:szCs w:val="24"/>
        </w:rPr>
      </w:pPr>
      <w:r w:rsidRPr="008F0F7D">
        <w:rPr>
          <w:szCs w:val="24"/>
        </w:rPr>
        <w:t xml:space="preserve">Lampert, M. (1985). How do teachers manage to teach? </w:t>
      </w:r>
      <w:r w:rsidRPr="008F0F7D">
        <w:rPr>
          <w:i/>
          <w:szCs w:val="24"/>
        </w:rPr>
        <w:t>Harvard Educational Review, 55</w:t>
      </w:r>
      <w:r w:rsidRPr="008F0F7D">
        <w:rPr>
          <w:szCs w:val="24"/>
        </w:rPr>
        <w:t>(2), 178</w:t>
      </w:r>
      <w:r w:rsidR="00B6517D" w:rsidRPr="008F0F7D">
        <w:rPr>
          <w:szCs w:val="24"/>
        </w:rPr>
        <w:t>–</w:t>
      </w:r>
      <w:r w:rsidRPr="008F0F7D">
        <w:rPr>
          <w:szCs w:val="24"/>
        </w:rPr>
        <w:t>194.</w:t>
      </w:r>
    </w:p>
    <w:p w14:paraId="11997A83" w14:textId="2ACEAEC1" w:rsidR="00DD3973" w:rsidRPr="004D33D5" w:rsidRDefault="00DD3973" w:rsidP="00585CA4">
      <w:pPr>
        <w:pStyle w:val="References"/>
      </w:pPr>
      <w:r w:rsidRPr="004D33D5">
        <w:t xml:space="preserve">Lavie, I., Steiner, A., &amp; </w:t>
      </w:r>
      <w:proofErr w:type="spellStart"/>
      <w:r w:rsidRPr="004D33D5">
        <w:t>Sfard</w:t>
      </w:r>
      <w:proofErr w:type="spellEnd"/>
      <w:r w:rsidRPr="004D33D5">
        <w:t xml:space="preserve">, A. (2018). Routines we live by: From ritual to exploration. </w:t>
      </w:r>
      <w:r w:rsidRPr="004D33D5">
        <w:rPr>
          <w:i/>
        </w:rPr>
        <w:t>Educational Studies in Mathematics</w:t>
      </w:r>
      <w:r w:rsidR="00411E38">
        <w:rPr>
          <w:i/>
        </w:rPr>
        <w:t>, 101</w:t>
      </w:r>
      <w:r w:rsidRPr="004D33D5">
        <w:t xml:space="preserve">. </w:t>
      </w:r>
      <w:hyperlink r:id="rId14" w:history="1">
        <w:r w:rsidRPr="004D33D5">
          <w:rPr>
            <w:rStyle w:val="Hyperlink"/>
          </w:rPr>
          <w:t>https://doi.org/10.1007/s10649-018-9817-4</w:t>
        </w:r>
      </w:hyperlink>
      <w:r w:rsidRPr="004D33D5">
        <w:t>.</w:t>
      </w:r>
    </w:p>
    <w:p w14:paraId="4CD6A65F" w14:textId="77777777" w:rsidR="004C41B8" w:rsidRDefault="00DD3973" w:rsidP="004C41B8">
      <w:pPr>
        <w:pStyle w:val="References"/>
        <w:rPr>
          <w:rStyle w:val="c-bibliographic-informationvalue"/>
        </w:rPr>
      </w:pPr>
      <w:proofErr w:type="spellStart"/>
      <w:r w:rsidRPr="004D33D5">
        <w:t>Nachlieli</w:t>
      </w:r>
      <w:proofErr w:type="spellEnd"/>
      <w:r w:rsidRPr="004D33D5">
        <w:t xml:space="preserve">, T., &amp; </w:t>
      </w:r>
      <w:proofErr w:type="spellStart"/>
      <w:r w:rsidRPr="004D33D5">
        <w:t>Tabach</w:t>
      </w:r>
      <w:proofErr w:type="spellEnd"/>
      <w:r w:rsidRPr="004D33D5">
        <w:t xml:space="preserve">, M. (2019). Ritual-enabling opportunities-to-learn in mathematics classrooms. </w:t>
      </w:r>
      <w:r w:rsidRPr="004D33D5">
        <w:rPr>
          <w:i/>
          <w:iCs/>
        </w:rPr>
        <w:t>Educational Studies in Mathematics, 101</w:t>
      </w:r>
      <w:r w:rsidRPr="004D33D5">
        <w:t>(2), 253</w:t>
      </w:r>
      <w:r w:rsidR="00B6517D" w:rsidRPr="004D33D5">
        <w:t>–</w:t>
      </w:r>
      <w:r w:rsidRPr="004D33D5">
        <w:t>271.</w:t>
      </w:r>
      <w:r w:rsidR="009539FB">
        <w:t xml:space="preserve"> </w:t>
      </w:r>
      <w:hyperlink r:id="rId15" w:history="1">
        <w:r w:rsidR="009539FB" w:rsidRPr="00606B28">
          <w:rPr>
            <w:rStyle w:val="Hyperlink"/>
          </w:rPr>
          <w:t>https://doi.org/10.1007/s10649-018-9848-x</w:t>
        </w:r>
      </w:hyperlink>
      <w:r w:rsidR="009539FB">
        <w:rPr>
          <w:rStyle w:val="c-bibliographic-informationvalue"/>
        </w:rPr>
        <w:t xml:space="preserve"> </w:t>
      </w:r>
    </w:p>
    <w:p w14:paraId="1BD55795" w14:textId="4C7CC8E7" w:rsidR="004C41B8" w:rsidRPr="004C41B8" w:rsidRDefault="004C41B8" w:rsidP="004C41B8">
      <w:pPr>
        <w:pStyle w:val="References"/>
        <w:rPr>
          <w:szCs w:val="24"/>
        </w:rPr>
      </w:pPr>
      <w:r w:rsidRPr="004C41B8">
        <w:rPr>
          <w:color w:val="222222"/>
          <w:szCs w:val="24"/>
          <w:shd w:val="clear" w:color="auto" w:fill="FFFFFF"/>
        </w:rPr>
        <w:t>Shultz, M. C. (2022). The rationality of undergraduate mathematics instructors: The choice to use inquiry-oriented instructional practices. </w:t>
      </w:r>
      <w:r w:rsidRPr="004C41B8">
        <w:rPr>
          <w:i/>
          <w:iCs/>
          <w:color w:val="222222"/>
          <w:szCs w:val="24"/>
          <w:shd w:val="clear" w:color="auto" w:fill="FFFFFF"/>
        </w:rPr>
        <w:t>Journal for Research in Mathematics Education</w:t>
      </w:r>
      <w:r w:rsidRPr="004C41B8">
        <w:rPr>
          <w:color w:val="222222"/>
          <w:szCs w:val="24"/>
          <w:shd w:val="clear" w:color="auto" w:fill="FFFFFF"/>
        </w:rPr>
        <w:t>, </w:t>
      </w:r>
      <w:r w:rsidRPr="004C41B8">
        <w:rPr>
          <w:i/>
          <w:iCs/>
          <w:color w:val="222222"/>
          <w:szCs w:val="24"/>
          <w:shd w:val="clear" w:color="auto" w:fill="FFFFFF"/>
        </w:rPr>
        <w:t>53</w:t>
      </w:r>
      <w:r w:rsidRPr="004C41B8">
        <w:rPr>
          <w:color w:val="222222"/>
          <w:szCs w:val="24"/>
          <w:shd w:val="clear" w:color="auto" w:fill="FFFFFF"/>
        </w:rPr>
        <w:t>(3), 227-246.</w:t>
      </w:r>
      <w:r w:rsidR="00CF17B0">
        <w:rPr>
          <w:color w:val="222222"/>
          <w:szCs w:val="24"/>
          <w:shd w:val="clear" w:color="auto" w:fill="FFFFFF"/>
        </w:rPr>
        <w:t xml:space="preserve"> </w:t>
      </w:r>
      <w:hyperlink r:id="rId16" w:history="1">
        <w:r w:rsidR="00CF17B0" w:rsidRPr="00D345C1">
          <w:rPr>
            <w:rStyle w:val="Hyperlink"/>
            <w:szCs w:val="24"/>
            <w:shd w:val="clear" w:color="auto" w:fill="FFFFFF"/>
          </w:rPr>
          <w:t>https://doi.org/</w:t>
        </w:r>
        <w:r w:rsidR="00CF17B0" w:rsidRPr="00D345C1">
          <w:rPr>
            <w:rStyle w:val="Hyperlink"/>
          </w:rPr>
          <w:t>10.5951/jresematheduc-2020-0306</w:t>
        </w:r>
      </w:hyperlink>
      <w:r w:rsidR="00CF17B0">
        <w:t xml:space="preserve"> </w:t>
      </w:r>
    </w:p>
    <w:p w14:paraId="28D52382" w14:textId="77777777" w:rsidR="00DD3973" w:rsidRPr="004D33D5" w:rsidRDefault="00DD3973" w:rsidP="00585CA4">
      <w:pPr>
        <w:pStyle w:val="References"/>
      </w:pPr>
      <w:proofErr w:type="spellStart"/>
      <w:r w:rsidRPr="004D33D5">
        <w:t>Sfard</w:t>
      </w:r>
      <w:proofErr w:type="spellEnd"/>
      <w:r w:rsidRPr="004D33D5">
        <w:t xml:space="preserve">, A. (2008). </w:t>
      </w:r>
      <w:r w:rsidRPr="004D33D5">
        <w:rPr>
          <w:i/>
          <w:iCs/>
        </w:rPr>
        <w:t>Thinking as communicating: Human development, the growth of discourses, and mathematizing</w:t>
      </w:r>
      <w:r w:rsidRPr="004D33D5">
        <w:t>. Cambridge University Press.</w:t>
      </w:r>
    </w:p>
    <w:p w14:paraId="5F9D0BC6" w14:textId="77777777" w:rsidR="00874589" w:rsidRDefault="00DD3973" w:rsidP="00585CA4">
      <w:pPr>
        <w:pStyle w:val="References"/>
      </w:pPr>
      <w:proofErr w:type="spellStart"/>
      <w:r w:rsidRPr="004D33D5">
        <w:t>Sfard</w:t>
      </w:r>
      <w:proofErr w:type="spellEnd"/>
      <w:r w:rsidRPr="004D33D5">
        <w:t xml:space="preserve">, A. (2016). Ritual for ritual, exploration for exploration. In J. Adler &amp; A. </w:t>
      </w:r>
      <w:proofErr w:type="spellStart"/>
      <w:r w:rsidRPr="004D33D5">
        <w:t>Sfard</w:t>
      </w:r>
      <w:proofErr w:type="spellEnd"/>
      <w:r w:rsidRPr="004D33D5">
        <w:t xml:space="preserve"> (Eds.). </w:t>
      </w:r>
      <w:r w:rsidRPr="004D33D5">
        <w:rPr>
          <w:i/>
          <w:iCs/>
        </w:rPr>
        <w:t>Research for educational change: Transforming researchers' insights into improvement in mathematics teaching and learning</w:t>
      </w:r>
      <w:r w:rsidRPr="004D33D5">
        <w:t xml:space="preserve"> (pp. 41</w:t>
      </w:r>
      <w:r w:rsidR="00B6517D" w:rsidRPr="004D33D5">
        <w:t>–</w:t>
      </w:r>
      <w:r w:rsidRPr="004D33D5">
        <w:t>63), Routledge.</w:t>
      </w:r>
    </w:p>
    <w:p w14:paraId="223A4545" w14:textId="13D7DFAA" w:rsidR="006B58C5" w:rsidRPr="00241942" w:rsidRDefault="006B58C5" w:rsidP="00585CA4">
      <w:pPr>
        <w:pStyle w:val="References"/>
        <w:rPr>
          <w:color w:val="000000"/>
          <w:szCs w:val="24"/>
        </w:rPr>
      </w:pPr>
      <w:r w:rsidRPr="006B58C5">
        <w:rPr>
          <w:color w:val="222222"/>
          <w:szCs w:val="24"/>
          <w:shd w:val="clear" w:color="auto" w:fill="FFFFFF"/>
        </w:rPr>
        <w:t>Thomas, M., &amp; Yoon, C. (2014). The impact of conflicting goals on mathematical teaching decisions. </w:t>
      </w:r>
      <w:r w:rsidRPr="006B58C5">
        <w:rPr>
          <w:i/>
          <w:iCs/>
          <w:color w:val="222222"/>
          <w:szCs w:val="24"/>
          <w:shd w:val="clear" w:color="auto" w:fill="FFFFFF"/>
        </w:rPr>
        <w:t>Journal of Mathematics Teacher Education</w:t>
      </w:r>
      <w:r w:rsidRPr="006B58C5">
        <w:rPr>
          <w:color w:val="222222"/>
          <w:szCs w:val="24"/>
          <w:shd w:val="clear" w:color="auto" w:fill="FFFFFF"/>
        </w:rPr>
        <w:t>, </w:t>
      </w:r>
      <w:r w:rsidRPr="006B58C5">
        <w:rPr>
          <w:i/>
          <w:iCs/>
          <w:color w:val="222222"/>
          <w:szCs w:val="24"/>
          <w:shd w:val="clear" w:color="auto" w:fill="FFFFFF"/>
        </w:rPr>
        <w:t>17</w:t>
      </w:r>
      <w:r w:rsidRPr="006B58C5">
        <w:rPr>
          <w:color w:val="222222"/>
          <w:szCs w:val="24"/>
          <w:shd w:val="clear" w:color="auto" w:fill="FFFFFF"/>
        </w:rPr>
        <w:t>, 227-243.</w:t>
      </w:r>
      <w:r w:rsidR="00241942">
        <w:rPr>
          <w:color w:val="222222"/>
          <w:szCs w:val="24"/>
          <w:shd w:val="clear" w:color="auto" w:fill="FFFFFF"/>
        </w:rPr>
        <w:t xml:space="preserve"> </w:t>
      </w:r>
      <w:hyperlink r:id="rId17" w:history="1">
        <w:r w:rsidR="00241942" w:rsidRPr="00D345C1">
          <w:rPr>
            <w:rStyle w:val="Hyperlink"/>
            <w:shd w:val="clear" w:color="auto" w:fill="FFFFFF"/>
          </w:rPr>
          <w:t>https://doi.org/10.1007/s10857-013-9241-8</w:t>
        </w:r>
      </w:hyperlink>
      <w:r w:rsidR="00241942">
        <w:rPr>
          <w:color w:val="222222"/>
          <w:shd w:val="clear" w:color="auto" w:fill="FFFFFF"/>
        </w:rPr>
        <w:t xml:space="preserve"> </w:t>
      </w:r>
    </w:p>
    <w:p w14:paraId="45138912" w14:textId="6F22B9AE" w:rsidR="003740B8" w:rsidRPr="00874589" w:rsidRDefault="00874589" w:rsidP="00585CA4">
      <w:pPr>
        <w:pStyle w:val="References"/>
        <w:rPr>
          <w:szCs w:val="24"/>
        </w:rPr>
      </w:pPr>
      <w:r w:rsidRPr="00874589">
        <w:rPr>
          <w:color w:val="000000"/>
          <w:szCs w:val="24"/>
        </w:rPr>
        <w:t xml:space="preserve">Wallin, A. J., &amp; Amador, J. M. (2019). Supporting secondary rural teachers’ development of noticing and pedagogical design capacity through video clubs. </w:t>
      </w:r>
      <w:r w:rsidRPr="00874589">
        <w:rPr>
          <w:i/>
          <w:iCs/>
          <w:color w:val="000000"/>
          <w:szCs w:val="24"/>
        </w:rPr>
        <w:t>Journal of Mathematics Teacher Education</w:t>
      </w:r>
      <w:r w:rsidRPr="00874589">
        <w:rPr>
          <w:color w:val="000000"/>
          <w:szCs w:val="24"/>
        </w:rPr>
        <w:t xml:space="preserve">, </w:t>
      </w:r>
      <w:r w:rsidRPr="00874589">
        <w:rPr>
          <w:i/>
          <w:iCs/>
          <w:color w:val="000000"/>
          <w:szCs w:val="24"/>
        </w:rPr>
        <w:t>22</w:t>
      </w:r>
      <w:r w:rsidRPr="00874589">
        <w:rPr>
          <w:color w:val="000000"/>
          <w:szCs w:val="24"/>
        </w:rPr>
        <w:t>(5), 515-540.</w:t>
      </w:r>
      <w:hyperlink r:id="rId18" w:history="1">
        <w:r w:rsidRPr="00874589">
          <w:rPr>
            <w:rStyle w:val="Hyperlink"/>
            <w:color w:val="000000"/>
            <w:szCs w:val="24"/>
          </w:rPr>
          <w:t xml:space="preserve"> </w:t>
        </w:r>
        <w:r w:rsidRPr="00874589">
          <w:rPr>
            <w:rStyle w:val="Hyperlink"/>
            <w:color w:val="000000"/>
            <w:szCs w:val="24"/>
            <w:shd w:val="clear" w:color="auto" w:fill="FFFFFF"/>
          </w:rPr>
          <w:t>https://doi.org/10.1007/s10857-018-9397-3</w:t>
        </w:r>
      </w:hyperlink>
      <w:r w:rsidR="009B1C53" w:rsidRPr="00874589">
        <w:rPr>
          <w:szCs w:val="24"/>
        </w:rPr>
        <w:t xml:space="preserve"> </w:t>
      </w:r>
    </w:p>
    <w:sectPr w:rsidR="003740B8" w:rsidRPr="00874589" w:rsidSect="001730BC">
      <w:headerReference w:type="default" r:id="rId19"/>
      <w:pgSz w:w="11901" w:h="16817" w:code="9"/>
      <w:pgMar w:top="1701" w:right="1418" w:bottom="1418" w:left="1418" w:header="851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8F85" w14:textId="77777777" w:rsidR="001730BC" w:rsidRDefault="001730BC" w:rsidP="00071E64">
      <w:r>
        <w:separator/>
      </w:r>
    </w:p>
  </w:endnote>
  <w:endnote w:type="continuationSeparator" w:id="0">
    <w:p w14:paraId="0B9B8325" w14:textId="77777777" w:rsidR="001730BC" w:rsidRDefault="001730BC" w:rsidP="0007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3540E" w14:textId="77777777" w:rsidR="001730BC" w:rsidRDefault="001730BC" w:rsidP="00071E64">
      <w:r>
        <w:separator/>
      </w:r>
    </w:p>
  </w:footnote>
  <w:footnote w:type="continuationSeparator" w:id="0">
    <w:p w14:paraId="756BFADD" w14:textId="77777777" w:rsidR="001730BC" w:rsidRDefault="001730BC" w:rsidP="00071E64">
      <w:r>
        <w:continuationSeparator/>
      </w:r>
    </w:p>
  </w:footnote>
  <w:footnote w:id="1">
    <w:p w14:paraId="5987DDF6" w14:textId="45CCE331" w:rsidR="00081FE6" w:rsidRPr="006B313A" w:rsidRDefault="00081FE6" w:rsidP="00DA39D6">
      <w:pPr>
        <w:pStyle w:val="FootnoteText"/>
        <w:ind w:firstLine="9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B313A">
        <w:rPr>
          <w:lang w:val="en-US"/>
        </w:rPr>
        <w:t xml:space="preserve">All </w:t>
      </w:r>
      <w:r w:rsidR="00DA39D6" w:rsidRPr="006B313A">
        <w:rPr>
          <w:lang w:val="en-US"/>
        </w:rPr>
        <w:t>quotes from the lesson and the interviews were transcribed in Swedish and translated by 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684B" w14:textId="77777777" w:rsidR="008931C4" w:rsidRDefault="008931C4" w:rsidP="00071E64"/>
  <w:p w14:paraId="7EF6BEF0" w14:textId="77777777" w:rsidR="008931C4" w:rsidRDefault="008931C4" w:rsidP="00071E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DE9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32787B"/>
    <w:multiLevelType w:val="multilevel"/>
    <w:tmpl w:val="901A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534604">
    <w:abstractNumId w:val="0"/>
  </w:num>
  <w:num w:numId="2" w16cid:durableId="1286735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linkStyles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B3E"/>
    <w:rsid w:val="0000013C"/>
    <w:rsid w:val="00000252"/>
    <w:rsid w:val="00004CEA"/>
    <w:rsid w:val="00014DCE"/>
    <w:rsid w:val="00015736"/>
    <w:rsid w:val="00015CAF"/>
    <w:rsid w:val="0002138E"/>
    <w:rsid w:val="0002376A"/>
    <w:rsid w:val="00034335"/>
    <w:rsid w:val="000350F8"/>
    <w:rsid w:val="00041B3F"/>
    <w:rsid w:val="000420D0"/>
    <w:rsid w:val="00043EB6"/>
    <w:rsid w:val="00045DBD"/>
    <w:rsid w:val="00051F7E"/>
    <w:rsid w:val="00052DFC"/>
    <w:rsid w:val="000547B8"/>
    <w:rsid w:val="0006062F"/>
    <w:rsid w:val="00071E64"/>
    <w:rsid w:val="00072C4B"/>
    <w:rsid w:val="000741F7"/>
    <w:rsid w:val="000758AD"/>
    <w:rsid w:val="00076373"/>
    <w:rsid w:val="000772CC"/>
    <w:rsid w:val="00081C66"/>
    <w:rsid w:val="00081FE6"/>
    <w:rsid w:val="000847BB"/>
    <w:rsid w:val="00091CE7"/>
    <w:rsid w:val="00095B65"/>
    <w:rsid w:val="00096692"/>
    <w:rsid w:val="000968E5"/>
    <w:rsid w:val="00097A3A"/>
    <w:rsid w:val="000A2AB3"/>
    <w:rsid w:val="000A5F76"/>
    <w:rsid w:val="000B0776"/>
    <w:rsid w:val="000B0E95"/>
    <w:rsid w:val="000B221C"/>
    <w:rsid w:val="000B482B"/>
    <w:rsid w:val="000C5FBD"/>
    <w:rsid w:val="000D015C"/>
    <w:rsid w:val="000D76BC"/>
    <w:rsid w:val="000E1166"/>
    <w:rsid w:val="000E1FC4"/>
    <w:rsid w:val="000E4EC1"/>
    <w:rsid w:val="000E756B"/>
    <w:rsid w:val="000F4B86"/>
    <w:rsid w:val="000F6D32"/>
    <w:rsid w:val="000F7B8B"/>
    <w:rsid w:val="00101804"/>
    <w:rsid w:val="00104874"/>
    <w:rsid w:val="001048ED"/>
    <w:rsid w:val="00106DEF"/>
    <w:rsid w:val="00107E7D"/>
    <w:rsid w:val="00111753"/>
    <w:rsid w:val="001225FC"/>
    <w:rsid w:val="001233DD"/>
    <w:rsid w:val="001239E0"/>
    <w:rsid w:val="001339F2"/>
    <w:rsid w:val="00135480"/>
    <w:rsid w:val="00136C3F"/>
    <w:rsid w:val="00137109"/>
    <w:rsid w:val="0014170B"/>
    <w:rsid w:val="00141A4F"/>
    <w:rsid w:val="00144584"/>
    <w:rsid w:val="00146B28"/>
    <w:rsid w:val="00155380"/>
    <w:rsid w:val="00166371"/>
    <w:rsid w:val="00167AF9"/>
    <w:rsid w:val="00170365"/>
    <w:rsid w:val="001725E3"/>
    <w:rsid w:val="001730BC"/>
    <w:rsid w:val="00173EFF"/>
    <w:rsid w:val="001756E1"/>
    <w:rsid w:val="001757D1"/>
    <w:rsid w:val="00176D10"/>
    <w:rsid w:val="001776B5"/>
    <w:rsid w:val="001855C8"/>
    <w:rsid w:val="00197B24"/>
    <w:rsid w:val="00197CF6"/>
    <w:rsid w:val="001A2F0A"/>
    <w:rsid w:val="001A5D1E"/>
    <w:rsid w:val="001A6819"/>
    <w:rsid w:val="001B0E26"/>
    <w:rsid w:val="001B725F"/>
    <w:rsid w:val="001C415B"/>
    <w:rsid w:val="001C698D"/>
    <w:rsid w:val="001D6511"/>
    <w:rsid w:val="001E4AA4"/>
    <w:rsid w:val="001E59CC"/>
    <w:rsid w:val="001E5B69"/>
    <w:rsid w:val="001E5DCD"/>
    <w:rsid w:val="001E7280"/>
    <w:rsid w:val="00206897"/>
    <w:rsid w:val="002106A2"/>
    <w:rsid w:val="00220BF1"/>
    <w:rsid w:val="00224687"/>
    <w:rsid w:val="00235301"/>
    <w:rsid w:val="00237C90"/>
    <w:rsid w:val="002403EF"/>
    <w:rsid w:val="00241942"/>
    <w:rsid w:val="002426AF"/>
    <w:rsid w:val="00244055"/>
    <w:rsid w:val="00244B7C"/>
    <w:rsid w:val="00250219"/>
    <w:rsid w:val="002519C3"/>
    <w:rsid w:val="00251A98"/>
    <w:rsid w:val="00253F46"/>
    <w:rsid w:val="00254A99"/>
    <w:rsid w:val="00273BAA"/>
    <w:rsid w:val="0028174B"/>
    <w:rsid w:val="00292577"/>
    <w:rsid w:val="00297292"/>
    <w:rsid w:val="002C6730"/>
    <w:rsid w:val="002C6DDD"/>
    <w:rsid w:val="002C7C58"/>
    <w:rsid w:val="002D1C9F"/>
    <w:rsid w:val="002D1F61"/>
    <w:rsid w:val="002D5380"/>
    <w:rsid w:val="002D7FEF"/>
    <w:rsid w:val="002E126A"/>
    <w:rsid w:val="002F06C6"/>
    <w:rsid w:val="002F2F71"/>
    <w:rsid w:val="002F4981"/>
    <w:rsid w:val="002F718C"/>
    <w:rsid w:val="002F7E20"/>
    <w:rsid w:val="003016A4"/>
    <w:rsid w:val="003038DA"/>
    <w:rsid w:val="00305CCC"/>
    <w:rsid w:val="00312C88"/>
    <w:rsid w:val="00317504"/>
    <w:rsid w:val="003177E9"/>
    <w:rsid w:val="003178F6"/>
    <w:rsid w:val="00321053"/>
    <w:rsid w:val="0032501E"/>
    <w:rsid w:val="00330C9D"/>
    <w:rsid w:val="00343E58"/>
    <w:rsid w:val="003444F8"/>
    <w:rsid w:val="003451F5"/>
    <w:rsid w:val="00345EC6"/>
    <w:rsid w:val="003473E6"/>
    <w:rsid w:val="003474E1"/>
    <w:rsid w:val="0035289B"/>
    <w:rsid w:val="003537C9"/>
    <w:rsid w:val="00357161"/>
    <w:rsid w:val="0036134E"/>
    <w:rsid w:val="00363240"/>
    <w:rsid w:val="00364ABD"/>
    <w:rsid w:val="00371F98"/>
    <w:rsid w:val="00373962"/>
    <w:rsid w:val="003740B8"/>
    <w:rsid w:val="00375D8D"/>
    <w:rsid w:val="003765C7"/>
    <w:rsid w:val="00376B9E"/>
    <w:rsid w:val="00376CF4"/>
    <w:rsid w:val="00376D85"/>
    <w:rsid w:val="0038451A"/>
    <w:rsid w:val="00384537"/>
    <w:rsid w:val="00385ABE"/>
    <w:rsid w:val="0039152F"/>
    <w:rsid w:val="00391737"/>
    <w:rsid w:val="003952BA"/>
    <w:rsid w:val="003958B7"/>
    <w:rsid w:val="003A2D9F"/>
    <w:rsid w:val="003A3210"/>
    <w:rsid w:val="003A4F5D"/>
    <w:rsid w:val="003A6F48"/>
    <w:rsid w:val="003B0B48"/>
    <w:rsid w:val="003C1484"/>
    <w:rsid w:val="003E0078"/>
    <w:rsid w:val="003E1E4B"/>
    <w:rsid w:val="003E4BCA"/>
    <w:rsid w:val="003F16E4"/>
    <w:rsid w:val="003F1C6C"/>
    <w:rsid w:val="003F7A02"/>
    <w:rsid w:val="004005D3"/>
    <w:rsid w:val="00401E47"/>
    <w:rsid w:val="00405A7C"/>
    <w:rsid w:val="0040736B"/>
    <w:rsid w:val="00410D95"/>
    <w:rsid w:val="00411E38"/>
    <w:rsid w:val="004136F4"/>
    <w:rsid w:val="00413D72"/>
    <w:rsid w:val="004169E1"/>
    <w:rsid w:val="00417E06"/>
    <w:rsid w:val="00420A48"/>
    <w:rsid w:val="00424B6F"/>
    <w:rsid w:val="004253D3"/>
    <w:rsid w:val="00430FA1"/>
    <w:rsid w:val="00431B3E"/>
    <w:rsid w:val="004340DA"/>
    <w:rsid w:val="00434DCF"/>
    <w:rsid w:val="00437AB0"/>
    <w:rsid w:val="00451D29"/>
    <w:rsid w:val="004534DF"/>
    <w:rsid w:val="00454B1D"/>
    <w:rsid w:val="00454EEB"/>
    <w:rsid w:val="00455DBE"/>
    <w:rsid w:val="00461C42"/>
    <w:rsid w:val="004654C8"/>
    <w:rsid w:val="004666F2"/>
    <w:rsid w:val="004672C9"/>
    <w:rsid w:val="004708E8"/>
    <w:rsid w:val="004709A2"/>
    <w:rsid w:val="004754E0"/>
    <w:rsid w:val="004774EA"/>
    <w:rsid w:val="00477915"/>
    <w:rsid w:val="004806D0"/>
    <w:rsid w:val="00481B18"/>
    <w:rsid w:val="004917FC"/>
    <w:rsid w:val="00491E4E"/>
    <w:rsid w:val="00496E76"/>
    <w:rsid w:val="004A2162"/>
    <w:rsid w:val="004A3C4D"/>
    <w:rsid w:val="004B0A5F"/>
    <w:rsid w:val="004B1DFC"/>
    <w:rsid w:val="004B44B5"/>
    <w:rsid w:val="004C3F65"/>
    <w:rsid w:val="004C41B8"/>
    <w:rsid w:val="004D02C6"/>
    <w:rsid w:val="004D33D5"/>
    <w:rsid w:val="004D5F75"/>
    <w:rsid w:val="004D6183"/>
    <w:rsid w:val="004E44A2"/>
    <w:rsid w:val="004E7FB5"/>
    <w:rsid w:val="004F16E5"/>
    <w:rsid w:val="00500E2E"/>
    <w:rsid w:val="00502768"/>
    <w:rsid w:val="00504660"/>
    <w:rsid w:val="005062C0"/>
    <w:rsid w:val="0050655A"/>
    <w:rsid w:val="00510240"/>
    <w:rsid w:val="00510D9E"/>
    <w:rsid w:val="00511804"/>
    <w:rsid w:val="005118F7"/>
    <w:rsid w:val="00524132"/>
    <w:rsid w:val="00526490"/>
    <w:rsid w:val="005276C1"/>
    <w:rsid w:val="005341CF"/>
    <w:rsid w:val="005365BF"/>
    <w:rsid w:val="00537BA1"/>
    <w:rsid w:val="00543594"/>
    <w:rsid w:val="00544115"/>
    <w:rsid w:val="00544D2C"/>
    <w:rsid w:val="00545FCF"/>
    <w:rsid w:val="00550020"/>
    <w:rsid w:val="005631C1"/>
    <w:rsid w:val="005637FE"/>
    <w:rsid w:val="00570591"/>
    <w:rsid w:val="00574B2A"/>
    <w:rsid w:val="00580E11"/>
    <w:rsid w:val="00583ED6"/>
    <w:rsid w:val="00584BC6"/>
    <w:rsid w:val="00585CA4"/>
    <w:rsid w:val="00586DF9"/>
    <w:rsid w:val="00591A8E"/>
    <w:rsid w:val="005B0E57"/>
    <w:rsid w:val="005B27C7"/>
    <w:rsid w:val="005B5C2C"/>
    <w:rsid w:val="005B693F"/>
    <w:rsid w:val="005C0D61"/>
    <w:rsid w:val="005C10E6"/>
    <w:rsid w:val="005C3215"/>
    <w:rsid w:val="005C3733"/>
    <w:rsid w:val="005C3C5C"/>
    <w:rsid w:val="005C6512"/>
    <w:rsid w:val="005C6564"/>
    <w:rsid w:val="005C78A2"/>
    <w:rsid w:val="005D19B6"/>
    <w:rsid w:val="005E2FA2"/>
    <w:rsid w:val="005E3DB3"/>
    <w:rsid w:val="005E4715"/>
    <w:rsid w:val="005E6FF7"/>
    <w:rsid w:val="005F06B7"/>
    <w:rsid w:val="005F3DBA"/>
    <w:rsid w:val="005F7FAC"/>
    <w:rsid w:val="006016CA"/>
    <w:rsid w:val="0060329E"/>
    <w:rsid w:val="00606073"/>
    <w:rsid w:val="0061077C"/>
    <w:rsid w:val="00613747"/>
    <w:rsid w:val="0061379D"/>
    <w:rsid w:val="00614C21"/>
    <w:rsid w:val="00615ECD"/>
    <w:rsid w:val="00616B5C"/>
    <w:rsid w:val="00623B80"/>
    <w:rsid w:val="006243C5"/>
    <w:rsid w:val="00625708"/>
    <w:rsid w:val="006269E3"/>
    <w:rsid w:val="00637175"/>
    <w:rsid w:val="00637F2A"/>
    <w:rsid w:val="006441A7"/>
    <w:rsid w:val="00645A97"/>
    <w:rsid w:val="006613E0"/>
    <w:rsid w:val="00661D1D"/>
    <w:rsid w:val="00663B7E"/>
    <w:rsid w:val="0067006F"/>
    <w:rsid w:val="006757E1"/>
    <w:rsid w:val="00675B62"/>
    <w:rsid w:val="00677521"/>
    <w:rsid w:val="00682949"/>
    <w:rsid w:val="00684480"/>
    <w:rsid w:val="00684B7D"/>
    <w:rsid w:val="0068575C"/>
    <w:rsid w:val="00687E40"/>
    <w:rsid w:val="00691474"/>
    <w:rsid w:val="00691647"/>
    <w:rsid w:val="006939D7"/>
    <w:rsid w:val="00694356"/>
    <w:rsid w:val="0069467C"/>
    <w:rsid w:val="00697A8B"/>
    <w:rsid w:val="006A3252"/>
    <w:rsid w:val="006A4AD8"/>
    <w:rsid w:val="006A4FCB"/>
    <w:rsid w:val="006B0F02"/>
    <w:rsid w:val="006B1268"/>
    <w:rsid w:val="006B313A"/>
    <w:rsid w:val="006B3664"/>
    <w:rsid w:val="006B58C5"/>
    <w:rsid w:val="006C2C37"/>
    <w:rsid w:val="006C5AA1"/>
    <w:rsid w:val="006C6AD4"/>
    <w:rsid w:val="006D2E02"/>
    <w:rsid w:val="006D4428"/>
    <w:rsid w:val="006D6610"/>
    <w:rsid w:val="006E7A16"/>
    <w:rsid w:val="006F2137"/>
    <w:rsid w:val="006F3613"/>
    <w:rsid w:val="006F3C2B"/>
    <w:rsid w:val="006F3DF0"/>
    <w:rsid w:val="00700E9B"/>
    <w:rsid w:val="00711F8B"/>
    <w:rsid w:val="00712386"/>
    <w:rsid w:val="0071562D"/>
    <w:rsid w:val="00716AC1"/>
    <w:rsid w:val="00716F07"/>
    <w:rsid w:val="00721608"/>
    <w:rsid w:val="00721F89"/>
    <w:rsid w:val="00724B63"/>
    <w:rsid w:val="00725D5A"/>
    <w:rsid w:val="00726574"/>
    <w:rsid w:val="00726E11"/>
    <w:rsid w:val="0072794C"/>
    <w:rsid w:val="0073362B"/>
    <w:rsid w:val="007345B1"/>
    <w:rsid w:val="0073498C"/>
    <w:rsid w:val="00736757"/>
    <w:rsid w:val="007425D0"/>
    <w:rsid w:val="00743DDD"/>
    <w:rsid w:val="0074599E"/>
    <w:rsid w:val="007461A0"/>
    <w:rsid w:val="00746EB7"/>
    <w:rsid w:val="00754709"/>
    <w:rsid w:val="00765768"/>
    <w:rsid w:val="007671EA"/>
    <w:rsid w:val="00770E7F"/>
    <w:rsid w:val="00774009"/>
    <w:rsid w:val="00791306"/>
    <w:rsid w:val="007920EB"/>
    <w:rsid w:val="007A0144"/>
    <w:rsid w:val="007A5E53"/>
    <w:rsid w:val="007B3CC0"/>
    <w:rsid w:val="007C3977"/>
    <w:rsid w:val="007C5966"/>
    <w:rsid w:val="007C6302"/>
    <w:rsid w:val="007D20B5"/>
    <w:rsid w:val="007E21AB"/>
    <w:rsid w:val="007F0874"/>
    <w:rsid w:val="007F1B62"/>
    <w:rsid w:val="007F3D3C"/>
    <w:rsid w:val="007F5BD2"/>
    <w:rsid w:val="007F5F5B"/>
    <w:rsid w:val="008014F0"/>
    <w:rsid w:val="00801C16"/>
    <w:rsid w:val="00807DC1"/>
    <w:rsid w:val="00811DF0"/>
    <w:rsid w:val="00813CAD"/>
    <w:rsid w:val="008156BE"/>
    <w:rsid w:val="00815BBF"/>
    <w:rsid w:val="008209F7"/>
    <w:rsid w:val="008227C8"/>
    <w:rsid w:val="008257EA"/>
    <w:rsid w:val="00825D95"/>
    <w:rsid w:val="008303AC"/>
    <w:rsid w:val="008343F4"/>
    <w:rsid w:val="00834C99"/>
    <w:rsid w:val="0083650A"/>
    <w:rsid w:val="008443AD"/>
    <w:rsid w:val="008444EF"/>
    <w:rsid w:val="0085216A"/>
    <w:rsid w:val="00855319"/>
    <w:rsid w:val="00855C48"/>
    <w:rsid w:val="00861E3D"/>
    <w:rsid w:val="00862C16"/>
    <w:rsid w:val="008679DD"/>
    <w:rsid w:val="00872A96"/>
    <w:rsid w:val="00874589"/>
    <w:rsid w:val="00874EE9"/>
    <w:rsid w:val="00881C3F"/>
    <w:rsid w:val="00885944"/>
    <w:rsid w:val="00885D29"/>
    <w:rsid w:val="00892DE9"/>
    <w:rsid w:val="008931C4"/>
    <w:rsid w:val="00895631"/>
    <w:rsid w:val="00896F24"/>
    <w:rsid w:val="008A4E27"/>
    <w:rsid w:val="008A6F20"/>
    <w:rsid w:val="008A7673"/>
    <w:rsid w:val="008B0971"/>
    <w:rsid w:val="008B0C74"/>
    <w:rsid w:val="008B688A"/>
    <w:rsid w:val="008C2EBB"/>
    <w:rsid w:val="008C319E"/>
    <w:rsid w:val="008C6265"/>
    <w:rsid w:val="008C7287"/>
    <w:rsid w:val="008D1747"/>
    <w:rsid w:val="008D517D"/>
    <w:rsid w:val="008E029B"/>
    <w:rsid w:val="008E1AA9"/>
    <w:rsid w:val="008E253F"/>
    <w:rsid w:val="008E3508"/>
    <w:rsid w:val="008F0F7D"/>
    <w:rsid w:val="008F245C"/>
    <w:rsid w:val="008F333D"/>
    <w:rsid w:val="008F47A3"/>
    <w:rsid w:val="008F6E96"/>
    <w:rsid w:val="008F7A86"/>
    <w:rsid w:val="00900E4C"/>
    <w:rsid w:val="009016FE"/>
    <w:rsid w:val="00902A74"/>
    <w:rsid w:val="00902A84"/>
    <w:rsid w:val="00904789"/>
    <w:rsid w:val="00904E1A"/>
    <w:rsid w:val="009058B5"/>
    <w:rsid w:val="00910AC2"/>
    <w:rsid w:val="00913747"/>
    <w:rsid w:val="00914C8C"/>
    <w:rsid w:val="0091773D"/>
    <w:rsid w:val="00935A3A"/>
    <w:rsid w:val="0094474E"/>
    <w:rsid w:val="00952D4A"/>
    <w:rsid w:val="009539FB"/>
    <w:rsid w:val="00956683"/>
    <w:rsid w:val="00960725"/>
    <w:rsid w:val="00961DBB"/>
    <w:rsid w:val="0096484A"/>
    <w:rsid w:val="009665B9"/>
    <w:rsid w:val="00966696"/>
    <w:rsid w:val="009670A0"/>
    <w:rsid w:val="009674D9"/>
    <w:rsid w:val="0096761A"/>
    <w:rsid w:val="009766D1"/>
    <w:rsid w:val="00982A5E"/>
    <w:rsid w:val="0099273F"/>
    <w:rsid w:val="009A0136"/>
    <w:rsid w:val="009A77CA"/>
    <w:rsid w:val="009B1C53"/>
    <w:rsid w:val="009B4E78"/>
    <w:rsid w:val="009B57F6"/>
    <w:rsid w:val="009C12B5"/>
    <w:rsid w:val="009C1C1A"/>
    <w:rsid w:val="009C2A88"/>
    <w:rsid w:val="009C2D67"/>
    <w:rsid w:val="009C3D58"/>
    <w:rsid w:val="009D74FA"/>
    <w:rsid w:val="009D7B73"/>
    <w:rsid w:val="009E2832"/>
    <w:rsid w:val="009E335E"/>
    <w:rsid w:val="009F3960"/>
    <w:rsid w:val="009F4611"/>
    <w:rsid w:val="009F4C93"/>
    <w:rsid w:val="009F5101"/>
    <w:rsid w:val="009F5487"/>
    <w:rsid w:val="009F6E33"/>
    <w:rsid w:val="009F724C"/>
    <w:rsid w:val="00A07B00"/>
    <w:rsid w:val="00A07C8B"/>
    <w:rsid w:val="00A10A10"/>
    <w:rsid w:val="00A14CF4"/>
    <w:rsid w:val="00A2075C"/>
    <w:rsid w:val="00A24288"/>
    <w:rsid w:val="00A25134"/>
    <w:rsid w:val="00A25458"/>
    <w:rsid w:val="00A34CD5"/>
    <w:rsid w:val="00A44735"/>
    <w:rsid w:val="00A5454C"/>
    <w:rsid w:val="00A57EE3"/>
    <w:rsid w:val="00A607AE"/>
    <w:rsid w:val="00A61743"/>
    <w:rsid w:val="00A61891"/>
    <w:rsid w:val="00A61919"/>
    <w:rsid w:val="00A61985"/>
    <w:rsid w:val="00A62A55"/>
    <w:rsid w:val="00A63FDE"/>
    <w:rsid w:val="00A7731C"/>
    <w:rsid w:val="00A8219D"/>
    <w:rsid w:val="00A856B4"/>
    <w:rsid w:val="00A87E93"/>
    <w:rsid w:val="00A9127D"/>
    <w:rsid w:val="00A92CD1"/>
    <w:rsid w:val="00A92E24"/>
    <w:rsid w:val="00A950FE"/>
    <w:rsid w:val="00A95B0A"/>
    <w:rsid w:val="00A96E99"/>
    <w:rsid w:val="00A97D34"/>
    <w:rsid w:val="00AA698F"/>
    <w:rsid w:val="00AA71AB"/>
    <w:rsid w:val="00AA71BB"/>
    <w:rsid w:val="00AB2EE4"/>
    <w:rsid w:val="00AB3576"/>
    <w:rsid w:val="00AB5D2E"/>
    <w:rsid w:val="00AC0586"/>
    <w:rsid w:val="00AC7501"/>
    <w:rsid w:val="00AD1D69"/>
    <w:rsid w:val="00AF3B09"/>
    <w:rsid w:val="00AF6911"/>
    <w:rsid w:val="00B01913"/>
    <w:rsid w:val="00B0223E"/>
    <w:rsid w:val="00B04E3B"/>
    <w:rsid w:val="00B1334A"/>
    <w:rsid w:val="00B14B39"/>
    <w:rsid w:val="00B14F46"/>
    <w:rsid w:val="00B1543B"/>
    <w:rsid w:val="00B15AFA"/>
    <w:rsid w:val="00B23758"/>
    <w:rsid w:val="00B23A3E"/>
    <w:rsid w:val="00B24A75"/>
    <w:rsid w:val="00B256A1"/>
    <w:rsid w:val="00B27568"/>
    <w:rsid w:val="00B314FF"/>
    <w:rsid w:val="00B4324D"/>
    <w:rsid w:val="00B4678B"/>
    <w:rsid w:val="00B550D4"/>
    <w:rsid w:val="00B611F8"/>
    <w:rsid w:val="00B62C17"/>
    <w:rsid w:val="00B632F7"/>
    <w:rsid w:val="00B6517D"/>
    <w:rsid w:val="00B651E9"/>
    <w:rsid w:val="00B6644B"/>
    <w:rsid w:val="00B75A4F"/>
    <w:rsid w:val="00B75EB5"/>
    <w:rsid w:val="00B75FC6"/>
    <w:rsid w:val="00B764AB"/>
    <w:rsid w:val="00B83670"/>
    <w:rsid w:val="00B85F4B"/>
    <w:rsid w:val="00B9044A"/>
    <w:rsid w:val="00B950E3"/>
    <w:rsid w:val="00BA2AEA"/>
    <w:rsid w:val="00BA489F"/>
    <w:rsid w:val="00BB0DF2"/>
    <w:rsid w:val="00BB4014"/>
    <w:rsid w:val="00BC4E5E"/>
    <w:rsid w:val="00BC5B2D"/>
    <w:rsid w:val="00BC72B9"/>
    <w:rsid w:val="00BD0A2C"/>
    <w:rsid w:val="00BE00D4"/>
    <w:rsid w:val="00BE207F"/>
    <w:rsid w:val="00BE3246"/>
    <w:rsid w:val="00BE5FD8"/>
    <w:rsid w:val="00BE6466"/>
    <w:rsid w:val="00BF0F76"/>
    <w:rsid w:val="00BF28C0"/>
    <w:rsid w:val="00BF3D5F"/>
    <w:rsid w:val="00BF5FC5"/>
    <w:rsid w:val="00BF66C2"/>
    <w:rsid w:val="00C039DB"/>
    <w:rsid w:val="00C04614"/>
    <w:rsid w:val="00C0574F"/>
    <w:rsid w:val="00C05D0B"/>
    <w:rsid w:val="00C11A60"/>
    <w:rsid w:val="00C11F88"/>
    <w:rsid w:val="00C155C6"/>
    <w:rsid w:val="00C1645C"/>
    <w:rsid w:val="00C206E5"/>
    <w:rsid w:val="00C21759"/>
    <w:rsid w:val="00C24348"/>
    <w:rsid w:val="00C24D3C"/>
    <w:rsid w:val="00C30B83"/>
    <w:rsid w:val="00C323BD"/>
    <w:rsid w:val="00C34C96"/>
    <w:rsid w:val="00C43356"/>
    <w:rsid w:val="00C4488B"/>
    <w:rsid w:val="00C472E7"/>
    <w:rsid w:val="00C50802"/>
    <w:rsid w:val="00C50815"/>
    <w:rsid w:val="00C51040"/>
    <w:rsid w:val="00C54F0F"/>
    <w:rsid w:val="00C55AB6"/>
    <w:rsid w:val="00C5612E"/>
    <w:rsid w:val="00C646E5"/>
    <w:rsid w:val="00C661B2"/>
    <w:rsid w:val="00C66B1C"/>
    <w:rsid w:val="00C72B1D"/>
    <w:rsid w:val="00C73CF2"/>
    <w:rsid w:val="00C75A7E"/>
    <w:rsid w:val="00C800B6"/>
    <w:rsid w:val="00C83D11"/>
    <w:rsid w:val="00C85666"/>
    <w:rsid w:val="00CA009C"/>
    <w:rsid w:val="00CA0399"/>
    <w:rsid w:val="00CA09C3"/>
    <w:rsid w:val="00CA0AD1"/>
    <w:rsid w:val="00CA226C"/>
    <w:rsid w:val="00CB0ACA"/>
    <w:rsid w:val="00CB0F08"/>
    <w:rsid w:val="00CB191B"/>
    <w:rsid w:val="00CC0B01"/>
    <w:rsid w:val="00CC2A65"/>
    <w:rsid w:val="00CC42E4"/>
    <w:rsid w:val="00CC48A2"/>
    <w:rsid w:val="00CC5987"/>
    <w:rsid w:val="00CD08A1"/>
    <w:rsid w:val="00CD4A38"/>
    <w:rsid w:val="00CD4AE3"/>
    <w:rsid w:val="00CD4F89"/>
    <w:rsid w:val="00CD58DB"/>
    <w:rsid w:val="00CD5975"/>
    <w:rsid w:val="00CD6EB0"/>
    <w:rsid w:val="00CE1AE6"/>
    <w:rsid w:val="00CE3DDC"/>
    <w:rsid w:val="00CE4E88"/>
    <w:rsid w:val="00CE6C67"/>
    <w:rsid w:val="00CE7C16"/>
    <w:rsid w:val="00CF1626"/>
    <w:rsid w:val="00CF17B0"/>
    <w:rsid w:val="00CF4838"/>
    <w:rsid w:val="00CF4D1F"/>
    <w:rsid w:val="00D048ED"/>
    <w:rsid w:val="00D04DB0"/>
    <w:rsid w:val="00D22AAF"/>
    <w:rsid w:val="00D26A00"/>
    <w:rsid w:val="00D27F5E"/>
    <w:rsid w:val="00D337E3"/>
    <w:rsid w:val="00D361D3"/>
    <w:rsid w:val="00D428D1"/>
    <w:rsid w:val="00D50819"/>
    <w:rsid w:val="00D54D74"/>
    <w:rsid w:val="00D61F22"/>
    <w:rsid w:val="00D62EAB"/>
    <w:rsid w:val="00D6364E"/>
    <w:rsid w:val="00D67414"/>
    <w:rsid w:val="00D676FB"/>
    <w:rsid w:val="00D7412D"/>
    <w:rsid w:val="00D744CC"/>
    <w:rsid w:val="00D759FF"/>
    <w:rsid w:val="00D76F04"/>
    <w:rsid w:val="00D776DE"/>
    <w:rsid w:val="00D7774C"/>
    <w:rsid w:val="00D8459F"/>
    <w:rsid w:val="00D85D15"/>
    <w:rsid w:val="00D86F35"/>
    <w:rsid w:val="00D87936"/>
    <w:rsid w:val="00D923FA"/>
    <w:rsid w:val="00D9255A"/>
    <w:rsid w:val="00D92FCD"/>
    <w:rsid w:val="00D9769D"/>
    <w:rsid w:val="00DA010F"/>
    <w:rsid w:val="00DA09AB"/>
    <w:rsid w:val="00DA1DE3"/>
    <w:rsid w:val="00DA30C8"/>
    <w:rsid w:val="00DA39D6"/>
    <w:rsid w:val="00DB1692"/>
    <w:rsid w:val="00DB20C7"/>
    <w:rsid w:val="00DB2EC0"/>
    <w:rsid w:val="00DB392F"/>
    <w:rsid w:val="00DB466C"/>
    <w:rsid w:val="00DC4080"/>
    <w:rsid w:val="00DD3593"/>
    <w:rsid w:val="00DD3973"/>
    <w:rsid w:val="00DD39BC"/>
    <w:rsid w:val="00DD39FD"/>
    <w:rsid w:val="00DD6E4C"/>
    <w:rsid w:val="00DD73EA"/>
    <w:rsid w:val="00DE7137"/>
    <w:rsid w:val="00DF1A46"/>
    <w:rsid w:val="00DF2F33"/>
    <w:rsid w:val="00DF50BD"/>
    <w:rsid w:val="00E0047E"/>
    <w:rsid w:val="00E021E0"/>
    <w:rsid w:val="00E045BA"/>
    <w:rsid w:val="00E06168"/>
    <w:rsid w:val="00E105EB"/>
    <w:rsid w:val="00E1296F"/>
    <w:rsid w:val="00E15A6A"/>
    <w:rsid w:val="00E1725B"/>
    <w:rsid w:val="00E2288A"/>
    <w:rsid w:val="00E23319"/>
    <w:rsid w:val="00E27653"/>
    <w:rsid w:val="00E32810"/>
    <w:rsid w:val="00E335E9"/>
    <w:rsid w:val="00E361BB"/>
    <w:rsid w:val="00E3744C"/>
    <w:rsid w:val="00E405AC"/>
    <w:rsid w:val="00E42F81"/>
    <w:rsid w:val="00E447A4"/>
    <w:rsid w:val="00E44E90"/>
    <w:rsid w:val="00E45F98"/>
    <w:rsid w:val="00E56B63"/>
    <w:rsid w:val="00E571FB"/>
    <w:rsid w:val="00E6186C"/>
    <w:rsid w:val="00E66956"/>
    <w:rsid w:val="00E66C43"/>
    <w:rsid w:val="00E726C8"/>
    <w:rsid w:val="00E733E1"/>
    <w:rsid w:val="00E74D92"/>
    <w:rsid w:val="00E7644E"/>
    <w:rsid w:val="00E77017"/>
    <w:rsid w:val="00E81D7C"/>
    <w:rsid w:val="00E8444B"/>
    <w:rsid w:val="00E848C3"/>
    <w:rsid w:val="00E915DB"/>
    <w:rsid w:val="00EA1AF2"/>
    <w:rsid w:val="00EA5831"/>
    <w:rsid w:val="00EA62F7"/>
    <w:rsid w:val="00EB102C"/>
    <w:rsid w:val="00EB658C"/>
    <w:rsid w:val="00EC1ECA"/>
    <w:rsid w:val="00EC4086"/>
    <w:rsid w:val="00ED094B"/>
    <w:rsid w:val="00ED6252"/>
    <w:rsid w:val="00EE2424"/>
    <w:rsid w:val="00EE4684"/>
    <w:rsid w:val="00EE794B"/>
    <w:rsid w:val="00EF1BC7"/>
    <w:rsid w:val="00EF3920"/>
    <w:rsid w:val="00EF4285"/>
    <w:rsid w:val="00F0148C"/>
    <w:rsid w:val="00F03F9E"/>
    <w:rsid w:val="00F05EE8"/>
    <w:rsid w:val="00F10DA8"/>
    <w:rsid w:val="00F118C4"/>
    <w:rsid w:val="00F122EC"/>
    <w:rsid w:val="00F1476F"/>
    <w:rsid w:val="00F15F44"/>
    <w:rsid w:val="00F234C1"/>
    <w:rsid w:val="00F31418"/>
    <w:rsid w:val="00F318C3"/>
    <w:rsid w:val="00F33419"/>
    <w:rsid w:val="00F34BF6"/>
    <w:rsid w:val="00F35B94"/>
    <w:rsid w:val="00F41844"/>
    <w:rsid w:val="00F44CE8"/>
    <w:rsid w:val="00F45042"/>
    <w:rsid w:val="00F45237"/>
    <w:rsid w:val="00F50BEB"/>
    <w:rsid w:val="00F51526"/>
    <w:rsid w:val="00F537B7"/>
    <w:rsid w:val="00F556C6"/>
    <w:rsid w:val="00F57865"/>
    <w:rsid w:val="00F612A2"/>
    <w:rsid w:val="00F61713"/>
    <w:rsid w:val="00F62250"/>
    <w:rsid w:val="00F64500"/>
    <w:rsid w:val="00F67627"/>
    <w:rsid w:val="00F67DF2"/>
    <w:rsid w:val="00F7164B"/>
    <w:rsid w:val="00F71B74"/>
    <w:rsid w:val="00F71C0B"/>
    <w:rsid w:val="00F726FC"/>
    <w:rsid w:val="00F73A8E"/>
    <w:rsid w:val="00F80880"/>
    <w:rsid w:val="00F8274E"/>
    <w:rsid w:val="00F83BC6"/>
    <w:rsid w:val="00F85744"/>
    <w:rsid w:val="00F85CC0"/>
    <w:rsid w:val="00F90A6A"/>
    <w:rsid w:val="00F919BA"/>
    <w:rsid w:val="00F932D8"/>
    <w:rsid w:val="00FA1F59"/>
    <w:rsid w:val="00FA60CB"/>
    <w:rsid w:val="00FA7473"/>
    <w:rsid w:val="00FB012C"/>
    <w:rsid w:val="00FB1657"/>
    <w:rsid w:val="00FB24AD"/>
    <w:rsid w:val="00FB59E3"/>
    <w:rsid w:val="00FB7757"/>
    <w:rsid w:val="00FC1340"/>
    <w:rsid w:val="00FC169C"/>
    <w:rsid w:val="00FD65A6"/>
    <w:rsid w:val="00FD6737"/>
    <w:rsid w:val="00FE05D6"/>
    <w:rsid w:val="00FE37F1"/>
    <w:rsid w:val="00FE480D"/>
    <w:rsid w:val="00FE6A2E"/>
    <w:rsid w:val="00FF4229"/>
    <w:rsid w:val="00FF5019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A7986A6"/>
  <w15:docId w15:val="{72604ABD-5137-D140-911C-61EFBB0B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0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read 2"/>
    <w:qFormat/>
    <w:rsid w:val="00C21759"/>
    <w:pPr>
      <w:autoSpaceDE w:val="0"/>
      <w:autoSpaceDN w:val="0"/>
      <w:spacing w:line="320" w:lineRule="atLeast"/>
      <w:ind w:firstLine="425"/>
      <w:jc w:val="both"/>
    </w:pPr>
    <w:rPr>
      <w:sz w:val="26"/>
      <w:szCs w:val="28"/>
      <w:lang w:val="en-GB"/>
    </w:rPr>
  </w:style>
  <w:style w:type="paragraph" w:styleId="Heading1">
    <w:name w:val="heading 1"/>
    <w:aliases w:val="MADIF_Title"/>
    <w:basedOn w:val="Normal"/>
    <w:next w:val="Normal"/>
    <w:link w:val="Heading1Char"/>
    <w:uiPriority w:val="10"/>
    <w:qFormat/>
    <w:rsid w:val="00297292"/>
    <w:pPr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paragraph" w:styleId="Heading2">
    <w:name w:val="heading 2"/>
    <w:aliases w:val="Head 1"/>
    <w:basedOn w:val="Title"/>
    <w:next w:val="BodyText"/>
    <w:qFormat/>
    <w:rsid w:val="006C2C37"/>
    <w:pPr>
      <w:keepNext/>
      <w:spacing w:before="360"/>
      <w:ind w:firstLine="0"/>
      <w:jc w:val="left"/>
      <w:outlineLvl w:val="1"/>
    </w:pPr>
    <w:rPr>
      <w:sz w:val="28"/>
    </w:rPr>
  </w:style>
  <w:style w:type="paragraph" w:styleId="Heading3">
    <w:name w:val="heading 3"/>
    <w:aliases w:val="Head 2"/>
    <w:basedOn w:val="Normal"/>
    <w:next w:val="Normal"/>
    <w:qFormat/>
    <w:rsid w:val="00C21759"/>
    <w:pPr>
      <w:keepNext/>
      <w:spacing w:before="240"/>
      <w:ind w:firstLine="0"/>
      <w:jc w:val="left"/>
      <w:outlineLvl w:val="2"/>
    </w:pPr>
    <w:rPr>
      <w:b/>
      <w:bCs/>
    </w:rPr>
  </w:style>
  <w:style w:type="paragraph" w:styleId="Heading4">
    <w:name w:val="heading 4"/>
    <w:aliases w:val="Head 3"/>
    <w:basedOn w:val="Title"/>
    <w:next w:val="BodyText"/>
    <w:link w:val="Heading4Char"/>
    <w:uiPriority w:val="9"/>
    <w:unhideWhenUsed/>
    <w:qFormat/>
    <w:rsid w:val="00C21759"/>
    <w:pPr>
      <w:keepNext/>
      <w:spacing w:before="120"/>
      <w:ind w:firstLine="0"/>
      <w:jc w:val="left"/>
      <w:outlineLvl w:val="3"/>
    </w:pPr>
    <w:rPr>
      <w:b w:val="0"/>
      <w:i/>
      <w:sz w:val="26"/>
    </w:rPr>
  </w:style>
  <w:style w:type="paragraph" w:styleId="Heading8">
    <w:name w:val="heading 8"/>
    <w:aliases w:val="Authors"/>
    <w:basedOn w:val="Title"/>
    <w:next w:val="Normal"/>
    <w:link w:val="Heading8Char"/>
    <w:uiPriority w:val="9"/>
    <w:unhideWhenUsed/>
    <w:qFormat/>
    <w:rsid w:val="00C21759"/>
    <w:pPr>
      <w:spacing w:before="360"/>
      <w:ind w:firstLine="0"/>
      <w:outlineLvl w:val="7"/>
    </w:pPr>
    <w:rPr>
      <w:b w:val="0"/>
      <w:bCs w:val="0"/>
      <w:iCs/>
      <w:sz w:val="28"/>
      <w:szCs w:val="24"/>
    </w:rPr>
  </w:style>
  <w:style w:type="paragraph" w:styleId="Heading9">
    <w:name w:val="heading 9"/>
    <w:aliases w:val="Institution"/>
    <w:basedOn w:val="Title"/>
    <w:next w:val="Normal"/>
    <w:link w:val="Heading9Char"/>
    <w:uiPriority w:val="9"/>
    <w:unhideWhenUsed/>
    <w:qFormat/>
    <w:rsid w:val="00C21759"/>
    <w:pPr>
      <w:spacing w:after="720"/>
      <w:ind w:firstLine="0"/>
      <w:outlineLvl w:val="8"/>
    </w:pPr>
    <w:rPr>
      <w:bCs w:val="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transcript">
    <w:name w:val="Numbered transcript"/>
    <w:basedOn w:val="Normal"/>
    <w:qFormat/>
    <w:rsid w:val="00C21759"/>
    <w:pPr>
      <w:tabs>
        <w:tab w:val="left" w:pos="1134"/>
      </w:tabs>
      <w:spacing w:before="60" w:after="60" w:line="300" w:lineRule="atLeast"/>
      <w:ind w:left="2693" w:right="425" w:hanging="2268"/>
    </w:pPr>
    <w:rPr>
      <w:szCs w:val="26"/>
    </w:rPr>
  </w:style>
  <w:style w:type="paragraph" w:styleId="Quote">
    <w:name w:val="Quote"/>
    <w:basedOn w:val="Normal"/>
    <w:qFormat/>
    <w:rsid w:val="003A3210"/>
    <w:pPr>
      <w:ind w:left="284"/>
    </w:pPr>
  </w:style>
  <w:style w:type="paragraph" w:customStyle="1" w:styleId="References">
    <w:name w:val="References"/>
    <w:basedOn w:val="BodyText"/>
    <w:qFormat/>
    <w:rsid w:val="00C21759"/>
    <w:pPr>
      <w:spacing w:line="300" w:lineRule="atLeast"/>
      <w:ind w:left="425" w:hanging="425"/>
    </w:pPr>
    <w:rPr>
      <w:sz w:val="24"/>
    </w:rPr>
  </w:style>
  <w:style w:type="paragraph" w:customStyle="1" w:styleId="Endnote">
    <w:name w:val="Endnote"/>
    <w:basedOn w:val="Normal"/>
    <w:qFormat/>
    <w:rsid w:val="00C21759"/>
    <w:pPr>
      <w:spacing w:line="300" w:lineRule="atLeast"/>
      <w:ind w:firstLine="0"/>
    </w:pPr>
    <w:rPr>
      <w:sz w:val="24"/>
      <w:szCs w:val="24"/>
    </w:rPr>
  </w:style>
  <w:style w:type="paragraph" w:customStyle="1" w:styleId="FigTitle">
    <w:name w:val="FigTitle"/>
    <w:basedOn w:val="Normal"/>
    <w:rsid w:val="00C30B83"/>
    <w:pPr>
      <w:spacing w:before="120"/>
      <w:jc w:val="center"/>
    </w:pPr>
    <w:rPr>
      <w:b/>
      <w:bCs/>
      <w:sz w:val="22"/>
      <w:szCs w:val="22"/>
    </w:rPr>
  </w:style>
  <w:style w:type="paragraph" w:customStyle="1" w:styleId="Transcript">
    <w:name w:val="Transcript"/>
    <w:basedOn w:val="Normal"/>
    <w:qFormat/>
    <w:rsid w:val="00C21759"/>
    <w:pPr>
      <w:spacing w:before="60" w:after="60" w:line="300" w:lineRule="atLeast"/>
      <w:ind w:left="1843" w:right="425" w:hanging="1418"/>
    </w:pPr>
    <w:rPr>
      <w:sz w:val="24"/>
      <w:szCs w:val="2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C217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1759"/>
  </w:style>
  <w:style w:type="character" w:styleId="CommentReference">
    <w:name w:val="annotation reference"/>
    <w:rsid w:val="002925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2577"/>
    <w:rPr>
      <w:sz w:val="20"/>
      <w:szCs w:val="20"/>
    </w:rPr>
  </w:style>
  <w:style w:type="character" w:customStyle="1" w:styleId="CommentTextChar">
    <w:name w:val="Comment Text Char"/>
    <w:link w:val="CommentText"/>
    <w:rsid w:val="0029257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92577"/>
    <w:rPr>
      <w:b/>
      <w:bCs/>
    </w:rPr>
  </w:style>
  <w:style w:type="character" w:customStyle="1" w:styleId="CommentSubjectChar">
    <w:name w:val="Comment Subject Char"/>
    <w:link w:val="CommentSubject"/>
    <w:rsid w:val="0029257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2925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92577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rsid w:val="00292577"/>
    <w:rPr>
      <w:color w:val="0563C1"/>
      <w:u w:val="single"/>
    </w:rPr>
  </w:style>
  <w:style w:type="paragraph" w:styleId="FootnoteText">
    <w:name w:val="footnote text"/>
    <w:basedOn w:val="Normal"/>
    <w:link w:val="FootnoteTextChar"/>
    <w:rsid w:val="00EA5831"/>
    <w:rPr>
      <w:sz w:val="20"/>
      <w:szCs w:val="20"/>
    </w:rPr>
  </w:style>
  <w:style w:type="character" w:customStyle="1" w:styleId="FootnoteTextChar">
    <w:name w:val="Footnote Text Char"/>
    <w:link w:val="FootnoteText"/>
    <w:rsid w:val="00EA5831"/>
    <w:rPr>
      <w:lang w:val="en-GB"/>
    </w:rPr>
  </w:style>
  <w:style w:type="character" w:styleId="FootnoteReference">
    <w:name w:val="footnote reference"/>
    <w:rsid w:val="00EA5831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C24D3C"/>
    <w:rPr>
      <w:color w:val="800080" w:themeColor="followedHyperlink"/>
      <w:u w:val="single"/>
    </w:rPr>
  </w:style>
  <w:style w:type="paragraph" w:customStyle="1" w:styleId="Author">
    <w:name w:val="Author"/>
    <w:basedOn w:val="Normal"/>
    <w:qFormat/>
    <w:rsid w:val="00892DE9"/>
    <w:pPr>
      <w:jc w:val="center"/>
    </w:pPr>
  </w:style>
  <w:style w:type="paragraph" w:customStyle="1" w:styleId="Abstract">
    <w:name w:val="Abstract"/>
    <w:basedOn w:val="BodyText"/>
    <w:link w:val="AbstractChar"/>
    <w:qFormat/>
    <w:rsid w:val="00C21759"/>
    <w:rPr>
      <w:i/>
    </w:rPr>
  </w:style>
  <w:style w:type="paragraph" w:customStyle="1" w:styleId="FigText">
    <w:name w:val="FigText"/>
    <w:basedOn w:val="FigTitle"/>
    <w:qFormat/>
    <w:rsid w:val="00892DE9"/>
    <w:rPr>
      <w:b w:val="0"/>
      <w:sz w:val="20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364ABD"/>
    <w:rPr>
      <w:color w:val="605E5C"/>
      <w:shd w:val="clear" w:color="auto" w:fill="E1DFDD"/>
    </w:rPr>
  </w:style>
  <w:style w:type="paragraph" w:customStyle="1" w:styleId="Reference">
    <w:name w:val="Reference"/>
    <w:basedOn w:val="Normal"/>
    <w:qFormat/>
    <w:rsid w:val="009B1C53"/>
    <w:pPr>
      <w:ind w:left="284" w:hanging="284"/>
    </w:pPr>
    <w:rPr>
      <w:iCs/>
    </w:rPr>
  </w:style>
  <w:style w:type="paragraph" w:styleId="NormalWeb">
    <w:name w:val="Normal (Web)"/>
    <w:basedOn w:val="Normal"/>
    <w:uiPriority w:val="99"/>
    <w:semiHidden/>
    <w:unhideWhenUsed/>
    <w:rsid w:val="00B6517D"/>
    <w:pPr>
      <w:autoSpaceDE/>
      <w:autoSpaceDN/>
      <w:spacing w:before="100" w:beforeAutospacing="1" w:after="100" w:afterAutospacing="1" w:line="240" w:lineRule="auto"/>
      <w:jc w:val="left"/>
    </w:pPr>
    <w:rPr>
      <w:lang w:val="sv-SE" w:eastAsia="sv-SE"/>
    </w:rPr>
  </w:style>
  <w:style w:type="character" w:customStyle="1" w:styleId="Heading4Char">
    <w:name w:val="Heading 4 Char"/>
    <w:aliases w:val="Head 3 Char"/>
    <w:link w:val="Heading4"/>
    <w:uiPriority w:val="9"/>
    <w:rsid w:val="00C21759"/>
    <w:rPr>
      <w:b/>
      <w:i/>
      <w:kern w:val="28"/>
      <w:sz w:val="26"/>
      <w:szCs w:val="32"/>
      <w:lang w:val="en-GB"/>
    </w:rPr>
  </w:style>
  <w:style w:type="character" w:customStyle="1" w:styleId="Heading8Char">
    <w:name w:val="Heading 8 Char"/>
    <w:aliases w:val="Authors Char"/>
    <w:link w:val="Heading8"/>
    <w:uiPriority w:val="9"/>
    <w:rsid w:val="00C21759"/>
    <w:rPr>
      <w:b/>
      <w:bCs/>
      <w:iCs/>
      <w:kern w:val="28"/>
      <w:sz w:val="28"/>
      <w:szCs w:val="24"/>
      <w:lang w:val="en-GB"/>
    </w:rPr>
  </w:style>
  <w:style w:type="character" w:customStyle="1" w:styleId="Heading9Char">
    <w:name w:val="Heading 9 Char"/>
    <w:aliases w:val="Institution Char"/>
    <w:link w:val="Heading9"/>
    <w:uiPriority w:val="9"/>
    <w:rsid w:val="00C21759"/>
    <w:rPr>
      <w:bCs/>
      <w:kern w:val="28"/>
      <w:sz w:val="28"/>
      <w:szCs w:val="22"/>
      <w:lang w:val="en-GB"/>
    </w:rPr>
  </w:style>
  <w:style w:type="character" w:customStyle="1" w:styleId="Heading1Char">
    <w:name w:val="Heading 1 Char"/>
    <w:aliases w:val="MADIF_Title Char"/>
    <w:link w:val="Heading1"/>
    <w:uiPriority w:val="10"/>
    <w:rsid w:val="00297292"/>
    <w:rPr>
      <w:b/>
      <w:bCs/>
      <w:kern w:val="28"/>
      <w:sz w:val="44"/>
      <w:szCs w:val="32"/>
      <w:lang w:val="en-GB"/>
    </w:rPr>
  </w:style>
  <w:style w:type="paragraph" w:styleId="BodyText">
    <w:name w:val="Body Text"/>
    <w:aliases w:val="Bread 1"/>
    <w:basedOn w:val="Normal"/>
    <w:next w:val="Normal"/>
    <w:link w:val="BodyTextChar"/>
    <w:uiPriority w:val="99"/>
    <w:unhideWhenUsed/>
    <w:qFormat/>
    <w:rsid w:val="00C21759"/>
    <w:pPr>
      <w:ind w:firstLine="0"/>
    </w:pPr>
  </w:style>
  <w:style w:type="character" w:customStyle="1" w:styleId="BodyTextChar">
    <w:name w:val="Body Text Char"/>
    <w:aliases w:val="Bread 1 Char"/>
    <w:link w:val="BodyText"/>
    <w:uiPriority w:val="99"/>
    <w:rsid w:val="00C21759"/>
    <w:rPr>
      <w:sz w:val="26"/>
      <w:szCs w:val="28"/>
      <w:lang w:val="en-GB"/>
    </w:rPr>
  </w:style>
  <w:style w:type="paragraph" w:customStyle="1" w:styleId="Citat1">
    <w:name w:val="Citat1"/>
    <w:basedOn w:val="BodyText"/>
    <w:qFormat/>
    <w:rsid w:val="00C21759"/>
    <w:pPr>
      <w:spacing w:before="120" w:after="120"/>
      <w:ind w:left="425" w:right="425"/>
    </w:pPr>
    <w:rPr>
      <w:sz w:val="24"/>
      <w:szCs w:val="26"/>
    </w:rPr>
  </w:style>
  <w:style w:type="character" w:customStyle="1" w:styleId="HeadtableChar">
    <w:name w:val="Head table Char"/>
    <w:link w:val="Headtable"/>
    <w:rsid w:val="00C21759"/>
    <w:rPr>
      <w:sz w:val="26"/>
      <w:szCs w:val="28"/>
      <w:lang w:val="en-GB"/>
    </w:rPr>
  </w:style>
  <w:style w:type="paragraph" w:customStyle="1" w:styleId="Headtable">
    <w:name w:val="Head table"/>
    <w:basedOn w:val="Normal"/>
    <w:next w:val="BodyText"/>
    <w:link w:val="HeadtableChar"/>
    <w:qFormat/>
    <w:rsid w:val="00C21759"/>
    <w:pPr>
      <w:spacing w:before="120" w:after="120"/>
      <w:ind w:left="425" w:right="425" w:firstLine="0"/>
      <w:jc w:val="left"/>
    </w:pPr>
  </w:style>
  <w:style w:type="character" w:customStyle="1" w:styleId="AbstractChar">
    <w:name w:val="Abstract Char"/>
    <w:basedOn w:val="BodyTextChar"/>
    <w:link w:val="Abstract"/>
    <w:rsid w:val="00C21759"/>
    <w:rPr>
      <w:i/>
      <w:sz w:val="26"/>
      <w:szCs w:val="28"/>
      <w:lang w:val="en-GB"/>
    </w:rPr>
  </w:style>
  <w:style w:type="paragraph" w:styleId="Title">
    <w:name w:val="Title"/>
    <w:basedOn w:val="Heading1"/>
    <w:next w:val="Normal"/>
    <w:link w:val="TitleChar"/>
    <w:qFormat/>
    <w:rsid w:val="00297292"/>
  </w:style>
  <w:style w:type="character" w:customStyle="1" w:styleId="TitleChar">
    <w:name w:val="Title Char"/>
    <w:basedOn w:val="DefaultParagraphFont"/>
    <w:link w:val="Title"/>
    <w:rsid w:val="00297292"/>
    <w:rPr>
      <w:rFonts w:ascii="Calibri" w:hAnsi="Calibri"/>
      <w:b/>
      <w:bCs/>
      <w:kern w:val="28"/>
      <w:sz w:val="32"/>
      <w:szCs w:val="32"/>
      <w:lang w:val="en-GB"/>
    </w:rPr>
  </w:style>
  <w:style w:type="character" w:customStyle="1" w:styleId="c-bibliographic-informationvalue">
    <w:name w:val="c-bibliographic-information__value"/>
    <w:basedOn w:val="DefaultParagraphFont"/>
    <w:rsid w:val="009539FB"/>
  </w:style>
  <w:style w:type="character" w:styleId="UnresolvedMention">
    <w:name w:val="Unresolved Mention"/>
    <w:basedOn w:val="DefaultParagraphFont"/>
    <w:uiPriority w:val="99"/>
    <w:semiHidden/>
    <w:unhideWhenUsed/>
    <w:rsid w:val="009539FB"/>
    <w:rPr>
      <w:color w:val="605E5C"/>
      <w:shd w:val="clear" w:color="auto" w:fill="E1DFDD"/>
    </w:rPr>
  </w:style>
  <w:style w:type="paragraph" w:customStyle="1" w:styleId="dx-doi">
    <w:name w:val="dx-doi"/>
    <w:basedOn w:val="Normal"/>
    <w:rsid w:val="004806D0"/>
    <w:pPr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sv-SE" w:eastAsia="ja-JP"/>
    </w:rPr>
  </w:style>
  <w:style w:type="paragraph" w:styleId="Revision">
    <w:name w:val="Revision"/>
    <w:hidden/>
    <w:uiPriority w:val="99"/>
    <w:semiHidden/>
    <w:rsid w:val="006B313A"/>
    <w:rPr>
      <w:sz w:val="26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d.su.se/english/research/mathematics-education/research-projects/trace" TargetMode="External"/><Relationship Id="rId13" Type="http://schemas.openxmlformats.org/officeDocument/2006/relationships/hyperlink" Target="https://doi.org/10.1007/s11858-012-0438-6" TargetMode="External"/><Relationship Id="rId18" Type="http://schemas.openxmlformats.org/officeDocument/2006/relationships/hyperlink" Target="https://doi.org/10.1007/s10857-018-9397-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i.org/10.54870/1551-3440.1225" TargetMode="External"/><Relationship Id="rId17" Type="http://schemas.openxmlformats.org/officeDocument/2006/relationships/hyperlink" Target="https://doi.org/10.1007/s10857-013-9241-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5951/jresematheduc-2020-030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14794802.2020.18556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7/s10649-018-9848-x" TargetMode="External"/><Relationship Id="rId10" Type="http://schemas.openxmlformats.org/officeDocument/2006/relationships/hyperlink" Target="https://doi.org/10.1007/s10649-022-10167-z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80/02607476.2021.1902748" TargetMode="External"/><Relationship Id="rId14" Type="http://schemas.openxmlformats.org/officeDocument/2006/relationships/hyperlink" Target="https://doi.org/10.1007/s10649-018-9817-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n03\OneDrive%20-%20M&#228;lardalens%20h&#246;gskola\Desktop\madif14_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B3C1-FBBA-4134-851C-326E27C0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madif14_template</Template>
  <TotalTime>0</TotalTime>
  <Pages>10</Pages>
  <Words>4759</Words>
  <Characters>27343</Characters>
  <Application>Microsoft Office Word</Application>
  <DocSecurity>0</DocSecurity>
  <Lines>227</Lines>
  <Paragraphs>64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>CERME paper template</vt:lpstr>
      <vt:lpstr>CERME paper template</vt:lpstr>
      <vt:lpstr>CERME paper template</vt:lpstr>
      <vt:lpstr>CERME paper template</vt:lpstr>
    </vt:vector>
  </TitlesOfParts>
  <Manager/>
  <Company/>
  <LinksUpToDate>false</LinksUpToDate>
  <CharactersWithSpaces>32038</CharactersWithSpaces>
  <SharedDoc>false</SharedDoc>
  <HyperlinkBase/>
  <HLinks>
    <vt:vector size="24" baseType="variant">
      <vt:variant>
        <vt:i4>327701</vt:i4>
      </vt:variant>
      <vt:variant>
        <vt:i4>9</vt:i4>
      </vt:variant>
      <vt:variant>
        <vt:i4>0</vt:i4>
      </vt:variant>
      <vt:variant>
        <vt:i4>5</vt:i4>
      </vt:variant>
      <vt:variant>
        <vt:lpwstr>http://www.apastyle.org/learn/tutorials/basics-tutorial.aspx</vt:lpwstr>
      </vt:variant>
      <vt:variant>
        <vt:lpwstr/>
      </vt:variant>
      <vt:variant>
        <vt:i4>786475</vt:i4>
      </vt:variant>
      <vt:variant>
        <vt:i4>6</vt:i4>
      </vt:variant>
      <vt:variant>
        <vt:i4>0</vt:i4>
      </vt:variant>
      <vt:variant>
        <vt:i4>5</vt:i4>
      </vt:variant>
      <vt:variant>
        <vt:lpwstr>http://www.tandf.co.uk/journals/authors/style/reference/tf_A.pdf</vt:lpwstr>
      </vt:variant>
      <vt:variant>
        <vt:lpwstr/>
      </vt:variant>
      <vt:variant>
        <vt:i4>7864321</vt:i4>
      </vt:variant>
      <vt:variant>
        <vt:i4>3</vt:i4>
      </vt:variant>
      <vt:variant>
        <vt:i4>0</vt:i4>
      </vt:variant>
      <vt:variant>
        <vt:i4>5</vt:i4>
      </vt:variant>
      <vt:variant>
        <vt:lpwstr>mailto:jana.novakova@google.cz</vt:lpwstr>
      </vt:variant>
      <vt:variant>
        <vt:lpwstr/>
      </vt:variant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mailto:email@google.com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CERME paper template</dc:title>
  <dc:subject/>
  <dc:creator>Microsoft Office User</dc:creator>
  <cp:keywords/>
  <dc:description/>
  <cp:lastModifiedBy>Iben Christiansen</cp:lastModifiedBy>
  <cp:revision>2</cp:revision>
  <cp:lastPrinted>1999-04-19T09:26:00Z</cp:lastPrinted>
  <dcterms:created xsi:type="dcterms:W3CDTF">2024-01-08T13:28:00Z</dcterms:created>
  <dcterms:modified xsi:type="dcterms:W3CDTF">2024-01-08T13:28:00Z</dcterms:modified>
  <cp:category/>
</cp:coreProperties>
</file>